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南山区科技创新局关于《南山区自然科学基金管理办法（征求意见稿）》公开征求意见采纳情况的通告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2026年5月27日至6月10日，我局就《南山区自然科学基金管理办法（征求意见稿）》</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征求意见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本次公开征求意见及采纳情况如下：</w:t>
      </w:r>
    </w:p>
    <w:p>
      <w:pPr>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p>
    <w:tbl>
      <w:tblPr>
        <w:tblStyle w:val="5"/>
        <w:tblW w:w="5000" w:type="pct"/>
        <w:tblInd w:w="113" w:type="dxa"/>
        <w:tblLayout w:type="autofit"/>
        <w:tblCellMar>
          <w:top w:w="0" w:type="dxa"/>
          <w:left w:w="108" w:type="dxa"/>
          <w:bottom w:w="0" w:type="dxa"/>
          <w:right w:w="108" w:type="dxa"/>
        </w:tblCellMar>
      </w:tblPr>
      <w:tblGrid>
        <w:gridCol w:w="597"/>
        <w:gridCol w:w="1723"/>
        <w:gridCol w:w="2101"/>
        <w:gridCol w:w="4539"/>
        <w:gridCol w:w="814"/>
        <w:gridCol w:w="4400"/>
      </w:tblGrid>
      <w:tr>
        <w:tblPrEx>
          <w:tblCellMar>
            <w:top w:w="0" w:type="dxa"/>
            <w:left w:w="108" w:type="dxa"/>
            <w:bottom w:w="0" w:type="dxa"/>
            <w:right w:w="108" w:type="dxa"/>
          </w:tblCellMar>
        </w:tblPrEx>
        <w:trPr>
          <w:wBefore w:w="0" w:type="auto"/>
          <w:trHeight w:val="420" w:hRule="atLeast"/>
        </w:trPr>
        <w:tc>
          <w:tcPr>
            <w:tcW w:w="1417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小标宋_GBK" w:hAnsi="方正小标宋_GBK" w:eastAsia="方正小标宋_GBK" w:cs="方正小标宋_GBK"/>
                <w:color w:val="000000"/>
                <w:sz w:val="32"/>
                <w:szCs w:val="32"/>
              </w:rPr>
            </w:pPr>
            <w:bookmarkStart w:id="0" w:name="_GoBack"/>
            <w:r>
              <w:rPr>
                <w:rFonts w:hint="eastAsia" w:ascii="方正小标宋_GBK" w:hAnsi="方正小标宋_GBK" w:eastAsia="方正小标宋_GBK" w:cs="方正小标宋_GBK"/>
                <w:color w:val="000000"/>
                <w:kern w:val="0"/>
                <w:sz w:val="32"/>
                <w:szCs w:val="32"/>
                <w:lang w:bidi="ar"/>
              </w:rPr>
              <w:t>《南山区自然科学基金管理办法（征求意见稿）》公开征求意见采纳情况一览表</w:t>
            </w:r>
            <w:bookmarkEnd w:id="0"/>
          </w:p>
        </w:tc>
      </w:tr>
      <w:tr>
        <w:tblPrEx>
          <w:tblCellMar>
            <w:top w:w="0" w:type="dxa"/>
            <w:left w:w="108" w:type="dxa"/>
            <w:bottom w:w="0" w:type="dxa"/>
            <w:right w:w="108" w:type="dxa"/>
          </w:tblCellMar>
        </w:tblPrEx>
        <w:trPr>
          <w:wBefore w:w="0" w:type="auto"/>
          <w:trHeight w:val="285"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序号</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提出单位（个人）</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涉及条款</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修改意见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是否采纳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修改说明</w:t>
            </w:r>
          </w:p>
        </w:tc>
      </w:tr>
      <w:tr>
        <w:tblPrEx>
          <w:tblCellMar>
            <w:top w:w="0" w:type="dxa"/>
            <w:left w:w="108" w:type="dxa"/>
            <w:bottom w:w="0" w:type="dxa"/>
            <w:right w:w="108" w:type="dxa"/>
          </w:tblCellMar>
        </w:tblPrEx>
        <w:trPr>
          <w:wBefore w:w="0" w:type="auto"/>
          <w:trHeight w:val="276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香港大学深圳研究院</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第九条 项目牵头申请人条件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由于港校在深科研机构的科研情况具有特殊性，研究院科研人员申请科研项目的身份和职责主要通过特聘证明、在深工作证明等文件予以确认，通常不以深圳本地劳动合同或社保关系作为认定依据。因此，在现行条文下，相关科研人员是否符合“全职人员”要求存在不确定性。鉴于上述实际情况，恳请贵局在制定项目指南与实施管理办法时，充分考虑深港科技创新合作的特殊模式，以及香港高校科研人员依托在深科研机构申报项目的资格问题，这将进一步发挥深港科研资源优势，吸引高水平人才参与南山区的前沿基础研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现行第九条“全职人员”的表述旨在确保项目负责人对项目的实质投入，并非以劳动合同形式或社保缴纳关系作为唯一认定依据。参照《深圳市基础研究项目管理办法》对牵头申请人为申请单位全职人员</w:t>
            </w:r>
            <w:r>
              <w:rPr>
                <w:rFonts w:ascii="仿宋_GB2312" w:hAnsi="宋体" w:eastAsia="仿宋_GB2312" w:cs="仿宋_GB2312"/>
                <w:kern w:val="0"/>
                <w:sz w:val="24"/>
                <w:lang w:bidi="ar"/>
              </w:rPr>
              <w:t>有关</w:t>
            </w:r>
            <w:r>
              <w:rPr>
                <w:rFonts w:hint="eastAsia" w:ascii="仿宋_GB2312" w:hAnsi="宋体" w:eastAsia="仿宋_GB2312" w:cs="仿宋_GB2312"/>
                <w:kern w:val="0"/>
                <w:sz w:val="24"/>
                <w:lang w:bidi="ar"/>
              </w:rPr>
              <w:t>规定，为保持管理办法的简洁性和稳定性，第九条条文不作修改。后续将通过操作</w:t>
            </w:r>
            <w:r>
              <w:rPr>
                <w:rFonts w:ascii="仿宋_GB2312" w:hAnsi="宋体" w:eastAsia="仿宋_GB2312" w:cs="仿宋_GB2312"/>
                <w:kern w:val="0"/>
                <w:sz w:val="24"/>
                <w:lang w:bidi="ar"/>
              </w:rPr>
              <w:t>规程</w:t>
            </w:r>
            <w:r>
              <w:rPr>
                <w:rFonts w:hint="eastAsia" w:ascii="仿宋_GB2312" w:hAnsi="宋体" w:eastAsia="仿宋_GB2312" w:cs="仿宋_GB2312"/>
                <w:kern w:val="0"/>
                <w:sz w:val="24"/>
                <w:lang w:bidi="ar"/>
              </w:rPr>
              <w:t>明确：外籍科研人员、港澳台地区科研人员受聘于申请单位并长期在申请单位从事科研工作的，其全职科研身份可根据聘任关系、岗位职责、科研任务承担情况等予以认定。</w:t>
            </w:r>
          </w:p>
        </w:tc>
      </w:tr>
      <w:tr>
        <w:tblPrEx>
          <w:tblCellMar>
            <w:top w:w="0" w:type="dxa"/>
            <w:left w:w="108" w:type="dxa"/>
            <w:bottom w:w="0" w:type="dxa"/>
            <w:right w:w="108" w:type="dxa"/>
          </w:tblCellMar>
        </w:tblPrEx>
        <w:trPr>
          <w:wBefore w:w="0" w:type="auto"/>
          <w:trHeight w:val="1995"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香港城市大学深圳研究院</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第九条 项目牵头申请人条件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建议在第九条【项目牵头申请人条件】中，将港澳在南山区科研机构特聘人员纳入申报资格范围。</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后续将通过操作</w:t>
            </w:r>
            <w:r>
              <w:rPr>
                <w:rFonts w:ascii="仿宋_GB2312" w:hAnsi="宋体" w:eastAsia="仿宋_GB2312" w:cs="仿宋_GB2312"/>
                <w:kern w:val="0"/>
                <w:sz w:val="24"/>
                <w:lang w:bidi="ar"/>
              </w:rPr>
              <w:t>规程</w:t>
            </w:r>
            <w:r>
              <w:rPr>
                <w:rFonts w:hint="eastAsia" w:ascii="仿宋_GB2312" w:hAnsi="宋体" w:eastAsia="仿宋_GB2312" w:cs="仿宋_GB2312"/>
                <w:kern w:val="0"/>
                <w:sz w:val="24"/>
                <w:lang w:bidi="ar"/>
              </w:rPr>
              <w:t>明确：外籍科研人员、港澳台地区科研人员受聘于申请单位并长期在申请单位从事科研工作的，其全职科研身份可根据聘任关系、岗位职责、科研任务承担情况等予以认定。</w:t>
            </w:r>
          </w:p>
        </w:tc>
      </w:tr>
      <w:tr>
        <w:tblPrEx>
          <w:tblCellMar>
            <w:top w:w="0" w:type="dxa"/>
            <w:left w:w="108" w:type="dxa"/>
            <w:bottom w:w="0" w:type="dxa"/>
            <w:right w:w="108" w:type="dxa"/>
          </w:tblCellMar>
        </w:tblPrEx>
        <w:trPr>
          <w:wBefore w:w="0" w:type="auto"/>
          <w:trHeight w:val="264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香港科技大学深圳研究院</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第九条 项目牵头申请人条件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建议条款修改为：项目牵头申请人应当是所申请项目的实际负责人，且为申请单位在职人员，具备承担基础研究课题的能力。</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受聘于内地单位的外籍科学家及港、澳、台地区科学家可作为申请人，全职受聘人员须由内地聘用单位提供全职聘用的有效材料，非全职受聘人员须由双方单位同时提供聘用的有效材料。</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“全职人员”的表述旨在确保项目负责人对项目的实质投入。“在职人员”涵盖范围较广，在实际操作中可能增加身份认定和管理的难度。</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在现有条款下不存在国籍限制，外籍科学</w:t>
            </w:r>
            <w:r>
              <w:rPr>
                <w:rFonts w:hint="eastAsia" w:ascii="仿宋_GB2312" w:hAnsi="宋体" w:eastAsia="仿宋_GB2312" w:cs="仿宋_GB2312"/>
                <w:kern w:val="0"/>
                <w:sz w:val="24"/>
                <w:lang w:bidi="ar"/>
              </w:rPr>
              <w:t>家及港澳台地区科学家可作为项目申请人。后续将通过操作</w:t>
            </w:r>
            <w:r>
              <w:rPr>
                <w:rFonts w:ascii="仿宋_GB2312" w:hAnsi="宋体" w:eastAsia="仿宋_GB2312" w:cs="仿宋_GB2312"/>
                <w:kern w:val="0"/>
                <w:sz w:val="24"/>
                <w:lang w:bidi="ar"/>
              </w:rPr>
              <w:t>规程</w:t>
            </w:r>
            <w:r>
              <w:rPr>
                <w:rFonts w:hint="eastAsia" w:ascii="仿宋_GB2312" w:hAnsi="宋体" w:eastAsia="仿宋_GB2312" w:cs="仿宋_GB2312"/>
                <w:kern w:val="0"/>
                <w:sz w:val="24"/>
                <w:lang w:bidi="ar"/>
              </w:rPr>
              <w:t>明确外籍</w:t>
            </w:r>
            <w:r>
              <w:rPr>
                <w:rFonts w:hint="eastAsia" w:ascii="仿宋_GB2312" w:hAnsi="宋体" w:eastAsia="仿宋_GB2312" w:cs="仿宋_GB2312"/>
                <w:color w:val="000000"/>
                <w:kern w:val="0"/>
                <w:sz w:val="24"/>
                <w:lang w:bidi="ar"/>
              </w:rPr>
              <w:t>、港澳科研人员全职科研身份的认定方式。</w:t>
            </w:r>
          </w:p>
        </w:tc>
      </w:tr>
      <w:tr>
        <w:tblPrEx>
          <w:tblCellMar>
            <w:top w:w="0" w:type="dxa"/>
            <w:left w:w="108" w:type="dxa"/>
            <w:bottom w:w="0" w:type="dxa"/>
            <w:right w:w="108" w:type="dxa"/>
          </w:tblCellMar>
        </w:tblPrEx>
        <w:trPr>
          <w:wBefore w:w="0" w:type="auto"/>
          <w:trHeight w:val="142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7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灏渊生物科技（深圳）有限公司</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第八条 申报单位条件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在“前沿探索项目”中，对小微科技企业放宽“科研条件”。建议在实施细则中明确：对于成立不满6年、员工人数不超过30人的小微科技企业，允许以“自有研发记录、市场验证数据、客户案例库”替代“实验室、仪器设备”等硬件条件。因为这类企业的核心资产是数据和算法，而非传统意义上的物理实验室。</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现行第八条第（一）款已经规定其他具有基础研究能力的企业和社会组织均可申报。已经覆盖企业（包括小微科技企业）科研团队。</w:t>
            </w:r>
          </w:p>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第八条第（四）款已规定申报单位应当具备与项目实施相匹配的科研条件，该表述具有较强包容性和适应性，并未限定必须具备传统实验室、仪器设备等条件。</w:t>
            </w:r>
          </w:p>
        </w:tc>
      </w:tr>
      <w:tr>
        <w:tblPrEx>
          <w:tblCellMar>
            <w:top w:w="0" w:type="dxa"/>
            <w:left w:w="108" w:type="dxa"/>
            <w:bottom w:w="0" w:type="dxa"/>
            <w:right w:w="108" w:type="dxa"/>
          </w:tblCellMar>
        </w:tblPrEx>
        <w:trPr>
          <w:wBefore w:w="0" w:type="auto"/>
          <w:trHeight w:val="106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第二十三条 经费管理</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允许项目经费中列支“人员工资”，并提高人员费比例上限。建议“前沿探索项目”经费中，人员工资（含社保、公积金）可列支比例上限提高至60%或更高。基础研究的核心投入是人的智力劳动，尤其对于小微科技企业，最大成本就是研发人员薪酬。若经费主要用于买设备，反而偏离了“支持原创性研究”的初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第三十条明确经费管理按照《深圳市科技研发资金管理办法》等规定执行，现行制度已充分考虑智力劳动作用，允许列支人力资源费，且未对人力资源费设置统一比例</w:t>
            </w:r>
            <w:r>
              <w:rPr>
                <w:rFonts w:ascii="仿宋_GB2312" w:hAnsi="宋体" w:eastAsia="仿宋_GB2312" w:cs="仿宋_GB2312"/>
                <w:color w:val="000000"/>
                <w:kern w:val="0"/>
                <w:sz w:val="24"/>
                <w:lang w:bidi="ar"/>
              </w:rPr>
              <w:t>限制</w:t>
            </w:r>
            <w:r>
              <w:rPr>
                <w:rFonts w:hint="eastAsia" w:ascii="仿宋_GB2312" w:hAnsi="宋体" w:eastAsia="仿宋_GB2312" w:cs="仿宋_GB2312"/>
                <w:color w:val="000000"/>
                <w:kern w:val="0"/>
                <w:sz w:val="24"/>
                <w:lang w:bidi="ar"/>
              </w:rPr>
              <w:t>，而是根据项目研究任务实际需要和经费使用合理性进行管理。</w:t>
            </w:r>
          </w:p>
        </w:tc>
      </w:tr>
      <w:tr>
        <w:tblPrEx>
          <w:tblCellMar>
            <w:top w:w="0" w:type="dxa"/>
            <w:left w:w="108" w:type="dxa"/>
            <w:bottom w:w="0" w:type="dxa"/>
            <w:right w:w="108" w:type="dxa"/>
          </w:tblCellMar>
        </w:tblPrEx>
        <w:trPr>
          <w:wBefore w:w="0" w:type="auto"/>
          <w:trHeight w:val="188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第二十四条 项目验收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增设“滚动支持”机制，对阶段性评估优秀的项目直接续期。《管理办法》第十九条规定了“阶段性评估”，但仅有“合格/限期整改/终止”三档，缺乏正向激励。建议增设“优秀”等级，对评估优秀的项目无需重新申报，直接给予不超过2年的滚动支持，资助额度可适度上浮（如增加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已为优秀团队持续获得资助提供了制度通道，项目结题后，符合条件的承担单位和项目负责人可按照年度申报指南继续申请后续项目支持，前期项目的完成情况也可作为评审的重要参考。在竞争择优的立项机制下，研究基础扎实、前期成果突出的团队在后续申报中具有明显优势，能够实现对优秀研究方向的持续支持。</w:t>
            </w:r>
          </w:p>
        </w:tc>
      </w:tr>
      <w:tr>
        <w:tblPrEx>
          <w:tblCellMar>
            <w:top w:w="0" w:type="dxa"/>
            <w:left w:w="108" w:type="dxa"/>
            <w:bottom w:w="0" w:type="dxa"/>
            <w:right w:w="108" w:type="dxa"/>
          </w:tblCellMar>
        </w:tblPrEx>
        <w:trPr>
          <w:wBefore w:w="0" w:type="auto"/>
          <w:trHeight w:val="102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第十一条 实施方式</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立面向中小微企业的“科学问题征集”常态化通道。起草说明提到“鼓励龙头企业参与凝练和提出科研命题”，建议将范围扩大至所有注册在南山区的中小微科技企业，建立每季度一次的常态化征集通道。对于提出的科学问题经论证后纳入年度项目指南的，该企业在后续申报中给予适当加分或优先立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第十一条已规定“建立常态化产业科学问题征集机制，鼓励企业参与科学问题凝练”，该表述不区分企业规模，中小微企业已被涵盖。</w:t>
            </w:r>
          </w:p>
        </w:tc>
      </w:tr>
      <w:tr>
        <w:tblPrEx>
          <w:tblCellMar>
            <w:top w:w="0" w:type="dxa"/>
            <w:left w:w="108" w:type="dxa"/>
            <w:bottom w:w="0" w:type="dxa"/>
            <w:right w:w="108" w:type="dxa"/>
          </w:tblCellMar>
        </w:tblPrEx>
        <w:trPr>
          <w:wBefore w:w="0" w:type="auto"/>
          <w:trHeight w:val="306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第六条 项目类型</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在“产学研联合重点专项”中，增设“小微企业联合专项”子类。《管理办法》第六条（三）规定联合资助方出资额原则上不少于300万元/年，该门槛将绝大多数小微企业排除在外。</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建议增设“小微企业联合专项”，区财政按不低于1:1比例配套，以激活更多“小而美”的产学研合作。</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六条第（三）款已明确规定，产学研联合重点专项支持相同、相近行业领域的多个主体共同出资设立联合基金，并未限制仅由单一企业出资。小微企业可通过与其他企业、高校、科研机构等主体联合出资设立联合基金，通过共同分担出资额度的方式降低单个主体的实际出资负担，在不降低专项准入标准的前提下参与产学研联合创新。</w:t>
            </w:r>
          </w:p>
        </w:tc>
      </w:tr>
      <w:tr>
        <w:tblPrEx>
          <w:tblCellMar>
            <w:top w:w="0" w:type="dxa"/>
            <w:left w:w="108" w:type="dxa"/>
            <w:bottom w:w="0" w:type="dxa"/>
            <w:right w:w="108" w:type="dxa"/>
          </w:tblCellMar>
        </w:tblPrEx>
        <w:trPr>
          <w:wBefore w:w="0" w:type="auto"/>
          <w:trHeight w:val="180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w:t>
            </w:r>
          </w:p>
        </w:tc>
        <w:tc>
          <w:tcPr>
            <w:tcW w:w="17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深圳曼德勃罗科技有限公司</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第六条 项目类型</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建议在《南山区自然科学基金管理办法》中增设“产业转化加速专项”，对具备明确落地路径、成本优势显著、且已通过或者正在通过顶会验证的早期技术项目，提供50-300万元阶段式资助。</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山区现有产业科技创新政策当中已有产业转化相关支持项目。本基金定位为“支持基础研究和应用基础研究”，且第二十八条建立概念验证与中试衔接机制，第二十九条设立成果转化服务机制，形成从基础研究到产业化的衔接通道，因此区自然科学基金暂不增设产业转化加速专项。</w:t>
            </w:r>
          </w:p>
        </w:tc>
      </w:tr>
      <w:tr>
        <w:tblPrEx>
          <w:tblCellMar>
            <w:top w:w="0" w:type="dxa"/>
            <w:left w:w="108" w:type="dxa"/>
            <w:bottom w:w="0" w:type="dxa"/>
            <w:right w:w="108" w:type="dxa"/>
          </w:tblCellMar>
        </w:tblPrEx>
        <w:trPr>
          <w:wBefore w:w="0" w:type="auto"/>
          <w:trHeight w:val="577"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第十二条 申报组织</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简化中小企业申报流程，对工程型团队开放“技术负责人自述+第三方技术评估”替代部分资质要求。</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区自然科学基金项目对中小企业等各类创新主体开放，实行统一申报、统一评审和统一管理，暂不额外新设资质、流程等要求。</w:t>
            </w:r>
          </w:p>
        </w:tc>
      </w:tr>
      <w:tr>
        <w:tblPrEx>
          <w:tblCellMar>
            <w:top w:w="0" w:type="dxa"/>
            <w:left w:w="108" w:type="dxa"/>
            <w:bottom w:w="0" w:type="dxa"/>
            <w:right w:w="108" w:type="dxa"/>
          </w:tblCellMar>
        </w:tblPrEx>
        <w:trPr>
          <w:wBefore w:w="0" w:type="auto"/>
          <w:trHeight w:val="1757"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第八条 申报单位条件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支持“以用促研”模式：允许企业联合医院、金融机构等场景方共同申报，基金可覆盖首期场景验证成本;</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第八条允许医疗卫生单位、企业、社会组织共同申报。</w:t>
            </w:r>
          </w:p>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场景验证属于应用开发和产业化环节，可通过南山区现有的概念验证平台和中试基地等政策获得支持。</w:t>
            </w:r>
          </w:p>
        </w:tc>
      </w:tr>
      <w:tr>
        <w:tblPrEx>
          <w:tblCellMar>
            <w:top w:w="0" w:type="dxa"/>
            <w:left w:w="108" w:type="dxa"/>
            <w:bottom w:w="0" w:type="dxa"/>
            <w:right w:w="108" w:type="dxa"/>
          </w:tblCellMar>
        </w:tblPrEx>
        <w:trPr>
          <w:wBefore w:w="0" w:type="auto"/>
          <w:trHeight w:val="194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个人意见（徐*，哈尔滨工业大学）</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第十一条 实施方式</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鉴于基础研究的规律以及前瞻研究不确定性，强烈建议前沿探索自由选题而非命题作文。此有利于规避人为的短视效应，以及政府基础研究政策的公平性。此外，人为的强行规划与规定，事实上会造成将来的基础研究“短板”。</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级自然基金与上级自然基金定位各有侧重，区级需体现地方财政资金服务区域创新发展和产业升级的导向作用。第十一条规定区科创局通过发布申报指南明确支持方向和管理要求，并不限定具体研究题目，科研人员可根据指南自主确定研究题目。</w:t>
            </w:r>
          </w:p>
        </w:tc>
      </w:tr>
      <w:tr>
        <w:tblPrEx>
          <w:tblCellMar>
            <w:top w:w="0" w:type="dxa"/>
            <w:left w:w="108" w:type="dxa"/>
            <w:bottom w:w="0" w:type="dxa"/>
            <w:right w:w="108" w:type="dxa"/>
          </w:tblCellMar>
        </w:tblPrEx>
        <w:trPr>
          <w:wBefore w:w="0" w:type="auto"/>
          <w:trHeight w:val="118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w:t>
            </w:r>
          </w:p>
        </w:tc>
        <w:tc>
          <w:tcPr>
            <w:tcW w:w="17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个人意见（袁*）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第八条 申报单位条件（二）</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总则或附则增加对“关联单位”定义，或直接引用企业会计准则/国资监管口径（如：直接/间接持股≥25%、同一最终控制人、董监高及近亲属任高管等），并要求申报时提交《关联关系声明+承诺函》，授权区科创局可调用工商穿透数据交叉核验。</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具体的定义、认定情形清单和声明制度，将在后续制定的实施细则或操作规程中统一明确。</w:t>
            </w:r>
          </w:p>
        </w:tc>
      </w:tr>
      <w:tr>
        <w:tblPrEx>
          <w:tblCellMar>
            <w:top w:w="0" w:type="dxa"/>
            <w:left w:w="108" w:type="dxa"/>
            <w:bottom w:w="0" w:type="dxa"/>
            <w:right w:w="108" w:type="dxa"/>
          </w:tblCellMar>
        </w:tblPrEx>
        <w:trPr>
          <w:wBefore w:w="0" w:type="auto"/>
          <w:trHeight w:val="1107"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第十五条 立项公示</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第十五条“可以不予公示”裁量权过宽 → 公共资金透明度风险。 </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修改建议：限定不公示的适用情形为：①法定保密/国家安全；②涉及依法受限信息，需增设程序要件：不公示须经法制复核→分管领导签批→理由书面归档，不得以“商业秘密”“联合方意愿”为由豁免公示。至少应公示“项目名称+承担单位+资助金额+合规监督电话”（脱敏即可）。</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不采纳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现行条款已明确规定，拟资助项目原则上应向社会公示，只有依据《中华人民共和国政府信息公开条例》等有关规定，符合不予公开情形的项目，方可不予公示。不公示情形的认定将严格依据国家有关法律法规及政策规定执行。</w:t>
            </w:r>
          </w:p>
        </w:tc>
      </w:tr>
      <w:tr>
        <w:tblPrEx>
          <w:tblCellMar>
            <w:top w:w="0" w:type="dxa"/>
            <w:left w:w="108" w:type="dxa"/>
            <w:bottom w:w="0" w:type="dxa"/>
            <w:right w:w="108" w:type="dxa"/>
          </w:tblCellMar>
        </w:tblPrEx>
        <w:trPr>
          <w:wBefore w:w="0" w:type="auto"/>
          <w:trHeight w:val="1995"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第十一条 实施方式</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第十一条“定向委托”缺乏程序约束 → 容易被解读为变相指定。</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修改建议：明确定向委托的启动条件（如：市区重大专项配套、突发公共卫生/安全应急、战略技术储备且公开市场无供给）、必需附件（区长办公会/区政府纪要或指挥部文件引用）、最短公示期，并要求评审专家组成与打分表存档备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第十一条已经明确了定向委托的启动条件“根据市、区政府重大工作部署或突发应急需求”，并且仍然要求“择优支持”。</w:t>
            </w:r>
          </w:p>
        </w:tc>
      </w:tr>
      <w:tr>
        <w:tblPrEx>
          <w:tblCellMar>
            <w:top w:w="0" w:type="dxa"/>
            <w:left w:w="108" w:type="dxa"/>
            <w:bottom w:w="0" w:type="dxa"/>
            <w:right w:w="108" w:type="dxa"/>
          </w:tblCellMar>
        </w:tblPrEx>
        <w:trPr>
          <w:wBefore w:w="0" w:type="auto"/>
          <w:trHeight w:val="1425"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16</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第十七条 项目组织单位职责</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第十七条把指南发布、受理、评审、合同签订、中期检查、验收全链条的“具体职责”委托联合资助方，而“收权机制”缺少约束机制，只“报区科创局备案”"48小时报告重大风险”。</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至少补三条硬约束：①联合资助方评审专家库须报区科创局备案且随机抽选，区科创局有权派观察员；②所有立项建议、验收结论均为“区科创局终批制”而非形式备案；③增设抽样审计比例（如每年不低于20%项目现场核查），抽样不合格则暂停该联合方下一期续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部分采纳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三条第（八）款已规定区科创局“对立项项目行使备案审查、监督管理，对违反负面清单或存在利益冲突的情形行使否决权”。第十七条已设定了较为详细的联合资助方（项目组织单位）职责，包括报告义务、接受监督等。</w:t>
            </w:r>
          </w:p>
        </w:tc>
      </w:tr>
      <w:tr>
        <w:tblPrEx>
          <w:tblCellMar>
            <w:top w:w="0" w:type="dxa"/>
            <w:left w:w="108" w:type="dxa"/>
            <w:bottom w:w="0" w:type="dxa"/>
            <w:right w:w="108" w:type="dxa"/>
          </w:tblCellMar>
        </w:tblPrEx>
        <w:trPr>
          <w:wBefore w:w="0" w:type="auto"/>
          <w:trHeight w:val="142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w:t>
            </w:r>
          </w:p>
        </w:tc>
        <w:tc>
          <w:tcPr>
            <w:tcW w:w="1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第二十五条 容错机制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把容错改造成可操作的“安全港”：明确勤勉举证清单（原始实验记录/版本控制日志/周报/伦理批件/采购验收单齐全→推定为勤勉）、排除情形（记录缺失、经费挪用、挂名、方向私自转向非申报领域→不适用容错）、裁定主体（区基金委技术小组提意见→区科创局终批），并把“减轻/免除”限定为合约违约责任（如免于追缴已合规支出部分），但不豁免学术不端与财务违规。</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第二十五条拟增加：“容错机制的具体适用条件、认定程序和责任边界，参照《深圳市科技创新领域宽容失败履职尽责认定工作指引（试行）》及相关规定执行。”</w:t>
            </w:r>
          </w:p>
        </w:tc>
      </w:tr>
      <w:tr>
        <w:tblPrEx>
          <w:tblCellMar>
            <w:top w:w="0" w:type="dxa"/>
            <w:left w:w="108" w:type="dxa"/>
            <w:bottom w:w="0" w:type="dxa"/>
            <w:right w:w="108" w:type="dxa"/>
          </w:tblCellMar>
        </w:tblPrEx>
        <w:trPr>
          <w:wBefore w:w="0" w:type="auto"/>
          <w:trHeight w:val="1640" w:hRule="atLeast"/>
        </w:trPr>
        <w:tc>
          <w:tcPr>
            <w:tcW w:w="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深圳市智慧星云人工智能科技有限公司</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第九条 项目牵头申请人条件</w:t>
            </w:r>
          </w:p>
        </w:tc>
        <w:tc>
          <w:tcPr>
            <w:tcW w:w="4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建议项目组主要成员（非牵头申请人）不强制要求为所在单位的全职人员。</w:t>
            </w:r>
          </w:p>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兼职人员、在读研究生、实习人员等，均可以作为项目组成员参与项目。项</w:t>
            </w:r>
          </w:p>
          <w:p>
            <w:pPr>
              <w:widowControl/>
              <w:jc w:val="left"/>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目申请时，应由其所在单位（或合作研究单位）出具同意参与研究的证明文</w:t>
            </w:r>
          </w:p>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件，并明确其在项目中的职责分工和时间投入。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采纳</w:t>
            </w:r>
          </w:p>
        </w:tc>
        <w:tc>
          <w:tcPr>
            <w:tcW w:w="44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第九条对“全职人员”的要求仅针对项目牵头申请人，即“项目牵头申请人应当是所申请项目的实际负责人，且为申请单位全职人员”。对于项目组其他成员，第九条第（二）款仅设定了在研项目数量限制（不超过3项），并未要求其必须为所在单位全职人员。</w:t>
            </w:r>
          </w:p>
        </w:tc>
      </w:tr>
      <w:tr>
        <w:tblPrEx>
          <w:tblCellMar>
            <w:top w:w="0" w:type="dxa"/>
            <w:left w:w="108" w:type="dxa"/>
            <w:bottom w:w="0" w:type="dxa"/>
            <w:right w:w="108" w:type="dxa"/>
          </w:tblCellMar>
        </w:tblPrEx>
        <w:trPr>
          <w:wBefore w:w="0" w:type="auto"/>
          <w:trHeight w:val="560" w:hRule="atLeast"/>
        </w:trPr>
        <w:tc>
          <w:tcPr>
            <w:tcW w:w="1417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注：另有一条个人意见，因未对征求意见稿提出任何修改意见或建议，属无效意见。</w:t>
            </w:r>
          </w:p>
        </w:tc>
      </w:tr>
    </w:tbl>
    <w:p>
      <w:pPr>
        <w:spacing w:line="560" w:lineRule="exact"/>
        <w:rPr>
          <w:rFonts w:hint="eastAsia" w:ascii="仿宋_GB2312" w:hAnsi="仿宋_GB2312" w:eastAsia="仿宋_GB2312" w:cs="仿宋_GB2312"/>
          <w:sz w:val="32"/>
          <w:szCs w:val="32"/>
        </w:rPr>
      </w:pPr>
    </w:p>
    <w:p>
      <w:pPr>
        <w:spacing w:line="560" w:lineRule="exact"/>
        <w:ind w:right="420" w:rightChars="20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深圳市南山区科技创新局</w:t>
      </w:r>
    </w:p>
    <w:p>
      <w:pPr>
        <w:spacing w:line="560" w:lineRule="exact"/>
        <w:ind w:right="840" w:rightChars="40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2026年6月18日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2010600030101010101"/>
    <w:charset w:val="86"/>
    <w:family w:val="auto"/>
    <w:pitch w:val="default"/>
    <w:sig w:usb0="00000203" w:usb1="288F0000" w:usb2="0000001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E54"/>
    <w:rsid w:val="0017294A"/>
    <w:rsid w:val="007D70D1"/>
    <w:rsid w:val="007E7933"/>
    <w:rsid w:val="00845DE1"/>
    <w:rsid w:val="0095120D"/>
    <w:rsid w:val="009725F5"/>
    <w:rsid w:val="00CE1005"/>
    <w:rsid w:val="067FAB98"/>
    <w:rsid w:val="0BE47B03"/>
    <w:rsid w:val="0D1CD76F"/>
    <w:rsid w:val="1A7A8BEC"/>
    <w:rsid w:val="1B9E54E9"/>
    <w:rsid w:val="1DC753D0"/>
    <w:rsid w:val="1DE92BCE"/>
    <w:rsid w:val="2654BBEB"/>
    <w:rsid w:val="2CA8C41B"/>
    <w:rsid w:val="2DF39E06"/>
    <w:rsid w:val="2EA649F1"/>
    <w:rsid w:val="2EBF2569"/>
    <w:rsid w:val="30171F6C"/>
    <w:rsid w:val="3052DD9B"/>
    <w:rsid w:val="353C79C6"/>
    <w:rsid w:val="37CFB5CE"/>
    <w:rsid w:val="389058A2"/>
    <w:rsid w:val="38FD1595"/>
    <w:rsid w:val="3BCD6EC3"/>
    <w:rsid w:val="3BF56A45"/>
    <w:rsid w:val="3E5DDACD"/>
    <w:rsid w:val="3FCC286B"/>
    <w:rsid w:val="3FD75E93"/>
    <w:rsid w:val="3FF61F1B"/>
    <w:rsid w:val="41CEF44D"/>
    <w:rsid w:val="4B7FB3FA"/>
    <w:rsid w:val="4E1E38D1"/>
    <w:rsid w:val="4E74CD21"/>
    <w:rsid w:val="522F0528"/>
    <w:rsid w:val="53BC31DF"/>
    <w:rsid w:val="555FF550"/>
    <w:rsid w:val="5B254035"/>
    <w:rsid w:val="5CAA6B36"/>
    <w:rsid w:val="6391A5C0"/>
    <w:rsid w:val="65291D8F"/>
    <w:rsid w:val="6629CB99"/>
    <w:rsid w:val="67FDC3E3"/>
    <w:rsid w:val="6BA2EF6C"/>
    <w:rsid w:val="6E7D8E00"/>
    <w:rsid w:val="6FA1D0A8"/>
    <w:rsid w:val="73BB4F9A"/>
    <w:rsid w:val="75C3A6F1"/>
    <w:rsid w:val="767B0472"/>
    <w:rsid w:val="7753DD43"/>
    <w:rsid w:val="788B62C1"/>
    <w:rsid w:val="7FBDE96C"/>
    <w:rsid w:val="89190539"/>
    <w:rsid w:val="8B9D4D16"/>
    <w:rsid w:val="8C0617EE"/>
    <w:rsid w:val="8EC30933"/>
    <w:rsid w:val="8FFBB840"/>
    <w:rsid w:val="91EB6456"/>
    <w:rsid w:val="96CEB337"/>
    <w:rsid w:val="98396246"/>
    <w:rsid w:val="9A90A602"/>
    <w:rsid w:val="A4B0D7AB"/>
    <w:rsid w:val="A665F10B"/>
    <w:rsid w:val="AC667F82"/>
    <w:rsid w:val="AE303301"/>
    <w:rsid w:val="AE334AFF"/>
    <w:rsid w:val="B2FCC2E5"/>
    <w:rsid w:val="B3D86958"/>
    <w:rsid w:val="BA456BAF"/>
    <w:rsid w:val="BD6F6186"/>
    <w:rsid w:val="BE319AD8"/>
    <w:rsid w:val="C0766E1B"/>
    <w:rsid w:val="C28F1F2B"/>
    <w:rsid w:val="C54E0E07"/>
    <w:rsid w:val="C947C458"/>
    <w:rsid w:val="CA4D8296"/>
    <w:rsid w:val="CCBC2ED8"/>
    <w:rsid w:val="CD2D6EF9"/>
    <w:rsid w:val="CDCDB3A4"/>
    <w:rsid w:val="CECF0519"/>
    <w:rsid w:val="D3447320"/>
    <w:rsid w:val="D89E5093"/>
    <w:rsid w:val="DCF7093F"/>
    <w:rsid w:val="E14FA5B7"/>
    <w:rsid w:val="E3DB9916"/>
    <w:rsid w:val="E7B42A50"/>
    <w:rsid w:val="E7DDA00F"/>
    <w:rsid w:val="EB4FE42D"/>
    <w:rsid w:val="EF24FABA"/>
    <w:rsid w:val="F0172F5D"/>
    <w:rsid w:val="F2525517"/>
    <w:rsid w:val="F678DEBF"/>
    <w:rsid w:val="F78F1EC8"/>
    <w:rsid w:val="F9F09B97"/>
    <w:rsid w:val="FA6F9A86"/>
    <w:rsid w:val="FC091317"/>
    <w:rsid w:val="FD7E6AA7"/>
    <w:rsid w:val="FDFFEAF7"/>
    <w:rsid w:val="FFE662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uiPriority w:val="0"/>
    <w:rPr>
      <w:rFonts w:ascii="Times New Roman" w:hAnsi="Times New Roman" w:eastAsia="宋体" w:cs="Times New Roman"/>
    </w:rPr>
  </w:style>
  <w:style w:type="table" w:default="1" w:styleId="5">
    <w:name w:val="Normal Table"/>
    <w:uiPriority w:val="0"/>
    <w:rPr>
      <w:rFonts w:ascii="Times New Roman" w:hAnsi="Times New Roman" w:eastAsia="宋体" w:cs="Times New Roman"/>
    </w:rPr>
    <w:tblPr>
      <w:tblStyle w:val="5"/>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9"/>
    <w:uiPriority w:val="0"/>
    <w:pP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7">
    <w:name w:val="Strong"/>
    <w:qFormat/>
    <w:uiPriority w:val="0"/>
    <w:rPr>
      <w:rFonts w:ascii="Times New Roman" w:hAnsi="Times New Roman" w:eastAsia="宋体" w:cs="Times New Roman"/>
      <w:b/>
    </w:rPr>
  </w:style>
  <w:style w:type="character" w:customStyle="1" w:styleId="8">
    <w:name w:val="页脚 字符"/>
    <w:link w:val="2"/>
    <w:uiPriority w:val="0"/>
    <w:rPr>
      <w:rFonts w:ascii="Calibri" w:hAnsi="Calibri" w:eastAsia="宋体" w:cs="Times New Roman"/>
      <w:kern w:val="2"/>
      <w:sz w:val="18"/>
      <w:szCs w:val="18"/>
    </w:rPr>
  </w:style>
  <w:style w:type="character" w:customStyle="1" w:styleId="9">
    <w:name w:val="页眉 字符"/>
    <w:link w:val="3"/>
    <w:uiPriority w:val="0"/>
    <w:rPr>
      <w:rFonts w:ascii="Calibri" w:hAnsi="Calibri" w:eastAsia="宋体" w:cs="Times New Roman"/>
      <w:kern w:val="2"/>
      <w:sz w:val="18"/>
      <w:szCs w:val="18"/>
    </w:rPr>
  </w:style>
  <w:style w:type="paragraph" w:styleId="10">
    <w:name w:val=""/>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2432</Words>
  <Characters>2433</Characters>
  <Lines>202</Lines>
  <Paragraphs>124</Paragraphs>
  <TotalTime>13</TotalTime>
  <ScaleCrop>false</ScaleCrop>
  <LinksUpToDate>false</LinksUpToDate>
  <CharactersWithSpaces>4741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2026-06-24T00:32:00Z</dcterms:created>
  <dc:creator>张康康</dc:creator>
  <cp:lastModifiedBy>郭奇勇</cp:lastModifiedBy>
  <dcterms:modified xsi:type="dcterms:W3CDTF">2026-06-24T16:57:03Z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189AE2B95678446DE8AA336AE3F44BC3_43</vt:lpwstr>
  </property>
  <property fmtid="{D5CDD505-2E9C-101B-9397-08002B2CF9AE}" pid="4" name="KSOTemplateDocerSaveRecord">
    <vt:lpwstr>eyJoZGlkIjoiMWQ4NTkwNmFiY2M5MGQzMzUyYmZkYTI0Zjg4Nzk3MmQiLCJ1c2VySWQiOiIxNjc4NzIzODgwIn0=</vt:lpwstr>
  </property>
</Properties>
</file>