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南山区促进产业高质量发展专项资金——</w:t>
      </w:r>
    </w:p>
    <w:p>
      <w:pPr>
        <w:spacing w:after="0" w:line="560" w:lineRule="exact"/>
        <w:jc w:val="center"/>
        <w:outlineLvl w:val="0"/>
        <w:rPr>
          <w:rFonts w:ascii="方正小标宋_GBK" w:hAnsi="ˎ̥" w:eastAsia="方正小标宋_GBK" w:cs="宋体"/>
          <w:sz w:val="32"/>
          <w:szCs w:val="32"/>
          <w:highlight w:val="none"/>
          <w:lang w:eastAsia="zh-CN" w:bidi="ar-SA"/>
        </w:rPr>
      </w:pPr>
      <w:r>
        <w:rPr>
          <w:rFonts w:hint="eastAsia" w:ascii="方正小标宋_GBK" w:hAnsi="宋体" w:eastAsia="方正小标宋_GBK"/>
          <w:sz w:val="44"/>
          <w:szCs w:val="44"/>
          <w:highlight w:val="none"/>
          <w:lang w:eastAsia="zh-CN"/>
        </w:rPr>
        <w:t>区科技创新局</w:t>
      </w:r>
      <w:r>
        <w:rPr>
          <w:rFonts w:ascii="方正小标宋_GBK" w:hAnsi="宋体" w:eastAsia="方正小标宋_GBK"/>
          <w:sz w:val="44"/>
          <w:szCs w:val="44"/>
          <w:highlight w:val="none"/>
          <w:lang w:eastAsia="zh-CN"/>
        </w:rPr>
        <w:t>分项资金</w:t>
      </w:r>
      <w:r>
        <w:rPr>
          <w:rFonts w:hint="eastAsia" w:ascii="方正小标宋_GBK" w:hAnsi="宋体" w:eastAsia="方正小标宋_GBK" w:cs="宋体"/>
          <w:bCs/>
          <w:sz w:val="44"/>
          <w:szCs w:val="44"/>
          <w:highlight w:val="none"/>
          <w:lang w:eastAsia="zh-CN" w:bidi="ar-SA"/>
        </w:rPr>
        <w:t>科技金融投资机构支持计划操作规程</w:t>
      </w:r>
    </w:p>
    <w:p>
      <w:pPr>
        <w:spacing w:after="0" w:line="240" w:lineRule="auto"/>
        <w:ind w:firstLine="640" w:firstLineChars="200"/>
        <w:jc w:val="both"/>
        <w:rPr>
          <w:rFonts w:ascii="仿宋_GB2312" w:eastAsia="仿宋_GB2312"/>
          <w:b/>
          <w:kern w:val="2"/>
          <w:sz w:val="32"/>
          <w:szCs w:val="32"/>
          <w:highlight w:val="none"/>
          <w:lang w:eastAsia="zh-CN" w:bidi="ar-SA"/>
        </w:rPr>
      </w:pPr>
    </w:p>
    <w:p>
      <w:pPr>
        <w:pStyle w:val="13"/>
        <w:numPr>
          <w:ilvl w:val="0"/>
          <w:numId w:val="1"/>
        </w:numPr>
        <w:spacing w:after="0" w:line="560" w:lineRule="exact"/>
        <w:ind w:firstLineChars="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spacing w:after="0" w:line="560" w:lineRule="exact"/>
        <w:ind w:firstLine="640" w:firstLineChars="200"/>
        <w:contextualSpacing/>
        <w:jc w:val="both"/>
        <w:rPr>
          <w:rFonts w:ascii="仿宋_GB2312" w:eastAsia="仿宋_GB2312"/>
          <w:sz w:val="32"/>
          <w:szCs w:val="32"/>
          <w:highlight w:val="none"/>
          <w:lang w:eastAsia="zh-CN"/>
        </w:rPr>
      </w:pPr>
      <w:bookmarkStart w:id="0" w:name="_Hlk97539828"/>
      <w:r>
        <w:rPr>
          <w:rFonts w:hint="eastAsia" w:ascii="仿宋_GB2312" w:eastAsia="仿宋_GB2312"/>
          <w:sz w:val="32"/>
          <w:szCs w:val="32"/>
          <w:highlight w:val="none"/>
          <w:lang w:eastAsia="zh-CN"/>
        </w:rPr>
        <w:t>对投资辖区内种子期、初创期科技企业的辖区内投资机构，按照上年度实际投资额最高10%给予资助，单个项目最高资助100万元，每家机构每年最高资助500万元。</w:t>
      </w:r>
    </w:p>
    <w:bookmarkEnd w:id="0"/>
    <w:p>
      <w:pPr>
        <w:spacing w:after="0" w:line="560" w:lineRule="exact"/>
        <w:ind w:firstLine="640" w:firstLineChars="20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二、设定依据</w:t>
      </w:r>
    </w:p>
    <w:p>
      <w:pPr>
        <w:keepNext w:val="0"/>
        <w:keepLines w:val="0"/>
        <w:pageBreakBefore w:val="0"/>
        <w:widowControl/>
        <w:kinsoku/>
        <w:wordWrap/>
        <w:overflowPunct/>
        <w:topLinePunct w:val="0"/>
        <w:autoSpaceDE/>
        <w:autoSpaceDN/>
        <w:bidi w:val="0"/>
        <w:adjustRightInd/>
        <w:snapToGrid/>
        <w:spacing w:after="0" w:line="560" w:lineRule="exact"/>
        <w:ind w:firstLine="632" w:firstLineChars="200"/>
        <w:jc w:val="both"/>
        <w:textAlignment w:val="auto"/>
        <w:outlineLvl w:val="1"/>
        <w:rPr>
          <w:rFonts w:ascii="仿宋_GB2312" w:eastAsia="仿宋_GB2312"/>
          <w:w w:val="99"/>
          <w:sz w:val="32"/>
          <w:szCs w:val="32"/>
          <w:highlight w:val="none"/>
          <w:lang w:eastAsia="zh-CN"/>
        </w:rPr>
      </w:pPr>
      <w:r>
        <w:rPr>
          <w:rFonts w:hint="default" w:ascii="仿宋_GB2312" w:eastAsia="仿宋_GB2312"/>
          <w:w w:val="99"/>
          <w:sz w:val="32"/>
          <w:szCs w:val="32"/>
          <w:highlight w:val="none"/>
          <w:lang w:eastAsia="zh-Hans"/>
        </w:rPr>
        <w:t>（一）</w:t>
      </w:r>
      <w:r>
        <w:rPr>
          <w:rFonts w:hint="eastAsia" w:ascii="仿宋_GB2312" w:eastAsia="仿宋_GB2312"/>
          <w:w w:val="99"/>
          <w:sz w:val="32"/>
          <w:szCs w:val="32"/>
          <w:highlight w:val="none"/>
          <w:lang w:eastAsia="zh-CN"/>
        </w:rPr>
        <w:t>《南山区促进产业高质量发展专项资金管理办法》</w:t>
      </w:r>
    </w:p>
    <w:p>
      <w:pPr>
        <w:keepNext w:val="0"/>
        <w:keepLines w:val="0"/>
        <w:pageBreakBefore w:val="0"/>
        <w:widowControl/>
        <w:kinsoku/>
        <w:wordWrap/>
        <w:overflowPunct/>
        <w:topLinePunct w:val="0"/>
        <w:autoSpaceDE/>
        <w:autoSpaceDN/>
        <w:bidi w:val="0"/>
        <w:adjustRightInd/>
        <w:snapToGrid/>
        <w:spacing w:after="0" w:line="560" w:lineRule="exact"/>
        <w:ind w:firstLine="632" w:firstLineChars="200"/>
        <w:textAlignment w:val="auto"/>
        <w:outlineLvl w:val="0"/>
        <w:rPr>
          <w:rFonts w:ascii="仿宋_GB2312" w:eastAsia="仿宋_GB2312"/>
          <w:b/>
          <w:kern w:val="2"/>
          <w:sz w:val="32"/>
          <w:szCs w:val="32"/>
          <w:highlight w:val="none"/>
          <w:lang w:eastAsia="zh-CN" w:bidi="ar-SA"/>
        </w:rPr>
      </w:pPr>
      <w:r>
        <w:rPr>
          <w:rFonts w:hint="default" w:ascii="仿宋_GB2312" w:eastAsia="仿宋_GB2312"/>
          <w:w w:val="99"/>
          <w:sz w:val="32"/>
          <w:szCs w:val="32"/>
          <w:highlight w:val="none"/>
          <w:lang w:eastAsia="zh-CN"/>
        </w:rPr>
        <w:t>（二）</w:t>
      </w:r>
      <w:r>
        <w:rPr>
          <w:rFonts w:hint="eastAsia" w:ascii="仿宋_GB2312" w:eastAsia="仿宋_GB2312"/>
          <w:w w:val="99"/>
          <w:sz w:val="32"/>
          <w:szCs w:val="32"/>
          <w:highlight w:val="none"/>
          <w:lang w:eastAsia="zh-CN"/>
        </w:rPr>
        <w:t>《南山区促进科技创新专项扶持措施</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三、申报对象和条件</w:t>
      </w:r>
    </w:p>
    <w:p>
      <w:pPr>
        <w:keepNext w:val="0"/>
        <w:keepLines w:val="0"/>
        <w:pageBreakBefore w:val="0"/>
        <w:widowControl/>
        <w:numPr>
          <w:ilvl w:val="255"/>
          <w:numId w:val="0"/>
        </w:numPr>
        <w:kinsoku/>
        <w:wordWrap/>
        <w:overflowPunct/>
        <w:topLinePunct w:val="0"/>
        <w:autoSpaceDE/>
        <w:autoSpaceDN/>
        <w:bidi w:val="0"/>
        <w:adjustRightInd/>
        <w:snapToGrid/>
        <w:spacing w:after="0" w:line="560" w:lineRule="exact"/>
        <w:ind w:firstLine="640" w:firstLineChars="200"/>
        <w:jc w:val="both"/>
        <w:textAlignment w:val="auto"/>
        <w:rPr>
          <w:rFonts w:ascii="仿宋_GB2312" w:hAnsi="ˎ̥" w:eastAsia="仿宋_GB2312" w:cs="宋体"/>
          <w:sz w:val="32"/>
          <w:szCs w:val="32"/>
          <w:highlight w:val="none"/>
          <w:lang w:eastAsia="zh-CN" w:bidi="ar-SA"/>
        </w:rPr>
      </w:pPr>
      <w:r>
        <w:rPr>
          <w:rFonts w:hint="default" w:ascii="仿宋_GB2312" w:eastAsia="仿宋_GB2312"/>
          <w:sz w:val="32"/>
          <w:szCs w:val="32"/>
          <w:highlight w:val="none"/>
          <w:lang w:eastAsia="zh-Hans"/>
        </w:rPr>
        <w:t>（一）</w:t>
      </w:r>
      <w:r>
        <w:rPr>
          <w:rFonts w:hint="eastAsia" w:ascii="仿宋_GB2312" w:eastAsia="仿宋_GB2312"/>
          <w:sz w:val="32"/>
          <w:szCs w:val="32"/>
          <w:highlight w:val="none"/>
          <w:lang w:eastAsia="zh-CN"/>
        </w:rPr>
        <w:t>该项政策所指投资机构为注册在南山辖区内，实收资本不低于人民币1000万元，在中国证券投资基金业协会登记且位居上年度清科“中国股权投资年度排名”榜单的私募基金管理人，包括股权投资基金管理企业、创业投资基金管理企业等</w:t>
      </w:r>
      <w:r>
        <w:rPr>
          <w:rFonts w:hint="eastAsia" w:ascii="仿宋_GB2312" w:hAnsi="仿宋_GB2312" w:eastAsia="仿宋_GB2312" w:cs="仿宋_GB2312"/>
          <w:kern w:val="21"/>
          <w:sz w:val="32"/>
          <w:szCs w:val="32"/>
          <w:highlight w:val="none"/>
          <w:lang w:eastAsia="zh-CN" w:bidi="ar-SA"/>
        </w:rPr>
        <w:t>（具体要求见附件）</w:t>
      </w:r>
      <w:r>
        <w:rPr>
          <w:rFonts w:hint="eastAsia" w:ascii="仿宋_GB2312" w:hAnsi="ˎ̥" w:eastAsia="仿宋_GB2312" w:cs="宋体"/>
          <w:sz w:val="32"/>
          <w:szCs w:val="32"/>
          <w:highlight w:val="none"/>
          <w:lang w:eastAsia="zh-CN" w:bidi="ar-SA"/>
        </w:rPr>
        <w:t>。</w:t>
      </w:r>
    </w:p>
    <w:p>
      <w:pPr>
        <w:pStyle w:val="3"/>
        <w:keepNext w:val="0"/>
        <w:keepLines w:val="0"/>
        <w:pageBreakBefore w:val="0"/>
        <w:widowControl/>
        <w:numPr>
          <w:ilvl w:val="255"/>
          <w:numId w:val="0"/>
        </w:numPr>
        <w:kinsoku/>
        <w:wordWrap/>
        <w:overflowPunct/>
        <w:topLinePunct w:val="0"/>
        <w:autoSpaceDE/>
        <w:autoSpaceDN/>
        <w:bidi w:val="0"/>
        <w:adjustRightInd/>
        <w:snapToGrid/>
        <w:spacing w:after="0" w:line="560" w:lineRule="exact"/>
        <w:ind w:firstLine="640" w:firstLineChars="200"/>
        <w:jc w:val="both"/>
        <w:textAlignment w:val="auto"/>
        <w:rPr>
          <w:rFonts w:ascii="仿宋_GB2312" w:hAnsi="ˎ̥" w:eastAsia="仿宋_GB2312" w:cs="宋体"/>
          <w:sz w:val="32"/>
          <w:szCs w:val="32"/>
          <w:highlight w:val="none"/>
        </w:rPr>
      </w:pPr>
      <w:r>
        <w:rPr>
          <w:rFonts w:hint="default" w:ascii="仿宋_GB2312" w:eastAsia="仿宋_GB2312"/>
          <w:sz w:val="32"/>
          <w:szCs w:val="32"/>
          <w:highlight w:val="none"/>
          <w:lang w:eastAsia="zh-Hans"/>
        </w:rPr>
        <w:t>（二）</w:t>
      </w:r>
      <w:r>
        <w:rPr>
          <w:rFonts w:hint="eastAsia" w:ascii="仿宋_GB2312" w:hAnsi="ˎ̥" w:eastAsia="仿宋_GB2312" w:cs="宋体"/>
          <w:sz w:val="32"/>
          <w:szCs w:val="32"/>
          <w:highlight w:val="none"/>
        </w:rPr>
        <w:t>申报主体投资对象为</w:t>
      </w:r>
      <w:r>
        <w:rPr>
          <w:rFonts w:hint="eastAsia" w:ascii="仿宋_GB2312" w:hAnsi="ˎ̥" w:eastAsia="仿宋_GB2312" w:cs="宋体"/>
          <w:sz w:val="32"/>
          <w:szCs w:val="32"/>
          <w:highlight w:val="none"/>
          <w:lang w:val="en-US" w:eastAsia="zh-CN"/>
        </w:rPr>
        <w:t>申报时</w:t>
      </w:r>
      <w:r>
        <w:rPr>
          <w:rFonts w:hint="eastAsia" w:ascii="仿宋_GB2312" w:hAnsi="ˎ̥" w:eastAsia="仿宋_GB2312" w:cs="宋体"/>
          <w:sz w:val="32"/>
          <w:szCs w:val="32"/>
          <w:highlight w:val="none"/>
        </w:rPr>
        <w:t>注册在南山辖区内，具备法人资格且符合“20+8”战略性新兴产业和未来产业发展方向种子期、初创期科技企业；企业获得投资时（以实际到账时间为准）成立不超过5年，投资轮次为首两轮外部机构投资（以工商变更信息为准）。</w:t>
      </w:r>
    </w:p>
    <w:p>
      <w:pPr>
        <w:pStyle w:val="3"/>
        <w:keepNext w:val="0"/>
        <w:keepLines w:val="0"/>
        <w:pageBreakBefore w:val="0"/>
        <w:widowControl/>
        <w:numPr>
          <w:ilvl w:val="255"/>
          <w:numId w:val="0"/>
        </w:numPr>
        <w:kinsoku/>
        <w:wordWrap/>
        <w:overflowPunct/>
        <w:topLinePunct w:val="0"/>
        <w:autoSpaceDE/>
        <w:autoSpaceDN/>
        <w:bidi w:val="0"/>
        <w:adjustRightInd/>
        <w:snapToGrid/>
        <w:spacing w:after="0" w:line="560" w:lineRule="exact"/>
        <w:ind w:firstLine="640" w:firstLineChars="200"/>
        <w:jc w:val="both"/>
        <w:textAlignment w:val="auto"/>
        <w:rPr>
          <w:rFonts w:ascii="仿宋_GB2312" w:hAnsi="ˎ̥" w:eastAsia="仿宋_GB2312" w:cs="宋体"/>
          <w:sz w:val="32"/>
          <w:szCs w:val="32"/>
          <w:highlight w:val="none"/>
        </w:rPr>
      </w:pPr>
      <w:r>
        <w:rPr>
          <w:rFonts w:hint="default" w:ascii="仿宋_GB2312" w:eastAsia="仿宋_GB2312"/>
          <w:sz w:val="32"/>
          <w:szCs w:val="32"/>
          <w:highlight w:val="none"/>
          <w:lang w:eastAsia="zh-Hans"/>
        </w:rPr>
        <w:t>（三）</w:t>
      </w:r>
      <w:r>
        <w:rPr>
          <w:rFonts w:hint="eastAsia" w:ascii="仿宋_GB2312" w:hAnsi="ˎ̥" w:eastAsia="仿宋_GB2312" w:cs="宋体"/>
          <w:sz w:val="32"/>
          <w:szCs w:val="32"/>
          <w:highlight w:val="none"/>
          <w:lang w:eastAsia="zh-Hans"/>
        </w:rPr>
        <w:t>申报</w:t>
      </w:r>
      <w:r>
        <w:rPr>
          <w:rFonts w:hint="eastAsia" w:ascii="仿宋_GB2312" w:hAnsi="ˎ̥" w:eastAsia="仿宋_GB2312" w:cs="宋体"/>
          <w:sz w:val="32"/>
          <w:szCs w:val="32"/>
          <w:highlight w:val="none"/>
        </w:rPr>
        <w:t>主体在南山科技金融在线平台完成备案。</w:t>
      </w:r>
    </w:p>
    <w:p>
      <w:pPr>
        <w:spacing w:after="0" w:line="560" w:lineRule="exact"/>
        <w:ind w:firstLine="640" w:firstLineChars="200"/>
        <w:jc w:val="both"/>
        <w:outlineLvl w:val="0"/>
        <w:rPr>
          <w:rFonts w:ascii="黑体" w:hAnsi="黑体" w:eastAsia="黑体"/>
          <w:kern w:val="2"/>
          <w:sz w:val="32"/>
          <w:szCs w:val="32"/>
          <w:highlight w:val="none"/>
          <w:lang w:eastAsia="zh-CN" w:bidi="ar-SA"/>
        </w:rPr>
      </w:pPr>
      <w:r>
        <w:rPr>
          <w:rFonts w:hint="eastAsia" w:ascii="黑体" w:hAnsi="黑体" w:eastAsia="黑体" w:cs="宋体"/>
          <w:sz w:val="32"/>
          <w:szCs w:val="32"/>
          <w:highlight w:val="none"/>
          <w:lang w:eastAsia="zh-CN"/>
        </w:rPr>
        <w:t>四</w:t>
      </w:r>
      <w:r>
        <w:rPr>
          <w:rFonts w:hint="eastAsia" w:ascii="黑体" w:hAnsi="黑体" w:eastAsia="黑体"/>
          <w:kern w:val="2"/>
          <w:sz w:val="32"/>
          <w:szCs w:val="32"/>
          <w:highlight w:val="none"/>
          <w:lang w:eastAsia="zh-CN" w:bidi="ar-SA"/>
        </w:rPr>
        <w:t>、资助方式</w:t>
      </w:r>
    </w:p>
    <w:p>
      <w:pPr>
        <w:numPr>
          <w:ilvl w:val="255"/>
          <w:numId w:val="0"/>
        </w:numPr>
        <w:spacing w:after="0" w:line="560" w:lineRule="exact"/>
        <w:ind w:firstLine="640" w:firstLineChars="200"/>
        <w:rPr>
          <w:rFonts w:ascii="仿宋_GB2312" w:hAnsi="仿宋" w:eastAsia="仿宋_GB2312"/>
          <w:sz w:val="32"/>
          <w:szCs w:val="32"/>
          <w:highlight w:val="none"/>
          <w:lang w:eastAsia="zh-CN"/>
        </w:rPr>
      </w:pPr>
      <w:r>
        <w:rPr>
          <w:rFonts w:hint="eastAsia" w:ascii="仿宋_GB2312" w:eastAsia="仿宋_GB2312"/>
          <w:sz w:val="32"/>
          <w:szCs w:val="32"/>
          <w:highlight w:val="none"/>
          <w:lang w:eastAsia="zh-CN"/>
        </w:rPr>
        <w:t>本资助计划属核准类，实行单位申报、材料审核、社会公示、政府决策的原则，采取无偿资助方式和事后补贴制，受资助项目无需验收</w:t>
      </w:r>
      <w:r>
        <w:rPr>
          <w:rFonts w:ascii="仿宋_GB2312" w:hAnsi="ˎ̥" w:eastAsia="仿宋_GB2312" w:cs="宋体"/>
          <w:sz w:val="32"/>
          <w:szCs w:val="32"/>
          <w:highlight w:val="none"/>
          <w:lang w:eastAsia="zh-CN"/>
        </w:rPr>
        <w:t>。</w:t>
      </w:r>
    </w:p>
    <w:p>
      <w:pPr>
        <w:spacing w:after="0" w:line="560" w:lineRule="exact"/>
        <w:ind w:firstLine="640" w:firstLineChars="200"/>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五、办理流程</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（一）申报主体登陆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 xml:space="preserve">，区科技创新局复审项目申报材料； </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w:t>
      </w:r>
      <w:r>
        <w:rPr>
          <w:rFonts w:hint="eastAsia" w:ascii="仿宋_GB2312" w:eastAsia="仿宋_GB2312"/>
          <w:sz w:val="32"/>
          <w:szCs w:val="32"/>
          <w:highlight w:val="none"/>
          <w:lang w:eastAsia="zh-CN"/>
        </w:rPr>
        <w:t>违规申报使用政府资金、</w:t>
      </w:r>
      <w:r>
        <w:rPr>
          <w:rFonts w:ascii="仿宋_GB2312" w:eastAsia="仿宋_GB2312"/>
          <w:sz w:val="32"/>
          <w:szCs w:val="32"/>
          <w:highlight w:val="none"/>
          <w:lang w:eastAsia="zh-CN"/>
        </w:rPr>
        <w:t>商业贿赂和不良信用记录等情况进行核查</w:t>
      </w:r>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对公示期满，无有效投诉的项目资助计划，再提交专责</w:t>
      </w:r>
      <w:bookmarkStart w:id="2" w:name="_GoBack"/>
      <w:bookmarkEnd w:id="2"/>
      <w:r>
        <w:rPr>
          <w:rFonts w:hint="eastAsia" w:ascii="仿宋_GB2312" w:hAnsi="宋体" w:eastAsia="仿宋_GB2312"/>
          <w:sz w:val="32"/>
          <w:szCs w:val="32"/>
          <w:highlight w:val="none"/>
          <w:lang w:eastAsia="zh-CN"/>
        </w:rPr>
        <w:t>小组会议进行审议</w:t>
      </w:r>
      <w:r>
        <w:rPr>
          <w:rFonts w:hint="eastAsia" w:ascii="仿宋_GB2312" w:eastAsia="仿宋_GB2312"/>
          <w:sz w:val="32"/>
          <w:szCs w:val="32"/>
          <w:highlight w:val="none"/>
          <w:lang w:eastAsia="zh-CN"/>
        </w:rPr>
        <w:t>；</w:t>
      </w:r>
    </w:p>
    <w:p>
      <w:pPr>
        <w:spacing w:after="0" w:line="560" w:lineRule="exact"/>
        <w:ind w:firstLine="640" w:firstLineChars="200"/>
        <w:contextualSpacing/>
        <w:jc w:val="both"/>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六</w:t>
      </w:r>
      <w:r>
        <w:rPr>
          <w:rFonts w:hint="eastAsia" w:ascii="仿宋_GB2312" w:eastAsia="仿宋_GB2312"/>
          <w:sz w:val="32"/>
          <w:szCs w:val="32"/>
          <w:highlight w:val="none"/>
          <w:lang w:eastAsia="zh-CN"/>
        </w:rPr>
        <w:t>）经审议后，由区科技创新局直接行文下达资金计划；</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hAnsi="宋体" w:eastAsia="仿宋_GB2312"/>
          <w:sz w:val="32"/>
          <w:szCs w:val="32"/>
          <w:highlight w:val="none"/>
          <w:lang w:eastAsia="zh-CN"/>
        </w:rPr>
        <w:t>（七）区财政部门及时安排资金，区科技创新局办理资金拨付手续</w:t>
      </w:r>
      <w:r>
        <w:rPr>
          <w:rFonts w:hint="eastAsia" w:ascii="仿宋_GB2312" w:eastAsia="仿宋_GB2312"/>
          <w:sz w:val="32"/>
          <w:szCs w:val="32"/>
          <w:highlight w:val="none"/>
          <w:lang w:eastAsia="zh-CN"/>
        </w:rPr>
        <w:t>。</w:t>
      </w:r>
    </w:p>
    <w:p>
      <w:pPr>
        <w:spacing w:after="0" w:line="560" w:lineRule="exact"/>
        <w:ind w:firstLine="640" w:firstLineChars="20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spacing w:after="0" w:line="560" w:lineRule="exact"/>
        <w:ind w:firstLine="640" w:firstLineChars="200"/>
        <w:contextualSpacing/>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hAnsi="ˎ̥" w:eastAsia="仿宋_GB2312" w:cs="宋体"/>
          <w:sz w:val="32"/>
          <w:szCs w:val="32"/>
          <w:highlight w:val="none"/>
          <w:lang w:eastAsia="zh-CN" w:bidi="ar-SA"/>
        </w:rPr>
        <w:t>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hAnsi="ˎ̥" w:eastAsia="仿宋_GB2312" w:cs="宋体"/>
          <w:sz w:val="32"/>
          <w:szCs w:val="32"/>
          <w:highlight w:val="none"/>
          <w:lang w:eastAsia="zh-CN" w:bidi="ar-SA"/>
        </w:rPr>
        <w:t>，在线填写《</w:t>
      </w:r>
      <w:r>
        <w:rPr>
          <w:rFonts w:hint="eastAsia" w:ascii="仿宋_GB2312" w:eastAsia="仿宋_GB2312"/>
          <w:sz w:val="32"/>
          <w:szCs w:val="32"/>
          <w:highlight w:val="none"/>
          <w:lang w:eastAsia="zh-CN"/>
        </w:rPr>
        <w:t>南山区促进产业高质量发展专项资金——区科技创新局</w:t>
      </w:r>
      <w:r>
        <w:rPr>
          <w:rFonts w:ascii="仿宋_GB2312" w:eastAsia="仿宋_GB2312"/>
          <w:sz w:val="32"/>
          <w:szCs w:val="32"/>
          <w:highlight w:val="none"/>
          <w:lang w:eastAsia="zh-CN"/>
        </w:rPr>
        <w:t>分项资金</w:t>
      </w:r>
      <w:r>
        <w:rPr>
          <w:rFonts w:hint="eastAsia" w:ascii="仿宋_GB2312" w:hAnsi="ˎ̥" w:eastAsia="仿宋_GB2312" w:cs="宋体"/>
          <w:sz w:val="32"/>
          <w:szCs w:val="32"/>
          <w:highlight w:val="none"/>
          <w:lang w:eastAsia="zh-CN" w:bidi="ar-SA"/>
        </w:rPr>
        <w:t>科技金融投资机构支持计划项目</w:t>
      </w:r>
      <w:r>
        <w:rPr>
          <w:rFonts w:ascii="仿宋_GB2312" w:hAnsi="ˎ̥" w:eastAsia="仿宋_GB2312" w:cs="宋体"/>
          <w:sz w:val="32"/>
          <w:szCs w:val="32"/>
          <w:highlight w:val="none"/>
          <w:lang w:eastAsia="zh-CN" w:bidi="ar-SA"/>
        </w:rPr>
        <w:t>申请</w:t>
      </w:r>
      <w:r>
        <w:rPr>
          <w:rFonts w:hint="eastAsia" w:ascii="仿宋_GB2312" w:hAnsi="ˎ̥" w:eastAsia="仿宋_GB2312" w:cs="宋体"/>
          <w:sz w:val="32"/>
          <w:szCs w:val="32"/>
          <w:highlight w:val="none"/>
          <w:lang w:eastAsia="zh-CN" w:bidi="ar-SA"/>
        </w:rPr>
        <w:t>书》；</w:t>
      </w:r>
    </w:p>
    <w:p>
      <w:pPr>
        <w:pStyle w:val="7"/>
        <w:spacing w:after="0" w:line="560" w:lineRule="exact"/>
        <w:ind w:firstLine="640" w:firstLineChars="200"/>
        <w:contextualSpacing/>
        <w:jc w:val="both"/>
        <w:rPr>
          <w:rFonts w:ascii="仿宋_GB2312" w:hAnsi="ˎ̥" w:eastAsia="仿宋_GB2312" w:cs="宋体"/>
          <w:sz w:val="32"/>
          <w:szCs w:val="32"/>
          <w:highlight w:val="none"/>
          <w:lang w:eastAsia="zh-CN" w:bidi="ar-SA"/>
        </w:rPr>
      </w:pPr>
      <w:r>
        <w:rPr>
          <w:rFonts w:hint="eastAsia" w:ascii="仿宋_GB2312" w:eastAsia="仿宋_GB2312"/>
          <w:sz w:val="32"/>
          <w:szCs w:val="32"/>
          <w:highlight w:val="none"/>
          <w:lang w:eastAsia="zh-CN"/>
        </w:rPr>
        <w:t>（二）</w:t>
      </w:r>
      <w:r>
        <w:rPr>
          <w:rFonts w:hint="eastAsia" w:ascii="仿宋_GB2312" w:hAnsi="ˎ̥" w:eastAsia="仿宋_GB2312" w:cs="宋体"/>
          <w:sz w:val="32"/>
          <w:szCs w:val="32"/>
          <w:highlight w:val="none"/>
          <w:lang w:eastAsia="zh-CN" w:bidi="ar-SA"/>
        </w:rPr>
        <w:t>《</w:t>
      </w:r>
      <w:r>
        <w:rPr>
          <w:rFonts w:hint="eastAsia" w:ascii="仿宋_GB2312" w:eastAsia="仿宋_GB2312"/>
          <w:sz w:val="32"/>
          <w:szCs w:val="32"/>
          <w:highlight w:val="none"/>
          <w:lang w:eastAsia="zh-CN"/>
        </w:rPr>
        <w:t>南山区促进产业高质量发展专项资金——区科技创新局</w:t>
      </w:r>
      <w:r>
        <w:rPr>
          <w:rFonts w:ascii="仿宋_GB2312" w:eastAsia="仿宋_GB2312"/>
          <w:sz w:val="32"/>
          <w:szCs w:val="32"/>
          <w:highlight w:val="none"/>
          <w:lang w:eastAsia="zh-CN"/>
        </w:rPr>
        <w:t>分项资金</w:t>
      </w:r>
      <w:r>
        <w:rPr>
          <w:rFonts w:hint="eastAsia" w:ascii="仿宋_GB2312" w:hAnsi="ˎ̥" w:eastAsia="仿宋_GB2312" w:cs="宋体"/>
          <w:sz w:val="32"/>
          <w:szCs w:val="32"/>
          <w:highlight w:val="none"/>
          <w:lang w:eastAsia="zh-CN" w:bidi="ar-SA"/>
        </w:rPr>
        <w:t>科技金融投资机构支持计划项目</w:t>
      </w:r>
      <w:r>
        <w:rPr>
          <w:rFonts w:ascii="仿宋_GB2312" w:hAnsi="ˎ̥" w:eastAsia="仿宋_GB2312" w:cs="宋体"/>
          <w:sz w:val="32"/>
          <w:szCs w:val="32"/>
          <w:highlight w:val="none"/>
          <w:lang w:eastAsia="zh-CN" w:bidi="ar-SA"/>
        </w:rPr>
        <w:t>申请</w:t>
      </w:r>
      <w:r>
        <w:rPr>
          <w:rFonts w:hint="eastAsia" w:ascii="仿宋_GB2312" w:hAnsi="ˎ̥" w:eastAsia="仿宋_GB2312" w:cs="宋体"/>
          <w:sz w:val="32"/>
          <w:szCs w:val="32"/>
          <w:highlight w:val="none"/>
          <w:lang w:eastAsia="zh-CN" w:bidi="ar-SA"/>
        </w:rPr>
        <w:t>书》</w:t>
      </w:r>
      <w:r>
        <w:rPr>
          <w:rFonts w:hint="eastAsia" w:ascii="仿宋_GB2312" w:hAnsi="ˎ̥" w:eastAsia="仿宋_GB2312" w:cs="宋体"/>
          <w:sz w:val="32"/>
          <w:szCs w:val="32"/>
          <w:highlight w:val="none"/>
          <w:lang w:eastAsia="zh-CN"/>
        </w:rPr>
        <w:t>填表声明与保证（法定代表人签字并加盖单位公章后，</w:t>
      </w:r>
      <w:r>
        <w:rPr>
          <w:rFonts w:hint="eastAsia" w:ascii="仿宋_GB2312" w:eastAsia="仿宋_GB2312"/>
          <w:sz w:val="32"/>
          <w:szCs w:val="32"/>
          <w:highlight w:val="none"/>
          <w:lang w:eastAsia="zh-CN"/>
        </w:rPr>
        <w:t>原件彩色扫描成PDF文件上传）；</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（三）</w:t>
      </w:r>
      <w:bookmarkStart w:id="1" w:name="_Hlk97671613"/>
      <w:r>
        <w:rPr>
          <w:rFonts w:hint="eastAsia" w:ascii="仿宋_GB2312" w:hAnsi="仿宋" w:eastAsia="仿宋_GB2312"/>
          <w:sz w:val="32"/>
          <w:szCs w:val="32"/>
          <w:highlight w:val="none"/>
          <w:lang w:eastAsia="zh-CN"/>
        </w:rPr>
        <w:t>统一社会信用代码证书</w:t>
      </w:r>
      <w:bookmarkEnd w:id="1"/>
      <w:r>
        <w:rPr>
          <w:rFonts w:hint="eastAsia" w:ascii="仿宋_GB2312" w:eastAsia="仿宋_GB2312"/>
          <w:sz w:val="32"/>
          <w:szCs w:val="32"/>
          <w:highlight w:val="none"/>
          <w:lang w:eastAsia="zh-CN"/>
        </w:rPr>
        <w:t>（原件彩色扫描成PDF文件上传）；</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（四）</w:t>
      </w:r>
      <w:r>
        <w:rPr>
          <w:rFonts w:hint="eastAsia" w:ascii="仿宋_GB2312" w:hAnsi="宋体" w:eastAsia="仿宋_GB2312" w:cs="宋体"/>
          <w:sz w:val="32"/>
          <w:szCs w:val="32"/>
          <w:highlight w:val="none"/>
          <w:lang w:eastAsia="zh-CN"/>
        </w:rPr>
        <w:t>法定代表人身份证[原件（或复印件加盖单位公章）彩色扫描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（五）</w:t>
      </w:r>
      <w:r>
        <w:rPr>
          <w:rFonts w:hint="eastAsia" w:ascii="仿宋_GB2312" w:eastAsia="仿宋_GB2312"/>
          <w:sz w:val="32"/>
          <w:szCs w:val="32"/>
          <w:highlight w:val="none"/>
          <w:lang w:eastAsia="zh-CN"/>
        </w:rPr>
        <w:t>由税务部门开具的单位上年度纳税证明（上传税务系统下载带有税务机关红色印章的电子版)；</w:t>
      </w:r>
    </w:p>
    <w:p>
      <w:pPr>
        <w:spacing w:after="0" w:line="560" w:lineRule="exact"/>
        <w:ind w:firstLine="640" w:firstLineChars="200"/>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（六）投资相关材料：包括投资协议、投资资金</w:t>
      </w:r>
      <w:r>
        <w:rPr>
          <w:rFonts w:hint="eastAsia" w:ascii="仿宋_GB2312" w:hAnsi="ˎ̥" w:eastAsia="仿宋_GB2312" w:cs="宋体"/>
          <w:sz w:val="32"/>
          <w:szCs w:val="32"/>
          <w:highlight w:val="none"/>
          <w:lang w:eastAsia="zh-CN" w:bidi="ar-SA"/>
        </w:rPr>
        <w:t>付款</w:t>
      </w:r>
      <w:r>
        <w:rPr>
          <w:rFonts w:hint="eastAsia" w:ascii="仿宋_GB2312" w:hAnsi="ˎ̥" w:eastAsia="仿宋_GB2312" w:cs="宋体"/>
          <w:sz w:val="32"/>
          <w:szCs w:val="32"/>
          <w:highlight w:val="none"/>
          <w:lang w:eastAsia="zh-Hans" w:bidi="ar-SA"/>
        </w:rPr>
        <w:t>凭证、</w:t>
      </w:r>
      <w:r>
        <w:rPr>
          <w:rFonts w:hint="eastAsia" w:ascii="仿宋_GB2312" w:hAnsi="ˎ̥" w:eastAsia="仿宋_GB2312" w:cs="宋体"/>
          <w:sz w:val="32"/>
          <w:szCs w:val="32"/>
          <w:highlight w:val="none"/>
          <w:lang w:eastAsia="zh-CN" w:bidi="ar-SA"/>
        </w:rPr>
        <w:t>被投资企业工商变更通知书（</w:t>
      </w:r>
      <w:r>
        <w:rPr>
          <w:rFonts w:hint="eastAsia" w:ascii="仿宋_GB2312" w:hAnsi="ˎ̥" w:eastAsia="仿宋_GB2312" w:cs="宋体"/>
          <w:sz w:val="32"/>
          <w:szCs w:val="32"/>
          <w:highlight w:val="none"/>
          <w:lang w:eastAsia="zh-Hans" w:bidi="ar-SA"/>
        </w:rPr>
        <w:t>原件彩色扫描成PDF文件上传)</w:t>
      </w:r>
      <w:r>
        <w:rPr>
          <w:rFonts w:hint="eastAsia" w:ascii="仿宋_GB2312" w:hAnsi="ˎ̥" w:eastAsia="仿宋_GB2312" w:cs="宋体"/>
          <w:sz w:val="32"/>
          <w:szCs w:val="32"/>
          <w:highlight w:val="none"/>
          <w:lang w:eastAsia="zh-CN" w:bidi="ar-SA"/>
        </w:rPr>
        <w:t>；</w:t>
      </w:r>
    </w:p>
    <w:p>
      <w:pPr>
        <w:numPr>
          <w:ilvl w:val="255"/>
          <w:numId w:val="0"/>
        </w:numPr>
        <w:spacing w:after="0" w:line="560" w:lineRule="exact"/>
        <w:ind w:firstLine="640" w:firstLineChars="200"/>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（七）</w:t>
      </w:r>
      <w:r>
        <w:rPr>
          <w:rFonts w:hint="eastAsia" w:ascii="仿宋_GB2312" w:hAnsi="ˎ̥" w:eastAsia="仿宋_GB2312" w:cs="宋体"/>
          <w:sz w:val="32"/>
          <w:szCs w:val="32"/>
          <w:highlight w:val="none"/>
          <w:lang w:eastAsia="zh-CN" w:bidi="ar-SA"/>
        </w:rPr>
        <w:t>上年度审计报告和投资专项审计报告(需提交经深圳市注册会计师协会备案的含有防伪标识封面的审计报告) （</w:t>
      </w:r>
      <w:r>
        <w:rPr>
          <w:rFonts w:hint="eastAsia" w:ascii="仿宋_GB2312" w:hAnsi="ˎ̥" w:eastAsia="仿宋_GB2312" w:cs="宋体"/>
          <w:sz w:val="32"/>
          <w:szCs w:val="32"/>
          <w:highlight w:val="none"/>
          <w:lang w:eastAsia="zh-Hans" w:bidi="ar-SA"/>
        </w:rPr>
        <w:t>原件彩色扫描成PDF文件上传)</w:t>
      </w:r>
      <w:r>
        <w:rPr>
          <w:rFonts w:ascii="仿宋_GB2312" w:hAnsi="ˎ̥" w:eastAsia="仿宋_GB2312" w:cs="宋体"/>
          <w:sz w:val="32"/>
          <w:szCs w:val="32"/>
          <w:highlight w:val="none"/>
          <w:lang w:val="en" w:eastAsia="zh-CN" w:bidi="ar-SA"/>
        </w:rPr>
        <w:t>;</w:t>
      </w:r>
    </w:p>
    <w:p>
      <w:pPr>
        <w:numPr>
          <w:ilvl w:val="255"/>
          <w:numId w:val="0"/>
        </w:numPr>
        <w:spacing w:after="0" w:line="240" w:lineRule="auto"/>
        <w:ind w:firstLine="640" w:firstLineChars="200"/>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CN" w:bidi="ar-SA"/>
        </w:rPr>
        <w:t>（八）</w:t>
      </w:r>
      <w:r>
        <w:rPr>
          <w:rFonts w:hint="eastAsia" w:ascii="仿宋_GB2312" w:hAnsi="ˎ̥" w:eastAsia="仿宋_GB2312" w:cs="宋体"/>
          <w:sz w:val="32"/>
          <w:szCs w:val="32"/>
          <w:highlight w:val="none"/>
          <w:lang w:eastAsia="zh-Hans" w:bidi="ar-SA"/>
        </w:rPr>
        <w:t>投资机构在中国证券投资基金协会备案证明文件</w:t>
      </w:r>
      <w:r>
        <w:rPr>
          <w:rFonts w:hint="eastAsia" w:ascii="仿宋_GB2312" w:hAnsi="ˎ̥" w:eastAsia="仿宋_GB2312" w:cs="宋体"/>
          <w:sz w:val="32"/>
          <w:szCs w:val="32"/>
          <w:highlight w:val="none"/>
          <w:lang w:eastAsia="zh-CN" w:bidi="ar-SA"/>
        </w:rPr>
        <w:t>（</w:t>
      </w:r>
      <w:r>
        <w:rPr>
          <w:rFonts w:hint="eastAsia" w:ascii="仿宋_GB2312" w:hAnsi="ˎ̥" w:eastAsia="仿宋_GB2312" w:cs="宋体"/>
          <w:sz w:val="32"/>
          <w:szCs w:val="32"/>
          <w:highlight w:val="none"/>
          <w:lang w:eastAsia="zh-Hans" w:bidi="ar-SA"/>
        </w:rPr>
        <w:t>原件彩色扫描成PDF文件上传)</w:t>
      </w:r>
      <w:r>
        <w:rPr>
          <w:rFonts w:hint="eastAsia" w:ascii="仿宋_GB2312" w:hAnsi="ˎ̥" w:eastAsia="仿宋_GB2312" w:cs="宋体"/>
          <w:sz w:val="32"/>
          <w:szCs w:val="32"/>
          <w:highlight w:val="none"/>
          <w:lang w:eastAsia="zh-CN" w:bidi="ar-SA"/>
        </w:rPr>
        <w:t>；</w:t>
      </w:r>
    </w:p>
    <w:p>
      <w:pPr>
        <w:spacing w:after="0" w:line="560" w:lineRule="exact"/>
        <w:ind w:firstLine="640" w:firstLineChars="200"/>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w:t>
      </w:r>
      <w:r>
        <w:rPr>
          <w:rFonts w:hint="eastAsia" w:ascii="仿宋_GB2312" w:hAnsi="ˎ̥" w:eastAsia="仿宋_GB2312" w:cs="宋体"/>
          <w:sz w:val="32"/>
          <w:szCs w:val="32"/>
          <w:highlight w:val="none"/>
          <w:lang w:eastAsia="zh-CN" w:bidi="ar-SA"/>
        </w:rPr>
        <w:t>九</w:t>
      </w:r>
      <w:r>
        <w:rPr>
          <w:rFonts w:hint="eastAsia" w:ascii="仿宋_GB2312" w:hAnsi="ˎ̥" w:eastAsia="仿宋_GB2312" w:cs="宋体"/>
          <w:sz w:val="32"/>
          <w:szCs w:val="32"/>
          <w:highlight w:val="none"/>
          <w:lang w:eastAsia="zh-Hans" w:bidi="ar-SA"/>
        </w:rPr>
        <w:t>）</w:t>
      </w:r>
      <w:r>
        <w:rPr>
          <w:rFonts w:hint="eastAsia" w:ascii="仿宋_GB2312" w:eastAsia="仿宋_GB2312"/>
          <w:sz w:val="32"/>
          <w:szCs w:val="32"/>
          <w:highlight w:val="none"/>
          <w:lang w:eastAsia="zh-CN"/>
        </w:rPr>
        <w:t>其他材料</w:t>
      </w:r>
      <w:r>
        <w:rPr>
          <w:rFonts w:hint="eastAsia" w:ascii="仿宋_GB2312" w:hAnsi="ˎ̥" w:eastAsia="仿宋_GB2312" w:cs="宋体"/>
          <w:sz w:val="32"/>
          <w:szCs w:val="32"/>
          <w:highlight w:val="none"/>
          <w:lang w:eastAsia="zh-CN" w:bidi="ar-SA"/>
        </w:rPr>
        <w:t>。</w:t>
      </w:r>
    </w:p>
    <w:p>
      <w:pPr>
        <w:spacing w:after="0" w:line="560" w:lineRule="exact"/>
        <w:ind w:firstLine="640" w:firstLineChars="200"/>
        <w:outlineLvl w:val="0"/>
        <w:rPr>
          <w:rFonts w:ascii="黑体" w:hAnsi="黑体" w:eastAsia="黑体"/>
          <w:sz w:val="32"/>
          <w:szCs w:val="32"/>
          <w:highlight w:val="none"/>
          <w:lang w:eastAsia="zh-CN"/>
        </w:rPr>
      </w:pPr>
      <w:r>
        <w:rPr>
          <w:rFonts w:hint="eastAsia" w:ascii="黑体" w:hAnsi="黑体" w:eastAsia="黑体" w:cs="宋体"/>
          <w:sz w:val="32"/>
          <w:szCs w:val="32"/>
          <w:highlight w:val="none"/>
          <w:lang w:eastAsia="zh-CN"/>
        </w:rPr>
        <w:t>七</w:t>
      </w:r>
      <w:r>
        <w:rPr>
          <w:rFonts w:hint="eastAsia" w:ascii="黑体" w:hAnsi="黑体" w:eastAsia="黑体"/>
          <w:kern w:val="2"/>
          <w:sz w:val="32"/>
          <w:szCs w:val="32"/>
          <w:highlight w:val="none"/>
          <w:lang w:eastAsia="zh-CN" w:bidi="ar-SA"/>
        </w:rPr>
        <w:t>、</w:t>
      </w:r>
      <w:r>
        <w:rPr>
          <w:rFonts w:hint="eastAsia" w:ascii="黑体" w:hAnsi="黑体" w:eastAsia="黑体"/>
          <w:bCs/>
          <w:sz w:val="32"/>
          <w:szCs w:val="32"/>
          <w:highlight w:val="none"/>
          <w:lang w:eastAsia="zh-CN"/>
        </w:rPr>
        <w:t>申报时间和办理时限</w:t>
      </w:r>
    </w:p>
    <w:p>
      <w:pPr>
        <w:spacing w:after="0" w:line="560"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每年安排1-2次集中受理单位申请，具体受理时间以发布的申报通知为准。</w:t>
      </w:r>
    </w:p>
    <w:p>
      <w:pPr>
        <w:spacing w:after="0" w:line="560" w:lineRule="exact"/>
        <w:ind w:firstLine="640" w:firstLineChars="200"/>
        <w:rPr>
          <w:rFonts w:ascii="仿宋_GB2312" w:eastAsia="仿宋_GB2312"/>
          <w:b/>
          <w:kern w:val="2"/>
          <w:sz w:val="32"/>
          <w:szCs w:val="32"/>
          <w:highlight w:val="none"/>
          <w:lang w:eastAsia="zh-CN" w:bidi="ar-SA"/>
        </w:rPr>
      </w:pPr>
      <w:r>
        <w:rPr>
          <w:rFonts w:hint="eastAsia" w:ascii="仿宋_GB2312" w:eastAsia="仿宋_GB2312"/>
          <w:sz w:val="32"/>
          <w:szCs w:val="32"/>
          <w:highlight w:val="none"/>
          <w:lang w:eastAsia="zh-CN"/>
        </w:rPr>
        <w:t>资助计划下达1个月内受资助单位须办理资金拨付手续，逾期不办理者视为自动放弃。</w:t>
      </w:r>
    </w:p>
    <w:p>
      <w:pPr>
        <w:spacing w:after="0" w:line="560" w:lineRule="exact"/>
        <w:ind w:right="1260" w:firstLine="640" w:firstLineChars="200"/>
        <w:outlineLvl w:val="0"/>
        <w:rPr>
          <w:rFonts w:ascii="黑体" w:hAnsi="黑体" w:eastAsia="黑体"/>
          <w:bCs/>
          <w:sz w:val="32"/>
          <w:szCs w:val="32"/>
          <w:highlight w:val="none"/>
          <w:lang w:eastAsia="zh-CN"/>
        </w:rPr>
      </w:pPr>
      <w:r>
        <w:rPr>
          <w:rFonts w:hint="eastAsia" w:ascii="黑体" w:hAnsi="黑体" w:eastAsia="黑体"/>
          <w:bCs/>
          <w:sz w:val="32"/>
          <w:szCs w:val="32"/>
          <w:highlight w:val="none"/>
          <w:lang w:eastAsia="zh-CN"/>
        </w:rPr>
        <w:t>八、附则</w:t>
      </w:r>
    </w:p>
    <w:p>
      <w:pPr>
        <w:spacing w:after="0" w:line="560" w:lineRule="exact"/>
        <w:ind w:firstLine="640" w:firstLineChars="200"/>
        <w:rPr>
          <w:rFonts w:ascii="仿宋_GB2312" w:eastAsia="仿宋_GB2312"/>
          <w:sz w:val="32"/>
          <w:szCs w:val="32"/>
          <w:highlight w:val="none"/>
          <w:lang w:eastAsia="zh-CN"/>
        </w:rPr>
      </w:pPr>
      <w:r>
        <w:rPr>
          <w:rFonts w:hint="eastAsia" w:ascii="仿宋_GB2312" w:hAnsi="仿宋" w:eastAsia="仿宋_GB2312"/>
          <w:sz w:val="32"/>
          <w:szCs w:val="32"/>
          <w:highlight w:val="none"/>
          <w:lang w:eastAsia="zh-CN"/>
        </w:rPr>
        <w:t>本计划责任部门为南山区科技创新局，本操作规程由其负责解释，自发布之日起</w:t>
      </w:r>
      <w:r>
        <w:rPr>
          <w:rFonts w:hint="eastAsia" w:ascii="仿宋_GB2312" w:eastAsia="仿宋_GB2312"/>
          <w:sz w:val="32"/>
          <w:szCs w:val="32"/>
          <w:highlight w:val="none"/>
          <w:lang w:eastAsia="zh-CN"/>
        </w:rPr>
        <w:t>施行。</w:t>
      </w:r>
    </w:p>
    <w:p>
      <w:pPr>
        <w:pStyle w:val="7"/>
        <w:ind w:firstLine="320"/>
        <w:rPr>
          <w:rFonts w:ascii="仿宋_GB2312" w:eastAsia="仿宋_GB2312"/>
          <w:sz w:val="32"/>
          <w:szCs w:val="32"/>
          <w:highlight w:val="none"/>
          <w:lang w:eastAsia="zh-CN"/>
        </w:rPr>
      </w:pPr>
    </w:p>
    <w:p>
      <w:pPr>
        <w:pStyle w:val="7"/>
        <w:ind w:firstLine="240"/>
        <w:rPr>
          <w:bCs/>
          <w:sz w:val="24"/>
          <w:highlight w:val="none"/>
          <w:lang w:eastAsia="zh-CN"/>
        </w:rPr>
      </w:pPr>
    </w:p>
    <w:p>
      <w:pPr>
        <w:pStyle w:val="7"/>
        <w:ind w:firstLine="320"/>
        <w:rPr>
          <w:rFonts w:ascii="仿宋_GB2312" w:eastAsia="仿宋_GB2312"/>
          <w:sz w:val="32"/>
          <w:szCs w:val="32"/>
          <w:highlight w:val="none"/>
          <w:lang w:eastAsia="zh-CN"/>
        </w:rPr>
      </w:pPr>
    </w:p>
    <w:p>
      <w:pPr>
        <w:pStyle w:val="7"/>
        <w:ind w:firstLine="320"/>
        <w:rPr>
          <w:rFonts w:ascii="仿宋_GB2312" w:eastAsia="仿宋_GB2312"/>
          <w:sz w:val="32"/>
          <w:szCs w:val="32"/>
          <w:highlight w:val="none"/>
          <w:lang w:eastAsia="zh-CN"/>
        </w:rPr>
      </w:pPr>
    </w:p>
    <w:sectPr>
      <w:headerReference r:id="rId5" w:type="default"/>
      <w:footerReference r:id="rId6"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ˎ̥">
    <w:altName w:val="方正细黑一_GBK"/>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753DD"/>
    <w:multiLevelType w:val="multilevel"/>
    <w:tmpl w:val="554753DD"/>
    <w:lvl w:ilvl="0" w:tentative="0">
      <w:start w:val="1"/>
      <w:numFmt w:val="japaneseCounting"/>
      <w:lvlText w:val="%1、"/>
      <w:lvlJc w:val="left"/>
      <w:pPr>
        <w:ind w:left="1303" w:hanging="6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ZTZjMDRkOTk5YTdkODAxYmUyZDM1YWFlZDA5YjcifQ=="/>
  </w:docVars>
  <w:rsids>
    <w:rsidRoot w:val="0A9E58AF"/>
    <w:rsid w:val="00005755"/>
    <w:rsid w:val="00022159"/>
    <w:rsid w:val="00037838"/>
    <w:rsid w:val="000410AB"/>
    <w:rsid w:val="00082405"/>
    <w:rsid w:val="00085C6D"/>
    <w:rsid w:val="0010002F"/>
    <w:rsid w:val="00107400"/>
    <w:rsid w:val="00143103"/>
    <w:rsid w:val="001768CB"/>
    <w:rsid w:val="001C3F74"/>
    <w:rsid w:val="002E23A7"/>
    <w:rsid w:val="00302E3D"/>
    <w:rsid w:val="00464F21"/>
    <w:rsid w:val="00492322"/>
    <w:rsid w:val="00494810"/>
    <w:rsid w:val="004A1F9C"/>
    <w:rsid w:val="004F46EA"/>
    <w:rsid w:val="004F544A"/>
    <w:rsid w:val="004F7150"/>
    <w:rsid w:val="00500A9F"/>
    <w:rsid w:val="00596AE0"/>
    <w:rsid w:val="005C2A46"/>
    <w:rsid w:val="0062271A"/>
    <w:rsid w:val="00641F4C"/>
    <w:rsid w:val="00677334"/>
    <w:rsid w:val="006D2BC4"/>
    <w:rsid w:val="006D6354"/>
    <w:rsid w:val="00713914"/>
    <w:rsid w:val="007564DA"/>
    <w:rsid w:val="00795DE7"/>
    <w:rsid w:val="007A04EA"/>
    <w:rsid w:val="007A2EAC"/>
    <w:rsid w:val="007A6821"/>
    <w:rsid w:val="007F3DFD"/>
    <w:rsid w:val="00822B88"/>
    <w:rsid w:val="008D7295"/>
    <w:rsid w:val="0091796C"/>
    <w:rsid w:val="00986B0D"/>
    <w:rsid w:val="009A416A"/>
    <w:rsid w:val="009D6B4B"/>
    <w:rsid w:val="00A544FE"/>
    <w:rsid w:val="00A91287"/>
    <w:rsid w:val="00AC2A58"/>
    <w:rsid w:val="00B52690"/>
    <w:rsid w:val="00B609A2"/>
    <w:rsid w:val="00BB3D08"/>
    <w:rsid w:val="00BC1E95"/>
    <w:rsid w:val="00BE4DE2"/>
    <w:rsid w:val="00C46328"/>
    <w:rsid w:val="00CE0CCE"/>
    <w:rsid w:val="00CF4AA9"/>
    <w:rsid w:val="00CF54CB"/>
    <w:rsid w:val="00D07F08"/>
    <w:rsid w:val="00D133FC"/>
    <w:rsid w:val="00D42BA2"/>
    <w:rsid w:val="00D46BEB"/>
    <w:rsid w:val="00D547C2"/>
    <w:rsid w:val="00E42538"/>
    <w:rsid w:val="00E9776B"/>
    <w:rsid w:val="00EA6F41"/>
    <w:rsid w:val="00ED15FC"/>
    <w:rsid w:val="00FF1668"/>
    <w:rsid w:val="00FF5CE4"/>
    <w:rsid w:val="01A93FA3"/>
    <w:rsid w:val="02590C8E"/>
    <w:rsid w:val="05D3681E"/>
    <w:rsid w:val="06E85C40"/>
    <w:rsid w:val="07155C37"/>
    <w:rsid w:val="08273D5C"/>
    <w:rsid w:val="085050D1"/>
    <w:rsid w:val="08AB6853"/>
    <w:rsid w:val="095E1B17"/>
    <w:rsid w:val="096E6BE7"/>
    <w:rsid w:val="0A2C751F"/>
    <w:rsid w:val="0A9E58AF"/>
    <w:rsid w:val="0B444D3D"/>
    <w:rsid w:val="0BA721AF"/>
    <w:rsid w:val="0C321039"/>
    <w:rsid w:val="0D8F1932"/>
    <w:rsid w:val="0E63197E"/>
    <w:rsid w:val="10426117"/>
    <w:rsid w:val="10590364"/>
    <w:rsid w:val="108C15FA"/>
    <w:rsid w:val="11E42962"/>
    <w:rsid w:val="13651FAF"/>
    <w:rsid w:val="14BB6070"/>
    <w:rsid w:val="16A82624"/>
    <w:rsid w:val="18C14E5E"/>
    <w:rsid w:val="18F2402A"/>
    <w:rsid w:val="19FB6A82"/>
    <w:rsid w:val="1A3F329F"/>
    <w:rsid w:val="1B165D29"/>
    <w:rsid w:val="1BF244C1"/>
    <w:rsid w:val="1C1C4D4E"/>
    <w:rsid w:val="1C5D5C5E"/>
    <w:rsid w:val="1CF6192B"/>
    <w:rsid w:val="1D6A2BCB"/>
    <w:rsid w:val="1DD75C37"/>
    <w:rsid w:val="1EA5569B"/>
    <w:rsid w:val="1FB97650"/>
    <w:rsid w:val="1FDFE373"/>
    <w:rsid w:val="1FF865C8"/>
    <w:rsid w:val="20FD715A"/>
    <w:rsid w:val="24D12D46"/>
    <w:rsid w:val="262227B8"/>
    <w:rsid w:val="26385A6C"/>
    <w:rsid w:val="277A3D7D"/>
    <w:rsid w:val="27B626C7"/>
    <w:rsid w:val="284C1807"/>
    <w:rsid w:val="28620159"/>
    <w:rsid w:val="28650375"/>
    <w:rsid w:val="28B13E4A"/>
    <w:rsid w:val="298D1CFE"/>
    <w:rsid w:val="29B175E9"/>
    <w:rsid w:val="2A561CA6"/>
    <w:rsid w:val="2BDEEE47"/>
    <w:rsid w:val="2C3F0508"/>
    <w:rsid w:val="2C8F41B8"/>
    <w:rsid w:val="2D095237"/>
    <w:rsid w:val="2D725CD9"/>
    <w:rsid w:val="2E9F3EB4"/>
    <w:rsid w:val="31C0486E"/>
    <w:rsid w:val="31C94F7B"/>
    <w:rsid w:val="31FB2915"/>
    <w:rsid w:val="326355F1"/>
    <w:rsid w:val="33DBEF7A"/>
    <w:rsid w:val="35E756D8"/>
    <w:rsid w:val="375730E1"/>
    <w:rsid w:val="37663B9D"/>
    <w:rsid w:val="379B1101"/>
    <w:rsid w:val="379B5FBE"/>
    <w:rsid w:val="38883C0B"/>
    <w:rsid w:val="39477360"/>
    <w:rsid w:val="3AE315CD"/>
    <w:rsid w:val="3EAA23B7"/>
    <w:rsid w:val="3FFA44AC"/>
    <w:rsid w:val="409C2E8B"/>
    <w:rsid w:val="40A81D4B"/>
    <w:rsid w:val="429A037D"/>
    <w:rsid w:val="43726666"/>
    <w:rsid w:val="43B73C72"/>
    <w:rsid w:val="43E73F8A"/>
    <w:rsid w:val="43ED0DC6"/>
    <w:rsid w:val="44CA272B"/>
    <w:rsid w:val="4513277B"/>
    <w:rsid w:val="45211ED6"/>
    <w:rsid w:val="45533F2D"/>
    <w:rsid w:val="455B7035"/>
    <w:rsid w:val="46AA1998"/>
    <w:rsid w:val="48EE44A6"/>
    <w:rsid w:val="4CC96874"/>
    <w:rsid w:val="4CFD33AA"/>
    <w:rsid w:val="4D584538"/>
    <w:rsid w:val="4E6A373F"/>
    <w:rsid w:val="4FDD43E5"/>
    <w:rsid w:val="515F370A"/>
    <w:rsid w:val="528A5474"/>
    <w:rsid w:val="52FD61A9"/>
    <w:rsid w:val="54610CA5"/>
    <w:rsid w:val="54CD50F8"/>
    <w:rsid w:val="56603655"/>
    <w:rsid w:val="570A7506"/>
    <w:rsid w:val="580F00F8"/>
    <w:rsid w:val="58BA1767"/>
    <w:rsid w:val="5996196B"/>
    <w:rsid w:val="59E74389"/>
    <w:rsid w:val="5A1E434A"/>
    <w:rsid w:val="5A7C6009"/>
    <w:rsid w:val="5C3B2BBF"/>
    <w:rsid w:val="5D1016CA"/>
    <w:rsid w:val="5D2E3615"/>
    <w:rsid w:val="5DBB29C2"/>
    <w:rsid w:val="5DC4555E"/>
    <w:rsid w:val="5DDF14FE"/>
    <w:rsid w:val="5DF2686E"/>
    <w:rsid w:val="5E250254"/>
    <w:rsid w:val="5E323641"/>
    <w:rsid w:val="5E556FB0"/>
    <w:rsid w:val="5EF3D4F2"/>
    <w:rsid w:val="5FA02ED8"/>
    <w:rsid w:val="5FE02B74"/>
    <w:rsid w:val="5FED2422"/>
    <w:rsid w:val="5FF75E0E"/>
    <w:rsid w:val="5FFD319E"/>
    <w:rsid w:val="60B9557F"/>
    <w:rsid w:val="61392F1F"/>
    <w:rsid w:val="623011E6"/>
    <w:rsid w:val="63FC41B5"/>
    <w:rsid w:val="6473127E"/>
    <w:rsid w:val="648324E1"/>
    <w:rsid w:val="64E42046"/>
    <w:rsid w:val="65377732"/>
    <w:rsid w:val="66C5261C"/>
    <w:rsid w:val="68207D05"/>
    <w:rsid w:val="68242759"/>
    <w:rsid w:val="69765236"/>
    <w:rsid w:val="6BFD26D4"/>
    <w:rsid w:val="6DC24EEE"/>
    <w:rsid w:val="6FDF4ED3"/>
    <w:rsid w:val="71593474"/>
    <w:rsid w:val="7426269B"/>
    <w:rsid w:val="74634180"/>
    <w:rsid w:val="74F72773"/>
    <w:rsid w:val="755D2C54"/>
    <w:rsid w:val="757EA1A9"/>
    <w:rsid w:val="75831D88"/>
    <w:rsid w:val="75F9FCEB"/>
    <w:rsid w:val="770025E3"/>
    <w:rsid w:val="7735E4F9"/>
    <w:rsid w:val="77847FB1"/>
    <w:rsid w:val="77EBCBAD"/>
    <w:rsid w:val="7BD760E7"/>
    <w:rsid w:val="7CB023B6"/>
    <w:rsid w:val="7CC839B5"/>
    <w:rsid w:val="7D0C021A"/>
    <w:rsid w:val="7D5B4B3E"/>
    <w:rsid w:val="7DBA23A1"/>
    <w:rsid w:val="7DF7809D"/>
    <w:rsid w:val="7E0B4983"/>
    <w:rsid w:val="7E17093E"/>
    <w:rsid w:val="7E2B7B54"/>
    <w:rsid w:val="7E3241E3"/>
    <w:rsid w:val="7EED529B"/>
    <w:rsid w:val="7F6FB58B"/>
    <w:rsid w:val="7F771E03"/>
    <w:rsid w:val="7F9F1276"/>
    <w:rsid w:val="7FDFD3B6"/>
    <w:rsid w:val="7FFE1508"/>
    <w:rsid w:val="7FFF0344"/>
    <w:rsid w:val="AFFD3AF0"/>
    <w:rsid w:val="BE3D4D47"/>
    <w:rsid w:val="BF7FC4B3"/>
    <w:rsid w:val="CFDFE16D"/>
    <w:rsid w:val="CFFE1BEC"/>
    <w:rsid w:val="DB7F2521"/>
    <w:rsid w:val="DFDEDC5B"/>
    <w:rsid w:val="E9E778F1"/>
    <w:rsid w:val="EBDFFE61"/>
    <w:rsid w:val="EBFA381E"/>
    <w:rsid w:val="EFF729C0"/>
    <w:rsid w:val="F18B30D8"/>
    <w:rsid w:val="F77FD749"/>
    <w:rsid w:val="FBDE4585"/>
    <w:rsid w:val="FDF3964C"/>
    <w:rsid w:val="FF6C7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
    <w:pPr>
      <w:pBdr>
        <w:bottom w:val="thinThickSmallGap" w:color="943634" w:sz="12" w:space="1"/>
      </w:pBdr>
      <w:spacing w:before="400"/>
      <w:jc w:val="center"/>
      <w:outlineLvl w:val="0"/>
    </w:pPr>
    <w:rPr>
      <w:caps/>
      <w:color w:val="632423"/>
      <w:spacing w:val="2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rPr>
      <w:lang w:eastAsia="zh-CN" w:bidi="ar-SA"/>
    </w:rPr>
  </w:style>
  <w:style w:type="paragraph" w:styleId="4">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w:basedOn w:val="4"/>
    <w:unhideWhenUsed/>
    <w:qFormat/>
    <w:uiPriority w:val="99"/>
    <w:pPr>
      <w:ind w:firstLine="420" w:firstLineChars="100"/>
    </w:p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sz w:val="18"/>
      <w:szCs w:val="18"/>
      <w:lang w:eastAsia="en-US" w:bidi="en-US"/>
    </w:rPr>
  </w:style>
  <w:style w:type="paragraph" w:customStyle="1" w:styleId="12">
    <w:name w:val="修订1"/>
    <w:hidden/>
    <w:semiHidden/>
    <w:qFormat/>
    <w:uiPriority w:val="99"/>
    <w:rPr>
      <w:rFonts w:ascii="Times New Roman" w:hAnsi="Times New Roman" w:eastAsia="宋体" w:cs="Times New Roman"/>
      <w:sz w:val="22"/>
      <w:szCs w:val="22"/>
      <w:lang w:val="en-US" w:eastAsia="en-US" w:bidi="en-US"/>
    </w:rPr>
  </w:style>
  <w:style w:type="paragraph" w:styleId="13">
    <w:name w:val="List Paragraph"/>
    <w:basedOn w:val="1"/>
    <w:qFormat/>
    <w:uiPriority w:val="99"/>
    <w:pPr>
      <w:ind w:firstLine="420" w:firstLineChars="200"/>
    </w:pPr>
  </w:style>
  <w:style w:type="paragraph" w:customStyle="1" w:styleId="14">
    <w:name w:val="修订2"/>
    <w:hidden/>
    <w:semiHidden/>
    <w:qFormat/>
    <w:uiPriority w:val="99"/>
    <w:rPr>
      <w:rFonts w:ascii="Times New Roman" w:hAnsi="Times New Roman" w:eastAsia="宋体" w:cs="Times New Roman"/>
      <w:sz w:val="22"/>
      <w:szCs w:val="22"/>
      <w:lang w:val="en-US" w:eastAsia="en-US" w:bidi="en-US"/>
    </w:rPr>
  </w:style>
  <w:style w:type="paragraph" w:customStyle="1" w:styleId="15">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1350</Words>
  <Characters>1438</Characters>
  <Lines>10</Lines>
  <Paragraphs>2</Paragraphs>
  <TotalTime>1</TotalTime>
  <ScaleCrop>false</ScaleCrop>
  <LinksUpToDate>false</LinksUpToDate>
  <CharactersWithSpaces>1440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2021-04-29T04:01:00Z</dcterms:created>
  <dc:creator>陈嘉璐</dc:creator>
  <cp:lastModifiedBy>王梓瞳</cp:lastModifiedBy>
  <cp:lastPrinted>2022-08-06T05:02:00Z</cp:lastPrinted>
  <dcterms:modified xsi:type="dcterms:W3CDTF">2023-04-13T14:41:36Z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SaveFontToCloudKey">
    <vt:lpwstr>348295640_cloud</vt:lpwstr>
  </property>
  <property fmtid="{D5CDD505-2E9C-101B-9397-08002B2CF9AE}" pid="4" name="ICV">
    <vt:lpwstr>41C8E64E2B9242E28937BCA51BD5953A</vt:lpwstr>
  </property>
</Properties>
</file>