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楷体_GB2312"/>
          <w:lang w:eastAsia="zh-CN"/>
        </w:rPr>
      </w:pPr>
      <w:r>
        <w:rPr>
          <w:rFonts w:hint="eastAsia" w:ascii="楷体_GB2312" w:hAnsi="仿宋" w:eastAsia="楷体_GB2312"/>
          <w:color w:val="000000"/>
          <w:spacing w:val="4"/>
          <w:sz w:val="32"/>
          <w:szCs w:val="32"/>
        </w:rPr>
        <w:t>附</w:t>
      </w:r>
      <w:r>
        <w:rPr>
          <w:rFonts w:hint="eastAsia" w:ascii="楷体_GB2312" w:hAnsi="仿宋" w:eastAsia="楷体_GB2312"/>
          <w:color w:val="000000"/>
          <w:spacing w:val="4"/>
          <w:sz w:val="32"/>
          <w:szCs w:val="32"/>
          <w:lang w:eastAsia="zh-CN"/>
        </w:rPr>
        <w:t>：</w:t>
      </w:r>
    </w:p>
    <w:p/>
    <w:p>
      <w:pPr>
        <w:snapToGrid w:val="0"/>
        <w:jc w:val="center"/>
        <w:rPr>
          <w:rFonts w:ascii="方正小标宋_GBK" w:hAnsi="方正小标宋_GBK" w:eastAsia="方正小标宋_GBK"/>
          <w:color w:val="000000"/>
          <w:spacing w:val="4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</w:rPr>
        <w:t>第</w:t>
      </w:r>
      <w:r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</w:rPr>
        <w:t>届深圳品牌故事演讲比赛</w:t>
      </w:r>
    </w:p>
    <w:p>
      <w:pPr>
        <w:snapToGrid w:val="0"/>
        <w:jc w:val="center"/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pacing w:val="4"/>
          <w:sz w:val="44"/>
          <w:szCs w:val="44"/>
        </w:rPr>
        <w:t>要求及评分规则</w:t>
      </w:r>
      <w:bookmarkEnd w:id="0"/>
    </w:p>
    <w:p/>
    <w:p>
      <w:pPr>
        <w:ind w:firstLine="658"/>
        <w:rPr>
          <w:rFonts w:hint="eastAsia" w:ascii="黑体" w:hAnsi="黑体" w:eastAsia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4"/>
          <w:sz w:val="32"/>
          <w:szCs w:val="32"/>
        </w:rPr>
        <w:t>一、主题</w:t>
      </w:r>
    </w:p>
    <w:p>
      <w:pPr>
        <w:spacing w:line="580" w:lineRule="exact"/>
        <w:ind w:firstLine="656" w:firstLineChars="200"/>
        <w:rPr>
          <w:rFonts w:hint="eastAsia" w:ascii="方正仿宋_GBK" w:hAnsi="黑体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黑体" w:eastAsia="方正仿宋_GBK"/>
          <w:color w:val="000000"/>
          <w:spacing w:val="4"/>
          <w:sz w:val="32"/>
          <w:szCs w:val="32"/>
          <w:lang w:eastAsia="zh-CN"/>
        </w:rPr>
        <w:t>讲好高质量发展故事，传播新时代品牌强音</w:t>
      </w:r>
    </w:p>
    <w:p>
      <w:pPr>
        <w:ind w:firstLine="658"/>
        <w:rPr>
          <w:rFonts w:ascii="黑体" w:hAnsi="黑体" w:eastAsia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4"/>
          <w:sz w:val="32"/>
          <w:szCs w:val="32"/>
        </w:rPr>
        <w:t>二、创作参考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（一）品牌的价值理念和质量水平。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突出企业的核心价值理念，介绍企业的基本信念与奋斗目标，展示企业的行为准则与发展原动力；宣传企业注重质量管理，弘扬工匠精神，树立品牌可靠、质量过硬的正面形象。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（二）品牌的文化内涵。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深入挖掘企业品牌成长的重大事件、文化底蕴，进而丰富品牌魅力。依托现代科技成果演绎品牌，进一步发掘并赋予品牌更新颖、更丰富的内涵，提升品牌整体形象。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（三）品牌的创业发展创新故事。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挖掘品牌创始人、能人巧匠在创业、发展经营过程中付出艰辛努力、执着奋斗的故事，透过不平凡事迹，反映其进取创新、顽强拼搏的时代品格。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（四）品牌的社会价值与责任担当。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从行业发展、生态环境、公众利益和社会和谐的角度，剖析自身品牌的做法和经验，探讨在品牌发展过程中，应如何更好地实现社会价值、履行社会责任，树立更好的公众品牌形象。</w:t>
      </w:r>
    </w:p>
    <w:p>
      <w:pPr>
        <w:ind w:firstLine="658"/>
        <w:rPr>
          <w:rFonts w:hint="eastAsia" w:ascii="黑体" w:hAnsi="黑体" w:eastAsia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4"/>
          <w:sz w:val="32"/>
          <w:szCs w:val="32"/>
        </w:rPr>
        <w:t>三、比赛要求</w:t>
      </w:r>
    </w:p>
    <w:p>
      <w:pPr>
        <w:ind w:firstLine="658"/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（一）品牌故事演讲比赛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宋体" w:hAnsi="宋体" w:cs="宋体"/>
          <w:color w:val="000000"/>
          <w:spacing w:val="4"/>
          <w:sz w:val="32"/>
          <w:szCs w:val="32"/>
        </w:rPr>
        <w:t>⒈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经单位同意后选手以团队或个人为单元参赛；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宋体" w:hAnsi="宋体" w:cs="宋体"/>
          <w:color w:val="000000"/>
          <w:spacing w:val="4"/>
          <w:sz w:val="32"/>
          <w:szCs w:val="32"/>
        </w:rPr>
        <w:t>⒉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要求脱稿演讲，以普通话为演讲语言进行比赛；</w:t>
      </w:r>
    </w:p>
    <w:p>
      <w:pPr>
        <w:ind w:firstLine="658"/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宋体" w:hAnsi="宋体" w:cs="宋体"/>
          <w:color w:val="000000"/>
          <w:spacing w:val="4"/>
          <w:sz w:val="32"/>
          <w:szCs w:val="32"/>
        </w:rPr>
        <w:t>⒊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参赛者可制作 PPT、Flash 或辅以音乐等作为演讲的辅助手段，形式多样；</w:t>
      </w:r>
    </w:p>
    <w:p>
      <w:pPr>
        <w:ind w:firstLine="658"/>
        <w:rPr>
          <w:rFonts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宋体" w:hAnsi="宋体" w:cs="宋体"/>
          <w:color w:val="000000"/>
          <w:spacing w:val="4"/>
          <w:sz w:val="32"/>
          <w:szCs w:val="32"/>
        </w:rPr>
        <w:t>⒋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演讲要紧扣主题、观点鲜明、事例真实、语言生动富于感染力；</w:t>
      </w:r>
    </w:p>
    <w:p>
      <w:pPr>
        <w:ind w:firstLine="658"/>
        <w:rPr>
          <w:rFonts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⒌每组参赛选手演讲时间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  <w:lang w:eastAsia="zh-CN"/>
        </w:rPr>
        <w:t>（包括选拔赛、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决赛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  <w:lang w:eastAsia="zh-CN"/>
        </w:rPr>
        <w:t>）皆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限制在</w:t>
      </w:r>
      <w:r>
        <w:rPr>
          <w:rFonts w:ascii="方正仿宋_GBK" w:hAnsi="仿宋" w:eastAsia="方正仿宋_GBK"/>
          <w:color w:val="000000"/>
          <w:spacing w:val="4"/>
          <w:sz w:val="32"/>
          <w:szCs w:val="32"/>
        </w:rPr>
        <w:t>8</w:t>
      </w: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 xml:space="preserve">分钟以内，超时扣分。 </w:t>
      </w:r>
    </w:p>
    <w:p>
      <w:pPr>
        <w:ind w:firstLine="658"/>
        <w:rPr>
          <w:rFonts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⒍比赛程序：按照抽签顺序，每位选手依次进行。演讲结束后，由评委现场评分（扣除演讲时间不足或超时分数）并在下一位选手演讲完毕后公布结果，确保比赛的公平性。</w:t>
      </w:r>
    </w:p>
    <w:p>
      <w:pPr>
        <w:ind w:firstLine="658"/>
        <w:rPr>
          <w:rFonts w:ascii="方正仿宋_GBK" w:hAnsi="仿宋" w:eastAsia="方正仿宋_GBK"/>
          <w:b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b/>
          <w:color w:val="000000"/>
          <w:spacing w:val="4"/>
          <w:sz w:val="32"/>
          <w:szCs w:val="32"/>
        </w:rPr>
        <w:t>（二）特别说明</w:t>
      </w:r>
    </w:p>
    <w:p>
      <w:pPr>
        <w:ind w:firstLine="658"/>
        <w:rPr>
          <w:rFonts w:ascii="方正仿宋_GBK" w:hAnsi="仿宋" w:eastAsia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pacing w:val="4"/>
          <w:sz w:val="32"/>
          <w:szCs w:val="32"/>
        </w:rPr>
        <w:t>所有参赛企业提交的作品，主办方将不予退还，请参赛者自行备份。所有参赛作品须确认拥有作品版权，如有任何违反法律法规行为均由参赛者承担，主办方视情况有权取消参赛者参赛及获奖资格。主办方及其合作组织拥有对参赛作品在公共媒体进行展映、公开宣传及结集出版等权利（展映、展播均为免费），故所有报名参赛作品须加盖单位公章。</w:t>
      </w:r>
    </w:p>
    <w:p>
      <w:pPr>
        <w:ind w:firstLine="658"/>
        <w:rPr>
          <w:rFonts w:ascii="黑体" w:hAnsi="黑体" w:eastAsia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4"/>
          <w:sz w:val="32"/>
          <w:szCs w:val="32"/>
        </w:rPr>
        <w:t>四、评分规则</w:t>
      </w:r>
    </w:p>
    <w:tbl>
      <w:tblPr>
        <w:tblStyle w:val="5"/>
        <w:tblW w:w="7474" w:type="dxa"/>
        <w:jc w:val="center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评分项目</w:t>
            </w:r>
          </w:p>
        </w:tc>
        <w:tc>
          <w:tcPr>
            <w:tcW w:w="6262" w:type="dxa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pStyle w:val="3"/>
              <w:overflowPunct w:val="0"/>
              <w:spacing w:before="0" w:beforeAutospacing="0" w:after="0" w:afterAutospacing="0"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演讲内容</w:t>
            </w:r>
          </w:p>
          <w:p>
            <w:pPr>
              <w:pStyle w:val="3"/>
              <w:overflowPunct w:val="0"/>
              <w:spacing w:before="0" w:beforeAutospacing="0" w:after="0" w:afterAutospacing="0"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(55分)</w:t>
            </w:r>
          </w:p>
        </w:tc>
        <w:tc>
          <w:tcPr>
            <w:tcW w:w="6262" w:type="dxa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1.主题鲜明：反映企业品牌内涵精神、品牌价值理念和优秀的品牌管理实践，真实具体（20分）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2.材料：观点鲜明、实例生动，反映客观事实，具有普遍意义，体现时代精神(15分)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3.结构：逻辑清晰、构思巧妙，引人入胜（10分）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4.语言：措辞准确、简练流畅（10分）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演讲技巧</w:t>
            </w:r>
          </w:p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(30分)</w:t>
            </w:r>
          </w:p>
        </w:tc>
        <w:tc>
          <w:tcPr>
            <w:tcW w:w="6262" w:type="dxa"/>
            <w:vAlign w:val="center"/>
          </w:tcPr>
          <w:p>
            <w:pPr>
              <w:pStyle w:val="6"/>
              <w:overflowPunct w:val="0"/>
              <w:ind w:firstLine="0" w:firstLineChars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1.发音规范：普通话标准，口齿清晰，声音圆润洪亮（10分）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overflowPunct w:val="0"/>
              <w:ind w:left="246" w:leftChars="67" w:hanging="105" w:hangingChars="5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2.语言表达：脱稿演讲，熟练、准确、流畅、自然（10分）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3.语音表达：语速恰当，语气、语调、音量、节奏张弛符合思想感情的起伏变化（10分）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形象风度</w:t>
            </w:r>
          </w:p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(5分)</w:t>
            </w:r>
          </w:p>
        </w:tc>
        <w:tc>
          <w:tcPr>
            <w:tcW w:w="6262" w:type="dxa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着装整洁、端庄、大方，举止自然得体，有风度（5分）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会场效果</w:t>
            </w:r>
          </w:p>
          <w:p>
            <w:pPr>
              <w:overflowPunct w:val="0"/>
              <w:ind w:left="-141" w:firstLine="105" w:firstLineChars="5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(10分)</w:t>
            </w:r>
          </w:p>
        </w:tc>
        <w:tc>
          <w:tcPr>
            <w:tcW w:w="6262" w:type="dxa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1.感染力：演讲具有较强的吸引力和号召力，能较好地与听众感情融合在一起，营造良好的演讲效果（5分）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overflowPunct w:val="0"/>
              <w:ind w:left="-141" w:firstLine="105" w:firstLineChars="5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262" w:type="dxa"/>
            <w:vAlign w:val="center"/>
          </w:tcPr>
          <w:p>
            <w:pPr>
              <w:overflowPunct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2.时间控制：演讲时间控制在5-8分钟之内，超时扣分（5分）</w:t>
            </w:r>
          </w:p>
        </w:tc>
      </w:tr>
    </w:tbl>
    <w:p>
      <w:pPr>
        <w:spacing w:before="156" w:beforeLines="50" w:after="156" w:afterLines="50" w:line="560" w:lineRule="exact"/>
        <w:rPr>
          <w:rFonts w:ascii="仿宋" w:hAnsi="仿宋" w:eastAsia="仿宋" w:cs="仿宋_GB2312"/>
          <w:sz w:val="30"/>
          <w:szCs w:val="30"/>
        </w:rPr>
      </w:pPr>
    </w:p>
    <w:p>
      <w:pPr>
        <w:spacing w:before="156" w:beforeLines="50" w:after="156" w:afterLines="50" w:line="560" w:lineRule="exact"/>
        <w:rPr>
          <w:rFonts w:ascii="仿宋" w:hAnsi="仿宋" w:eastAsia="仿宋" w:cs="仿宋_GB2312"/>
          <w:sz w:val="30"/>
          <w:szCs w:val="30"/>
        </w:rPr>
      </w:pPr>
    </w:p>
    <w:p>
      <w:pPr>
        <w:spacing w:before="156" w:beforeLines="50" w:after="156" w:afterLines="50" w:line="560" w:lineRule="exact"/>
        <w:rPr>
          <w:rFonts w:ascii="仿宋" w:hAnsi="仿宋" w:eastAsia="仿宋" w:cs="仿宋_GB2312"/>
          <w:sz w:val="30"/>
          <w:szCs w:val="30"/>
        </w:rPr>
      </w:pPr>
    </w:p>
    <w:p/>
    <w:sectPr>
      <w:footerReference r:id="rId3" w:type="default"/>
      <w:pgSz w:w="11906" w:h="16838"/>
      <w:pgMar w:top="1474" w:right="1588" w:bottom="1474" w:left="1588" w:header="851" w:footer="7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方正仿宋_GBK" w:eastAsia="方正仿宋_GBK"/>
        <w:sz w:val="32"/>
        <w:szCs w:val="32"/>
      </w:rPr>
      <w:fldChar w:fldCharType="begin"/>
    </w:r>
    <w:r>
      <w:rPr>
        <w:rFonts w:hint="eastAsia" w:ascii="方正仿宋_GBK" w:eastAsia="方正仿宋_GBK"/>
        <w:sz w:val="32"/>
        <w:szCs w:val="32"/>
      </w:rPr>
      <w:instrText xml:space="preserve">PAGE   \* MERGEFORMAT</w:instrText>
    </w:r>
    <w:r>
      <w:rPr>
        <w:rFonts w:hint="eastAsia" w:ascii="方正仿宋_GBK" w:eastAsia="方正仿宋_GBK"/>
        <w:sz w:val="32"/>
        <w:szCs w:val="32"/>
      </w:rPr>
      <w:fldChar w:fldCharType="separate"/>
    </w:r>
    <w:r>
      <w:rPr>
        <w:rFonts w:ascii="方正仿宋_GBK" w:eastAsia="方正仿宋_GBK"/>
        <w:sz w:val="32"/>
        <w:szCs w:val="32"/>
        <w:lang w:val="zh-CN"/>
      </w:rPr>
      <w:t>-</w:t>
    </w:r>
    <w:r>
      <w:rPr>
        <w:rFonts w:ascii="方正仿宋_GBK" w:eastAsia="方正仿宋_GBK"/>
        <w:sz w:val="32"/>
        <w:szCs w:val="32"/>
      </w:rPr>
      <w:t xml:space="preserve"> 3 -</w:t>
    </w:r>
    <w:r>
      <w:rPr>
        <w:rFonts w:hint="eastAsia" w:ascii="方正仿宋_GBK" w:eastAsia="方正仿宋_GBK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2019-08-06T02:57:52Z</dcterms:created>
  <dc:creator>lenovo</dc:creator>
  <cp:lastModifiedBy>童晶</cp:lastModifiedBy>
  <dcterms:modified xsi:type="dcterms:W3CDTF">2019-08-06T02:59:26Z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