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ABB6C">
      <w:pPr>
        <w:widowControl/>
        <w:jc w:val="left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附件：</w:t>
      </w:r>
    </w:p>
    <w:p w14:paraId="6E6D715B">
      <w:pPr>
        <w:spacing w:before="156" w:beforeLines="50" w:after="156" w:afterLines="50"/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深圳市南山区机器人应用场景征集表</w:t>
      </w:r>
    </w:p>
    <w:p w14:paraId="32DB3B11">
      <w:pPr>
        <w:spacing w:before="156" w:beforeLines="50" w:after="156" w:afterLines="50"/>
        <w:jc w:val="center"/>
        <w:rPr>
          <w:rFonts w:hint="eastAsia" w:ascii="楷体_GB2312" w:hAnsi="楷体_GB2312" w:eastAsia="楷体_GB2312" w:cs="楷体_GB2312"/>
          <w:sz w:val="32"/>
        </w:rPr>
      </w:pPr>
      <w:r>
        <w:rPr>
          <w:rFonts w:hint="eastAsia" w:ascii="楷体_GB2312" w:hAnsi="楷体_GB2312" w:eastAsia="楷体_GB2312" w:cs="楷体_GB2312"/>
          <w:sz w:val="32"/>
        </w:rPr>
        <w:t>（政府及企事业单位）</w:t>
      </w:r>
    </w:p>
    <w:tbl>
      <w:tblPr>
        <w:tblStyle w:val="2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958"/>
        <w:gridCol w:w="2076"/>
        <w:gridCol w:w="2379"/>
      </w:tblGrid>
      <w:tr w14:paraId="129E9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69652">
            <w:pPr>
              <w:snapToGrid w:val="0"/>
              <w:spacing w:line="320" w:lineRule="exact"/>
              <w:jc w:val="both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6B368">
            <w:pPr>
              <w:spacing w:line="320" w:lineRule="exact"/>
              <w:jc w:val="both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面向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实验室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培养皿智能转运、试管检测全流程自动化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机器人场景</w:t>
            </w:r>
          </w:p>
        </w:tc>
      </w:tr>
      <w:tr w14:paraId="7351F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4F9B6">
            <w:pPr>
              <w:snapToGrid w:val="0"/>
              <w:spacing w:line="320" w:lineRule="exact"/>
              <w:jc w:val="both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958D6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医用培养皿转运作业移动机器人</w:t>
            </w:r>
          </w:p>
          <w:p w14:paraId="30CE51EC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1.现有场景基本情况：生物医药/医学检测实验室日常需完成大量培养皿的转运、上下料作业，样本流转贯穿样本接收、培养、检测全流程，是实验室核心高频作业环节。</w:t>
            </w:r>
          </w:p>
          <w:p w14:paraId="2B8D6E5C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2.现有作业方式：完全依赖人工完成培养皿从培养区到检测工作站的搬运、测试架上下料，人工逐盘转运、手动对位放置，全程人工记录流转信息。</w:t>
            </w:r>
          </w:p>
          <w:p w14:paraId="01666993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3.现有场景痛点：人工转运效率低、劳动强度大，长时间作业易出现样本错放、漏检；人工操作存在样本污染风险，不符合洁净实验室无菌要求；人工成本高，难以适配实验室24小时连续作业需求。</w:t>
            </w:r>
          </w:p>
          <w:p w14:paraId="524EC0E9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4.引入机器人必要性：通过复合机器人替代人工，实现培养皿转运全流程无人化，提升转运效率与精准度，降低样本污染风险，适配洁净实验室作业标准，支撑实验室规模化、智能化升级。</w:t>
            </w:r>
          </w:p>
          <w:p w14:paraId="1C2AE53A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（二）医用试管检测转运作业移动机器人</w:t>
            </w:r>
          </w:p>
          <w:p w14:paraId="5A89B8C8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1.现有场景基本情况：医院检验科/医学检测中心每日需处理海量检测试管，样本转运、开盖/盖盖、扫码采集贯穿检测全流程，是检验科核心作业环节，作业量随门诊量波动大。</w:t>
            </w:r>
          </w:p>
          <w:p w14:paraId="59862ACC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2.现有作业方式：人工完成试管从采样区到分析仪、工作站的全流程转运，手动开盖/盖盖、扫码录入信息，人工逐管操作、逐次搬运，全程人工核对样本信息。</w:t>
            </w:r>
          </w:p>
          <w:p w14:paraId="67071CDA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3.现有场景痛点：人工操作效率低，高峰时段易出现检测积压；人工开盖/扫码易出现操作误差、样本信息错录；人工接触样本存在交叉感染风险；人工成本高，难以适配检验科24小时急诊检测需求。</w:t>
            </w:r>
          </w:p>
          <w:p w14:paraId="3EF028CA">
            <w:pPr>
              <w:spacing w:line="320" w:lineRule="exact"/>
              <w:jc w:val="both"/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4.引入机器人必要性：通过复合机器人实现试管转运、操作全流程自动化，提升检测效率与准确率，降低交叉感染风险，打通医疗设备信息交互闭环，支撑检验科智能化、无人化升级。</w:t>
            </w:r>
          </w:p>
        </w:tc>
      </w:tr>
      <w:tr w14:paraId="18D0C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C5941">
            <w:pPr>
              <w:snapToGrid w:val="0"/>
              <w:spacing w:line="320" w:lineRule="exact"/>
              <w:jc w:val="both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22354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（一）医用培养皿转运作业移动机器人</w:t>
            </w:r>
          </w:p>
          <w:p w14:paraId="0EE05E67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核心功能：5KG负载洁净型六轴协作机器人，IP65高防护，激光+视觉双定位（导航误差±10mm、视觉定位 ±0.05mm），自适应抓取转运培养皿。</w:t>
            </w:r>
          </w:p>
          <w:p w14:paraId="7577D5CA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性能指标：整机100-150KG，移动速度≥1.4m/s，标准续航4小时（扩容8小时），单系统最大调度50台，支持自主充电。</w:t>
            </w:r>
          </w:p>
          <w:p w14:paraId="0A819610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管理适配：兼容BcTMS医疗版设备管理系统，支持网络设备扩容管理。</w:t>
            </w:r>
          </w:p>
          <w:p w14:paraId="4D1F668C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（二）医用试管检测转运作业移动机器人</w:t>
            </w:r>
          </w:p>
          <w:p w14:paraId="0CFAA5E5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核心功能：5KG负载洁净型六轴协作机器人，集成试管开盖/扫码采集工具，激光+ 视觉双定位（导航误差±10mm、视觉定位±0.05mm），适配试管全流程操作。</w:t>
            </w:r>
          </w:p>
          <w:p w14:paraId="421531AA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性能指标：整机100-150KG，移动速度≥1.4m/s，标准续航4小时（扩容8小时），单系统最大调度50台，支持自主充电。</w:t>
            </w:r>
          </w:p>
          <w:p w14:paraId="3C977126">
            <w:pPr>
              <w:spacing w:line="320" w:lineRule="exact"/>
              <w:jc w:val="both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管理适配：兼容BcTMS医疗版系统，可与医院医疗设备信息交互，支持网络设备扩容管理。</w:t>
            </w:r>
          </w:p>
        </w:tc>
      </w:tr>
      <w:tr w14:paraId="71081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785CF">
            <w:pPr>
              <w:snapToGrid w:val="0"/>
              <w:spacing w:line="320" w:lineRule="exact"/>
              <w:jc w:val="both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42512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（一）医用培养皿转运作业移动机器人</w:t>
            </w:r>
          </w:p>
          <w:p w14:paraId="338CCAA0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国内外相关应用情况：当前国内外生物医药实验室已逐步推广AGV/AMR转运机器人，但多为单一移动底盘，仅实现基础物料搬运；少数高端实验室采用复合机器人，但多为定制化方案，通用性不足，且针对培养皿转运的标准化、高防护级产品较少。</w:t>
            </w:r>
          </w:p>
          <w:p w14:paraId="40C96910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需改进的地方：现有方案多未适配洁净实验室IP65级防护要求，视觉定位精度不足，无法满足培养皿高精度上下料需求；调度系统兼容性差，难以与实验室现有管理系统打通，无法实现全流程数据闭环；多机器人协同调度能力弱，无法支撑大规模实验室集群作业。</w:t>
            </w:r>
          </w:p>
          <w:p w14:paraId="0F5FF166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（二）医用试管检测转运作业移动机器人</w:t>
            </w:r>
          </w:p>
          <w:p w14:paraId="43AF7994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国内外相关应用情况：国内外医院检验科已逐步应用试管转运机器人，但多为轨道式或单一AGV转运方案，仅实现试管运输，无法完成开盖/盖盖、扫码等前端操作；少数复合机器人方案存在体积大、适配性差、与医疗设备交互能力弱等问题，未实现全流程自动化。</w:t>
            </w:r>
          </w:p>
          <w:p w14:paraId="1092BE77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需改进的地方：现有方案多未集成试管全流程操作工具，无法替代人工核心操作；与医院LIS系统、检测分析仪的信息交互兼容性不足，数据孤岛问题突出；机器人定位精度不足，易造成试管损坏、样本泄漏；多机器人调度能力弱，无法适配检验科高峰时段批量作业需求。</w:t>
            </w:r>
          </w:p>
        </w:tc>
      </w:tr>
      <w:tr w14:paraId="31538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048D1">
            <w:pPr>
              <w:snapToGrid w:val="0"/>
              <w:spacing w:line="320" w:lineRule="exact"/>
              <w:jc w:val="both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91414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物理空间与地面条件</w:t>
            </w:r>
          </w:p>
          <w:p w14:paraId="493412D7">
            <w:pPr>
              <w:spacing w:line="320" w:lineRule="exact"/>
              <w:ind w:firstLine="240" w:firstLineChars="100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机器人需要在物理空间中移动和作业，因此地面的状况和空间尺寸是首先要确认的硬性指标。</w:t>
            </w:r>
          </w:p>
          <w:p w14:paraId="6DC39832">
            <w:pPr>
              <w:numPr>
                <w:ilvl w:val="0"/>
                <w:numId w:val="1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地面平整度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：这是影响机器人导航稳定性的关键。一般来说，部署场地需要满足：</w:t>
            </w:r>
          </w:p>
          <w:p w14:paraId="03B2AB0E">
            <w:pPr>
              <w:numPr>
                <w:ilvl w:val="1"/>
                <w:numId w:val="1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坡度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：≤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3°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，部分重载或特殊设计的机型可适应最大5°坡度。</w:t>
            </w:r>
          </w:p>
          <w:p w14:paraId="7858F958">
            <w:pPr>
              <w:numPr>
                <w:ilvl w:val="1"/>
                <w:numId w:val="1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沟槽宽度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：允许的地面沟槽宽度通常需≤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5mm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862AD31">
            <w:pPr>
              <w:numPr>
                <w:ilvl w:val="1"/>
                <w:numId w:val="1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地面凹凸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：每平方米内的凸起或凹陷高度需≤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5mm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C9AECF8">
            <w:pPr>
              <w:numPr>
                <w:ilvl w:val="0"/>
                <w:numId w:val="1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通道宽度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：需确保机器人的移动底盘，特别是装载了机械臂后，能在通道内自由通过和转弯。这需要根据具体机型的车身尺寸和最小转弯半径来评估。</w:t>
            </w:r>
          </w:p>
          <w:p w14:paraId="6E81BA76">
            <w:pPr>
              <w:numPr>
                <w:ilvl w:val="0"/>
                <w:numId w:val="1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地面洁净度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：地面应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无油污、积水、铁屑或明显的积尘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，这些污染物可能导致打滑、传感器误判或增加轮组磨损。</w:t>
            </w:r>
          </w:p>
          <w:p w14:paraId="01DB2EF1">
            <w:pPr>
              <w:numPr>
                <w:ilvl w:val="0"/>
                <w:numId w:val="1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空间净高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：除了机器人自身高度，还需考虑机械臂完全伸展时的高度，确保上方无管道、灯架等障碍物干涉。</w:t>
            </w:r>
          </w:p>
          <w:p w14:paraId="2666807D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基础环境与特殊防护</w:t>
            </w:r>
          </w:p>
          <w:p w14:paraId="455BFF38">
            <w:pPr>
              <w:spacing w:line="320" w:lineRule="exact"/>
              <w:ind w:firstLine="240" w:firstLineChars="100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机器人内部的电子元件、电池和运动部件对环境条件有明确要求。</w:t>
            </w:r>
          </w:p>
          <w:p w14:paraId="755AEFF1">
            <w:pPr>
              <w:numPr>
                <w:ilvl w:val="0"/>
                <w:numId w:val="2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温度与湿度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3CB3E045">
            <w:pPr>
              <w:numPr>
                <w:ilvl w:val="1"/>
                <w:numId w:val="2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通用工业场景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：工作温度通常在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0℃ 到 50℃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之间，部分可扩展到-10℃至55℃；相对湿度一般在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5% 到 95%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（无结露）。</w:t>
            </w:r>
          </w:p>
          <w:p w14:paraId="5BAF8A4F">
            <w:pPr>
              <w:numPr>
                <w:ilvl w:val="1"/>
                <w:numId w:val="2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特殊场景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：应用于冷链或高温车间时，需要选择特定型号。例如，冷链场景需支持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-25℃至-30℃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的低温，并做好密封防冷凝；而高温沙漠等环境则需支持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+60℃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的极限温度。</w:t>
            </w:r>
          </w:p>
          <w:p w14:paraId="7859F155">
            <w:pPr>
              <w:numPr>
                <w:ilvl w:val="0"/>
                <w:numId w:val="2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特殊环境防护（IP等级）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2D8C34A7">
            <w:pPr>
              <w:numPr>
                <w:ilvl w:val="1"/>
                <w:numId w:val="2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粉尘环境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：如铸造、打磨、水泥车间，机器人整机防护等级需达到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IP54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（防尘）或更高。</w:t>
            </w:r>
          </w:p>
          <w:p w14:paraId="76CCBE5C">
            <w:pPr>
              <w:numPr>
                <w:ilvl w:val="1"/>
                <w:numId w:val="2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涉水或潮湿环境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：如食品清洗、制药车间，需选择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IP65、IP67甚至IP68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的机型，以应对高压水枪冲洗或短时浸泡。</w:t>
            </w:r>
          </w:p>
          <w:p w14:paraId="27AFCB81">
            <w:pPr>
              <w:numPr>
                <w:ilvl w:val="1"/>
                <w:numId w:val="2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防爆环境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：在石油、化工等存在易燃易爆气体或粉尘的场所，机器人必须具备国家认证的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防爆资质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（如Ex d IIB T4 Ga等级别）。</w:t>
            </w:r>
          </w:p>
          <w:p w14:paraId="1E1EE5EA">
            <w:pPr>
              <w:numPr>
                <w:ilvl w:val="1"/>
                <w:numId w:val="2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洁净室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：应用于半导体、医药等场景，机器人需满足特定的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无尘室等级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标准，避免产生微粒污染。</w:t>
            </w:r>
          </w:p>
          <w:p w14:paraId="3514EB7D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仿宋" w:cs="Calibri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网络通信环境</w:t>
            </w:r>
          </w:p>
          <w:p w14:paraId="7E9AE08A">
            <w:pPr>
              <w:spacing w:line="320" w:lineRule="exact"/>
              <w:ind w:firstLine="240" w:firstLineChars="100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复合机器人高度依赖网络与调度系统、机械臂、传感器进行实时数据交互。</w:t>
            </w:r>
          </w:p>
          <w:p w14:paraId="16A50EF0"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网络覆盖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：车间和仓储区域需要实现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WIFI或5G信号的稳定、无死角覆盖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，尤其是在机器人的行进路线上和工作点位。</w:t>
            </w:r>
          </w:p>
          <w:p w14:paraId="553AC9F4">
            <w:pPr>
              <w:numPr>
                <w:ilvl w:val="0"/>
                <w:numId w:val="3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网络性能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：需要保证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低延迟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高带宽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，以支持远程监控、实时图像回传和精准控制指令的下发。在多机器人协同作业时，良好的网络性能至关重要，以避免数据丢包和碰撞。对于复杂的运动规划任务，甚至可以考虑配置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板载辅助计算机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来分担计算压力。</w:t>
            </w:r>
          </w:p>
          <w:p w14:paraId="4B627B65">
            <w:pPr>
              <w:spacing w:line="320" w:lineRule="exact"/>
              <w:jc w:val="both"/>
              <w:rPr>
                <w:rFonts w:hint="eastAsia"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Segoe UI Emoji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供电与充电设施</w:t>
            </w:r>
          </w:p>
          <w:p w14:paraId="1C249ECC">
            <w:pPr>
              <w:spacing w:line="320" w:lineRule="exact"/>
              <w:ind w:firstLine="240" w:firstLineChars="100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稳定的电力供应是机器人持续运行的保障。</w:t>
            </w:r>
          </w:p>
          <w:p w14:paraId="43ECA810">
            <w:pPr>
              <w:numPr>
                <w:ilvl w:val="0"/>
                <w:numId w:val="4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充电设施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：需要为机器人规划充电区域，并安装相应的</w:t>
            </w: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充电桩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。充电桩的位置应便于机器人自主导航停靠，并接入稳定、接地的电源。</w:t>
            </w:r>
          </w:p>
          <w:p w14:paraId="4A20B56F">
            <w:pPr>
              <w:numPr>
                <w:ilvl w:val="0"/>
                <w:numId w:val="4"/>
              </w:numPr>
              <w:spacing w:line="320" w:lineRule="exact"/>
              <w:jc w:val="both"/>
              <w:rPr>
                <w:rFonts w:hint="eastAsia"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供电稳定性</w:t>
            </w:r>
            <w:r>
              <w:rPr>
                <w:rFonts w:ascii="仿宋" w:hAnsi="仿宋" w:eastAsia="仿宋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：现场的电网应保持稳定，避免电压剧烈波动，以防损坏机器人精密的电池管理系统和电子元件。</w:t>
            </w:r>
          </w:p>
        </w:tc>
      </w:tr>
      <w:tr w14:paraId="596C6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8F704">
            <w:pPr>
              <w:spacing w:line="320" w:lineRule="exact"/>
              <w:jc w:val="both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拟投入资金</w:t>
            </w: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2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BBB67">
            <w:pPr>
              <w:spacing w:line="320" w:lineRule="exact"/>
              <w:jc w:val="both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拟用于采购新技术、新产品、新方案的金额合计260万元。（其中医用培养皿转运作业移动机器人110万元/台。医用试管检测转运作业移动机器人150万元/台。）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E70E9">
            <w:pPr>
              <w:spacing w:line="320" w:lineRule="exact"/>
              <w:jc w:val="both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66BF6">
            <w:pPr>
              <w:spacing w:line="320" w:lineRule="exact"/>
              <w:ind w:firstLine="480" w:firstLineChars="200"/>
              <w:jc w:val="both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6个月</w:t>
            </w:r>
          </w:p>
        </w:tc>
      </w:tr>
    </w:tbl>
    <w:p w14:paraId="31BA1E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方正仿宋简体">
    <w:altName w:val="微软雅黑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6A00D9"/>
    <w:multiLevelType w:val="multilevel"/>
    <w:tmpl w:val="1E6A00D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362A3A1D"/>
    <w:multiLevelType w:val="multilevel"/>
    <w:tmpl w:val="362A3A1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36C0178E"/>
    <w:multiLevelType w:val="multilevel"/>
    <w:tmpl w:val="36C0178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63667CA0"/>
    <w:multiLevelType w:val="multilevel"/>
    <w:tmpl w:val="63667CA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1A4085"/>
    <w:rsid w:val="228A4337"/>
    <w:rsid w:val="451A4085"/>
    <w:rsid w:val="71DE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2778</Words>
  <Characters>2938</Characters>
  <Lines>0</Lines>
  <Paragraphs>0</Paragraphs>
  <TotalTime>0</TotalTime>
  <ScaleCrop>false</ScaleCrop>
  <LinksUpToDate>false</LinksUpToDate>
  <CharactersWithSpaces>2970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2026-05-28T03:43:00Z</dcterms:created>
  <dc:creator>SRA小助手</dc:creator>
  <cp:lastModifiedBy>SRA小助手</cp:lastModifiedBy>
  <dcterms:modified xsi:type="dcterms:W3CDTF">2026-06-11T06:29:20Z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F38F00B89529473AAD05053358841546_11</vt:lpwstr>
  </property>
  <property fmtid="{D5CDD505-2E9C-101B-9397-08002B2CF9AE}" pid="4" name="KSOTemplateDocerSaveRecord">
    <vt:lpwstr>eyJoZGlkIjoiNzg3OTczNzI0ZWJiZjRjNDQ5ZjMxYzE5NzFmNzE4MjMiLCJ1c2VySWQiOiIxMzA2Mzc0OTg5In0=</vt:lpwstr>
  </property>
</Properties>
</file>