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5709E8">
      <w:pPr>
        <w:widowControl/>
        <w:jc w:val="left"/>
        <w:rPr>
          <w:rFonts w:hint="eastAsia" w:ascii="黑体" w:hAnsi="黑体" w:eastAsia="黑体"/>
          <w:sz w:val="32"/>
        </w:rPr>
      </w:pPr>
      <w:r>
        <w:rPr>
          <w:rFonts w:hint="eastAsia" w:ascii="黑体" w:hAnsi="黑体" w:eastAsia="黑体"/>
          <w:sz w:val="32"/>
        </w:rPr>
        <w:t>附件：</w:t>
      </w:r>
    </w:p>
    <w:p w14:paraId="7123D362">
      <w:pPr>
        <w:spacing w:before="156" w:beforeLines="50" w:after="156" w:afterLines="50"/>
        <w:jc w:val="center"/>
        <w:rPr>
          <w:rFonts w:hint="eastAsia" w:ascii="楷体_GB2312" w:hAnsi="楷体_GB2312" w:eastAsia="楷体_GB2312" w:cs="楷体_GB2312"/>
          <w:sz w:val="28"/>
          <w:szCs w:val="21"/>
        </w:rPr>
      </w:pPr>
      <w:r>
        <w:rPr>
          <w:rFonts w:hint="eastAsia" w:ascii="黑体" w:hAnsi="黑体" w:eastAsia="黑体"/>
          <w:sz w:val="32"/>
        </w:rPr>
        <w:t>深圳市南山区机器人应用场景征集表</w:t>
      </w:r>
      <w:r>
        <w:rPr>
          <w:rFonts w:hint="eastAsia" w:ascii="楷体_GB2312" w:hAnsi="楷体_GB2312" w:eastAsia="楷体_GB2312" w:cs="楷体_GB2312"/>
          <w:sz w:val="28"/>
          <w:szCs w:val="21"/>
        </w:rPr>
        <w:t>（政府及企事业单位）</w:t>
      </w:r>
    </w:p>
    <w:tbl>
      <w:tblPr>
        <w:tblStyle w:val="3"/>
        <w:tblW w:w="9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857"/>
        <w:gridCol w:w="2657"/>
        <w:gridCol w:w="2377"/>
        <w:gridCol w:w="2379"/>
      </w:tblGrid>
      <w:tr w14:paraId="12DDF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14:paraId="3575DA1B">
            <w:pPr>
              <w:snapToGrid w:val="0"/>
              <w:spacing w:line="320" w:lineRule="exact"/>
              <w:jc w:val="center"/>
              <w:rPr>
                <w:rFonts w:ascii="Times New Roman" w:hAnsi="Times New Roman" w:eastAsia="仿宋_GB2312" w:cs="Times New Roman"/>
                <w:color w:val="000000" w:themeColor="text1"/>
                <w:sz w:val="24"/>
                <w14:textFill>
                  <w14:solidFill>
                    <w14:schemeClr w14:val="tx1"/>
                  </w14:solidFill>
                </w14:textFill>
              </w:rPr>
            </w:pPr>
            <w:bookmarkStart w:id="0" w:name="_GoBack"/>
            <w:bookmarkEnd w:id="0"/>
            <w:r>
              <w:rPr>
                <w:rFonts w:hint="eastAsia" w:ascii="Times New Roman" w:hAnsi="Times New Roman" w:eastAsia="仿宋_GB2312" w:cs="Times New Roman"/>
                <w:b/>
                <w:bCs/>
                <w:color w:val="000000" w:themeColor="text1"/>
                <w:sz w:val="24"/>
                <w14:textFill>
                  <w14:solidFill>
                    <w14:schemeClr w14:val="tx1"/>
                  </w14:solidFill>
                </w14:textFill>
              </w:rPr>
              <w:t>需求名称</w:t>
            </w:r>
          </w:p>
        </w:tc>
        <w:tc>
          <w:tcPr>
            <w:tcW w:w="7413" w:type="dxa"/>
            <w:gridSpan w:val="3"/>
            <w:tcBorders>
              <w:top w:val="single" w:color="auto" w:sz="4" w:space="0"/>
              <w:left w:val="single" w:color="auto" w:sz="4" w:space="0"/>
              <w:bottom w:val="single" w:color="auto" w:sz="4" w:space="0"/>
              <w:right w:val="single" w:color="auto" w:sz="4" w:space="0"/>
            </w:tcBorders>
          </w:tcPr>
          <w:p w14:paraId="053D11BB">
            <w:pPr>
              <w:spacing w:line="320" w:lineRule="exact"/>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面向X射线高辐射场景下的介入手术机器人需求</w:t>
            </w:r>
          </w:p>
        </w:tc>
      </w:tr>
      <w:tr w14:paraId="05582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14:paraId="6860FED8">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应用场景</w:t>
            </w:r>
          </w:p>
        </w:tc>
        <w:tc>
          <w:tcPr>
            <w:tcW w:w="7413" w:type="dxa"/>
            <w:gridSpan w:val="3"/>
            <w:tcBorders>
              <w:top w:val="single" w:color="auto" w:sz="4" w:space="0"/>
              <w:left w:val="single" w:color="auto" w:sz="4" w:space="0"/>
              <w:bottom w:val="single" w:color="auto" w:sz="4" w:space="0"/>
              <w:right w:val="single" w:color="auto" w:sz="4" w:space="0"/>
            </w:tcBorders>
          </w:tcPr>
          <w:p w14:paraId="6C1DA1D2">
            <w:pPr>
              <w:snapToGrid w:val="0"/>
              <w:spacing w:line="320" w:lineRule="exact"/>
              <w:rPr>
                <w:rFonts w:ascii="Times New Roman" w:hAnsi="Times New Roman" w:eastAsia="仿宋_GB2312" w:cs="Times New Roman"/>
                <w:color w:val="000000" w:themeColor="text1"/>
                <w:sz w:val="24"/>
                <w:szCs w:val="24"/>
                <w14:textFill>
                  <w14:solidFill>
                    <w14:schemeClr w14:val="tx1"/>
                  </w14:solidFill>
                </w14:textFill>
              </w:rPr>
            </w:pPr>
            <w:r>
              <w:rPr>
                <w:rFonts w:hint="eastAsia" w:ascii="Times New Roman" w:hAnsi="Times New Roman" w:eastAsia="仿宋_GB2312" w:cs="Times New Roman"/>
                <w:color w:val="000000" w:themeColor="text1"/>
                <w:sz w:val="24"/>
                <w:szCs w:val="24"/>
                <w14:textFill>
                  <w14:solidFill>
                    <w14:schemeClr w14:val="tx1"/>
                  </w14:solidFill>
                </w14:textFill>
              </w:rPr>
              <w:t>（围绕拟建或在建的具体应用场景，</w:t>
            </w:r>
            <w:r>
              <w:rPr>
                <w:rFonts w:hint="eastAsia" w:ascii="Times New Roman" w:hAnsi="Times New Roman" w:eastAsia="仿宋_GB2312" w:cs="Times New Roman"/>
                <w:b/>
                <w:bCs/>
                <w:color w:val="000000" w:themeColor="text1"/>
                <w:sz w:val="24"/>
                <w:szCs w:val="24"/>
                <w14:textFill>
                  <w14:solidFill>
                    <w14:schemeClr w14:val="tx1"/>
                  </w14:solidFill>
                </w14:textFill>
              </w:rPr>
              <w:t>作相应简要描述</w:t>
            </w:r>
            <w:r>
              <w:rPr>
                <w:rFonts w:hint="eastAsia" w:ascii="Times New Roman" w:hAnsi="Times New Roman" w:eastAsia="仿宋_GB2312" w:cs="Times New Roman"/>
                <w:color w:val="000000" w:themeColor="text1"/>
                <w:sz w:val="24"/>
                <w:szCs w:val="24"/>
                <w14:textFill>
                  <w14:solidFill>
                    <w14:schemeClr w14:val="tx1"/>
                  </w14:solidFill>
                </w14:textFill>
              </w:rPr>
              <w:t>）</w:t>
            </w:r>
          </w:p>
          <w:p w14:paraId="388D7577">
            <w:r>
              <w:rPr>
                <w:rFonts w:hint="eastAsia"/>
                <w:b/>
                <w:bCs/>
              </w:rPr>
              <w:t>1现有场景基本情况描述</w:t>
            </w:r>
          </w:p>
          <w:p w14:paraId="25E02069">
            <w:pPr>
              <w:ind w:firstLine="420" w:firstLineChars="200"/>
              <w:rPr>
                <w:rFonts w:hint="eastAsia" w:ascii="宋体" w:hAnsi="宋体"/>
                <w:color w:val="000000"/>
                <w:szCs w:val="21"/>
              </w:rPr>
            </w:pPr>
            <w:r>
              <w:rPr>
                <w:rFonts w:hint="eastAsia" w:ascii="宋体" w:hAnsi="宋体"/>
                <w:color w:val="000000"/>
                <w:szCs w:val="21"/>
              </w:rPr>
              <w:t>心脑血管病是危害我国国民健康的主要疾病，具有患病率、致残率、复发率、病死率、诊疗费用高等特点。而介入技术、血管造影则在心脑血管病的诊断和治疗中发挥着不可替代重要作用，现有手术方法主要让医生在重达30斤的铅衣的保护下在X射线下进行手术，手术辐射暴露大，技巧性强，风险性高，专科医生手术培训时间长。越来越多的患病人群和年轻医生不太愿意从事这项有着一定牺牲奉献的工作的矛盾越来越突出。</w:t>
            </w:r>
          </w:p>
          <w:p w14:paraId="22482F3E">
            <w:pPr>
              <w:rPr>
                <w:b/>
                <w:bCs/>
              </w:rPr>
            </w:pPr>
            <w:r>
              <w:rPr>
                <w:rFonts w:hint="eastAsia"/>
                <w:b/>
                <w:bCs/>
              </w:rPr>
              <w:t>2现有场景作业方式描述，如人工如何投入具体工作</w:t>
            </w:r>
          </w:p>
          <w:p w14:paraId="464921DC">
            <w:pPr>
              <w:ind w:firstLine="420" w:firstLineChars="200"/>
              <w:rPr>
                <w:rFonts w:hint="eastAsia" w:ascii="宋体" w:hAnsi="宋体"/>
                <w:color w:val="000000"/>
                <w:szCs w:val="21"/>
              </w:rPr>
            </w:pPr>
            <w:r>
              <w:rPr>
                <w:rFonts w:hint="eastAsia" w:ascii="宋体" w:hAnsi="宋体"/>
                <w:color w:val="000000"/>
                <w:szCs w:val="21"/>
              </w:rPr>
              <w:t>介入手术是医生位于导管室内，使用DSA（数字减影血管造影）来实时生成血管影像。该技术通过减除骨骼与软组织背景，仅保留血管内碘造影剂等高X射线吸收材料的高亮信号，同时结合器械上的铂金等显影标记点，在X射线透视下，精准引导微导丝、微导管等器械完成血管内治疗。很多单个病例需长达几个小时的长时间X线透视，医生需穿戴铅衣、铅围脖等重型防护装备在辐射下站立工作。</w:t>
            </w:r>
          </w:p>
          <w:p w14:paraId="7EA4C192">
            <w:pPr>
              <w:rPr>
                <w:b/>
                <w:bCs/>
              </w:rPr>
            </w:pPr>
            <w:r>
              <w:rPr>
                <w:rFonts w:hint="eastAsia"/>
                <w:b/>
                <w:bCs/>
              </w:rPr>
              <w:t>3现有场景痛点</w:t>
            </w:r>
          </w:p>
          <w:p w14:paraId="11A2F747">
            <w:pPr>
              <w:ind w:firstLine="420" w:firstLineChars="200"/>
              <w:rPr>
                <w:rFonts w:hint="eastAsia" w:ascii="宋体" w:hAnsi="宋体"/>
                <w:color w:val="000000"/>
                <w:szCs w:val="21"/>
              </w:rPr>
            </w:pPr>
            <w:r>
              <w:rPr>
                <w:rFonts w:hint="eastAsia" w:ascii="宋体" w:hAnsi="宋体"/>
                <w:color w:val="000000"/>
                <w:szCs w:val="21"/>
              </w:rPr>
              <w:t>人工介入手术面临几大难题：高度依赖医生经验、学习曲线很长，辐射负重威胁健康，以及医疗资源分布不均。随着介入诊断、治疗的增多，介入医生在放射介入室停留的时间也在增加。既往有研究提示心脏介入医师中左侧脑肿瘤发病率更高，放射科技师的脑癌死亡风险较对照组增加2倍，乳腺癌和黑色素瘤发病率也显著上升。而且，单次介入手术的放射暴露就足以导致术者循环淋巴细胞出现辐射诱导的DNA损伤。除癌症风险外，长期职业暴露还会提高白内障和动脉粥样硬化的发生率。介入医师因长时间穿着铅衣站立工作，其骨科损伤率也居高不下。因此在确保患者治疗安全的基础上，减少医生的电离辐射及介入室内操作时间也是目前神经介入领域需要解决的问题。另外，由于操作复杂、手术时间长，疲劳和人手操作不稳定等因素会直接影响手术质量，进而影响患者生存质量。</w:t>
            </w:r>
          </w:p>
          <w:p w14:paraId="33F50E60">
            <w:pPr>
              <w:rPr>
                <w:b/>
                <w:bCs/>
              </w:rPr>
            </w:pPr>
            <w:r>
              <w:rPr>
                <w:rFonts w:hint="eastAsia"/>
                <w:b/>
                <w:bCs/>
              </w:rPr>
              <w:t>4引入机器人的必要性</w:t>
            </w:r>
          </w:p>
          <w:p w14:paraId="5B353976">
            <w:pPr>
              <w:ind w:firstLine="420" w:firstLineChars="200"/>
              <w:rPr>
                <w:rFonts w:hint="eastAsia" w:ascii="宋体" w:hAnsi="宋体"/>
                <w:color w:val="000000"/>
                <w:szCs w:val="21"/>
              </w:rPr>
            </w:pPr>
            <w:r>
              <w:rPr>
                <w:rFonts w:hint="eastAsia" w:ascii="宋体" w:hAnsi="宋体"/>
                <w:color w:val="000000"/>
                <w:szCs w:val="21"/>
              </w:rPr>
              <w:t>针对以上痛点，介入手术机器人应运而生，机器人技术与血管介入技术有机结合成为了解决上述问题的重要途径。</w:t>
            </w:r>
          </w:p>
          <w:p w14:paraId="23EA53BD">
            <w:pPr>
              <w:pStyle w:val="2"/>
              <w:widowControl/>
              <w:shd w:val="clear" w:color="auto" w:fill="FFFFFF"/>
              <w:spacing w:before="0" w:beforeAutospacing="0" w:after="0" w:afterAutospacing="0"/>
              <w:ind w:firstLine="422" w:firstLineChars="200"/>
              <w:jc w:val="both"/>
              <w:rPr>
                <w:rFonts w:hint="eastAsia" w:ascii="宋体" w:hAnsi="宋体"/>
                <w:color w:val="000000"/>
                <w:kern w:val="2"/>
                <w:sz w:val="21"/>
                <w:szCs w:val="21"/>
              </w:rPr>
            </w:pPr>
            <w:r>
              <w:rPr>
                <w:rFonts w:hint="eastAsia" w:ascii="宋体" w:hAnsi="宋体"/>
                <w:b/>
                <w:bCs/>
                <w:color w:val="000000"/>
                <w:kern w:val="2"/>
                <w:sz w:val="21"/>
                <w:szCs w:val="21"/>
              </w:rPr>
              <w:t>提高手术成功率和患者满意度：</w:t>
            </w:r>
            <w:r>
              <w:rPr>
                <w:rFonts w:hint="eastAsia" w:ascii="宋体" w:hAnsi="宋体"/>
                <w:color w:val="000000"/>
                <w:kern w:val="2"/>
                <w:sz w:val="21"/>
                <w:szCs w:val="21"/>
              </w:rPr>
              <w:t>通过脑血管介入手术机器人系统和Al技术的应用，大大减少术者的疲劳、辐射、负重的生理影响，手术精度提升，手术成功率和患者满意度提高。复杂手术的风险降低，术后并发症减少，有利于患者恢复。</w:t>
            </w:r>
          </w:p>
          <w:p w14:paraId="6F9B3467">
            <w:pPr>
              <w:pStyle w:val="2"/>
              <w:widowControl/>
              <w:shd w:val="clear" w:color="auto" w:fill="FFFFFF"/>
              <w:spacing w:before="0" w:beforeAutospacing="0" w:after="0" w:afterAutospacing="0"/>
              <w:ind w:firstLine="422" w:firstLineChars="200"/>
              <w:jc w:val="both"/>
              <w:rPr>
                <w:rFonts w:hint="eastAsia" w:ascii="宋体" w:hAnsi="宋体"/>
                <w:color w:val="000000"/>
                <w:kern w:val="2"/>
                <w:sz w:val="21"/>
                <w:szCs w:val="21"/>
              </w:rPr>
            </w:pPr>
            <w:r>
              <w:rPr>
                <w:rFonts w:hint="eastAsia" w:ascii="宋体" w:hAnsi="宋体"/>
                <w:b/>
                <w:bCs/>
                <w:color w:val="000000"/>
                <w:kern w:val="2"/>
                <w:sz w:val="21"/>
                <w:szCs w:val="21"/>
              </w:rPr>
              <w:t>降低医护人员工作强度：</w:t>
            </w:r>
            <w:r>
              <w:rPr>
                <w:rFonts w:hint="eastAsia" w:ascii="宋体" w:hAnsi="宋体"/>
                <w:color w:val="000000"/>
                <w:kern w:val="2"/>
                <w:sz w:val="21"/>
                <w:szCs w:val="21"/>
              </w:rPr>
              <w:t>脑血管介入手术机器人系统的引入，医生可以在非辐射区域专心进行手术，可以减少介入医生的工作强度，降低手术中的疲劳感，提高工作效率，保护医生的身体健康，延长职业年限。医护人员可以更加专注于术前准备和术后护理，提升整体医疗服务质量。</w:t>
            </w:r>
          </w:p>
          <w:p w14:paraId="30363CD8">
            <w:pPr>
              <w:pStyle w:val="2"/>
              <w:widowControl/>
              <w:shd w:val="clear" w:color="auto" w:fill="FFFFFF"/>
              <w:spacing w:before="0" w:beforeAutospacing="0" w:after="0" w:afterAutospacing="0"/>
              <w:ind w:firstLine="422" w:firstLineChars="200"/>
              <w:jc w:val="both"/>
              <w:rPr>
                <w:rFonts w:hint="eastAsia" w:ascii="宋体" w:hAnsi="宋体"/>
                <w:color w:val="000000"/>
                <w:kern w:val="2"/>
                <w:sz w:val="21"/>
                <w:szCs w:val="21"/>
              </w:rPr>
            </w:pPr>
            <w:r>
              <w:rPr>
                <w:rFonts w:hint="eastAsia" w:ascii="宋体" w:hAnsi="宋体"/>
                <w:b/>
                <w:bCs/>
                <w:color w:val="000000"/>
                <w:kern w:val="2"/>
                <w:sz w:val="21"/>
                <w:szCs w:val="21"/>
              </w:rPr>
              <w:t>提升医院的声誉和竞争力：</w:t>
            </w:r>
            <w:r>
              <w:rPr>
                <w:rFonts w:hint="eastAsia" w:ascii="宋体" w:hAnsi="宋体"/>
                <w:color w:val="000000"/>
                <w:kern w:val="2"/>
                <w:sz w:val="21"/>
                <w:szCs w:val="21"/>
              </w:rPr>
              <w:t>血管介入手术机器人和AI技术的应用，能够提升医院的技术水平和服务能力，增强医院的品牌影响力和市场竞争力。吸引更多患者和优秀的医疗人才，为医院的长远发展奠定坚实基础。 通过该技术的应用，医院可以展示其在血管介入手术机器人技术方面的领先地位，提升医院的知名度和美誉度。</w:t>
            </w:r>
          </w:p>
          <w:p w14:paraId="2BC8F3D3">
            <w:pPr>
              <w:pStyle w:val="2"/>
              <w:widowControl/>
              <w:shd w:val="clear" w:color="auto" w:fill="FFFFFF"/>
              <w:spacing w:before="0" w:beforeAutospacing="0" w:after="0" w:afterAutospacing="0"/>
              <w:ind w:firstLine="422" w:firstLineChars="200"/>
              <w:jc w:val="both"/>
              <w:rPr>
                <w:rFonts w:hint="eastAsia" w:ascii="宋体" w:hAnsi="宋体"/>
                <w:color w:val="000000"/>
                <w:kern w:val="2"/>
                <w:sz w:val="21"/>
                <w:szCs w:val="21"/>
              </w:rPr>
            </w:pPr>
            <w:r>
              <w:rPr>
                <w:rFonts w:hint="eastAsia" w:ascii="宋体" w:hAnsi="宋体"/>
                <w:b/>
                <w:bCs/>
                <w:color w:val="000000"/>
                <w:kern w:val="2"/>
                <w:sz w:val="21"/>
                <w:szCs w:val="21"/>
              </w:rPr>
              <w:t>促进科研创新和技术进步</w:t>
            </w:r>
            <w:r>
              <w:rPr>
                <w:rFonts w:hint="eastAsia" w:ascii="宋体" w:hAnsi="宋体"/>
                <w:color w:val="000000"/>
                <w:kern w:val="2"/>
                <w:sz w:val="21"/>
                <w:szCs w:val="21"/>
              </w:rPr>
              <w:t>：数据管理与分析平台的建立，为医院提供了丰富的数据资源，支持临床决策和 科研工作。通过与科研机构和高校的合作，推动医疗技术的创新和进步，提升医院的科研能力。</w:t>
            </w:r>
          </w:p>
          <w:p w14:paraId="573EB8D2">
            <w:pPr>
              <w:ind w:firstLine="422" w:firstLineChars="200"/>
              <w:rPr>
                <w:rFonts w:hint="eastAsia" w:ascii="宋体" w:hAnsi="宋体"/>
                <w:color w:val="000000"/>
                <w:szCs w:val="21"/>
              </w:rPr>
            </w:pPr>
            <w:r>
              <w:rPr>
                <w:rFonts w:hint="eastAsia" w:ascii="宋体" w:hAnsi="宋体"/>
                <w:b/>
                <w:bCs/>
                <w:color w:val="000000"/>
                <w:szCs w:val="21"/>
              </w:rPr>
              <w:t>扩大医疗服务覆盖范围：</w:t>
            </w:r>
            <w:r>
              <w:rPr>
                <w:rFonts w:hint="eastAsia" w:ascii="宋体" w:hAnsi="宋体"/>
                <w:color w:val="000000"/>
                <w:szCs w:val="21"/>
              </w:rPr>
              <w:t>通过远程手术与协作平台的建设，医院可以为更多地区的患者提供优质的手术服务，提升医疗资源的利用效率。实现区域医疗资源的共享，促进医疗服务的均衡发展。</w:t>
            </w:r>
          </w:p>
          <w:p w14:paraId="137B898A">
            <w:pPr>
              <w:spacing w:line="320" w:lineRule="exact"/>
              <w:rPr>
                <w:rFonts w:ascii="Times New Roman" w:hAnsi="Times New Roman" w:eastAsia="仿宋_GB2312" w:cs="Times New Roman"/>
                <w:color w:val="000000" w:themeColor="text1"/>
                <w:kern w:val="0"/>
                <w:sz w:val="24"/>
                <w:szCs w:val="24"/>
                <w14:textFill>
                  <w14:solidFill>
                    <w14:schemeClr w14:val="tx1"/>
                  </w14:solidFill>
                </w14:textFill>
              </w:rPr>
            </w:pPr>
          </w:p>
        </w:tc>
      </w:tr>
      <w:tr w14:paraId="6F19E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14:paraId="2274B8D8">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具体需求</w:t>
            </w:r>
          </w:p>
        </w:tc>
        <w:tc>
          <w:tcPr>
            <w:tcW w:w="7413" w:type="dxa"/>
            <w:gridSpan w:val="3"/>
            <w:tcBorders>
              <w:top w:val="single" w:color="auto" w:sz="4" w:space="0"/>
              <w:left w:val="single" w:color="auto" w:sz="4" w:space="0"/>
              <w:bottom w:val="single" w:color="auto" w:sz="4" w:space="0"/>
              <w:right w:val="single" w:color="auto" w:sz="4" w:space="0"/>
            </w:tcBorders>
          </w:tcPr>
          <w:p w14:paraId="72E40704">
            <w:pPr>
              <w:spacing w:line="320" w:lineRule="exact"/>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（描述具体机器人产品/方案需求</w:t>
            </w:r>
            <w:r>
              <w:rPr>
                <w:rFonts w:hint="eastAsia" w:ascii="Times New Roman" w:hAnsi="Times New Roman" w:eastAsia="仿宋_GB2312" w:cs="Times New Roman"/>
                <w:color w:val="000000" w:themeColor="text1"/>
                <w:sz w:val="24"/>
                <w:szCs w:val="24"/>
                <w14:textFill>
                  <w14:solidFill>
                    <w14:schemeClr w14:val="tx1"/>
                  </w14:solidFill>
                </w14:textFill>
              </w:rPr>
              <w:t>，</w:t>
            </w:r>
            <w:r>
              <w:rPr>
                <w:rFonts w:hint="eastAsia" w:ascii="Times New Roman" w:hAnsi="Times New Roman" w:eastAsia="仿宋_GB2312" w:cs="Times New Roman"/>
                <w:b/>
                <w:bCs/>
                <w:color w:val="000000" w:themeColor="text1"/>
                <w:sz w:val="24"/>
                <w:szCs w:val="24"/>
                <w14:textFill>
                  <w14:solidFill>
                    <w14:schemeClr w14:val="tx1"/>
                  </w14:solidFill>
                </w14:textFill>
              </w:rPr>
              <w:t>作相应简要描述</w:t>
            </w:r>
            <w:r>
              <w:rPr>
                <w:rFonts w:hint="eastAsia" w:ascii="Times New Roman" w:hAnsi="Times New Roman" w:eastAsia="仿宋_GB2312" w:cs="Times New Roman"/>
                <w:color w:val="000000" w:themeColor="text1"/>
                <w:kern w:val="0"/>
                <w:sz w:val="24"/>
                <w:szCs w:val="24"/>
                <w14:textFill>
                  <w14:solidFill>
                    <w14:schemeClr w14:val="tx1"/>
                  </w14:solidFill>
                </w14:textFill>
              </w:rPr>
              <w:t>）</w:t>
            </w:r>
          </w:p>
          <w:p w14:paraId="0A483F9B">
            <w:pPr>
              <w:rPr>
                <w:rFonts w:hint="eastAsia" w:ascii="宋体" w:hAnsi="宋体"/>
                <w:color w:val="000000"/>
                <w:szCs w:val="21"/>
              </w:rPr>
            </w:pPr>
            <w:r>
              <w:rPr>
                <w:rFonts w:hint="eastAsia" w:ascii="宋体" w:hAnsi="宋体"/>
                <w:color w:val="000000"/>
                <w:szCs w:val="21"/>
              </w:rPr>
              <w:t>1解决该场景痛点需要机器人的基本情况(数量、类型、功能等)</w:t>
            </w:r>
          </w:p>
          <w:p w14:paraId="10BCDB81">
            <w:pPr>
              <w:ind w:firstLine="420" w:firstLineChars="200"/>
              <w:rPr>
                <w:rFonts w:hint="eastAsia" w:ascii="宋体" w:hAnsi="宋体"/>
                <w:color w:val="000000"/>
                <w:szCs w:val="21"/>
              </w:rPr>
            </w:pPr>
            <w:r>
              <w:rPr>
                <w:rFonts w:hint="eastAsia" w:ascii="宋体" w:hAnsi="宋体"/>
                <w:color w:val="000000"/>
                <w:szCs w:val="21"/>
              </w:rPr>
              <w:t>介入手术机器人医师在导管室外，通过控制器远程完成导丝与导管操控，避免手术医师长时间的射线暴露，另一方面通过机器人辅助，介入手术工作强度下降，手术精确度得以保证，且手术学习难度下降，缩短了学习周期曲线。</w:t>
            </w:r>
          </w:p>
          <w:p w14:paraId="383D99B3">
            <w:pPr>
              <w:ind w:firstLine="420" w:firstLineChars="200"/>
              <w:rPr>
                <w:rFonts w:hint="eastAsia" w:ascii="宋体" w:hAnsi="宋体"/>
                <w:color w:val="000000"/>
                <w:szCs w:val="21"/>
              </w:rPr>
            </w:pPr>
            <w:r>
              <w:rPr>
                <w:rFonts w:hint="eastAsia" w:ascii="宋体" w:hAnsi="宋体"/>
                <w:color w:val="000000"/>
                <w:szCs w:val="21"/>
              </w:rPr>
              <w:t>血管介入机器人将改变过去血管介入手术的操作方式，机器人将成为介入手术的平台和介入耗材以及影像的入口，人工和介入机器人的使用对比如下：1）人工介入手术模式：医生在DSA影像作用下，操作导管、导丝等介入耗材作用于人体；2）机器人介入手术模式：医生操作机器人，机器人操作导管、导丝等介入耗材作用于人体。通过血管介入手术机器人平台建设，让介入医生更多的临床成果实现转化。</w:t>
            </w:r>
          </w:p>
          <w:p w14:paraId="2E3E4234">
            <w:pPr>
              <w:ind w:firstLine="420" w:firstLineChars="200"/>
              <w:rPr>
                <w:rFonts w:hint="eastAsia" w:ascii="宋体" w:hAnsi="宋体"/>
                <w:color w:val="000000"/>
                <w:szCs w:val="21"/>
              </w:rPr>
            </w:pPr>
            <w:r>
              <w:rPr>
                <w:rFonts w:hint="eastAsia" w:ascii="宋体" w:hAnsi="宋体"/>
                <w:color w:val="000000"/>
                <w:szCs w:val="21"/>
              </w:rPr>
              <w:t>脑血管介入手术辅助操作系统（脑血管造影机器人）的主要适用群体为需要进行脑血管造影检查的患者，包括：脑血管病(如脑动脉瘤、动静脉畸形等)的诊断评估、缺血性脑血管病的病因诊断、颅内占位性病变的血管评估等。通过机器人实现亚毫米级精准操作，将医生从辐射和铅衣负重中解放出来，主刀医生可以坐着完成手术。同时，远程手术系统还能打破地域限制，提升优质医疗资源可及性。</w:t>
            </w:r>
          </w:p>
          <w:p w14:paraId="257EA2B4">
            <w:pPr>
              <w:rPr>
                <w:rFonts w:hint="eastAsia" w:ascii="宋体" w:hAnsi="宋体"/>
                <w:color w:val="000000"/>
                <w:szCs w:val="21"/>
              </w:rPr>
            </w:pPr>
          </w:p>
          <w:p w14:paraId="063496C1">
            <w:pPr>
              <w:rPr>
                <w:rFonts w:hint="eastAsia" w:ascii="宋体" w:hAnsi="宋体"/>
                <w:color w:val="000000"/>
                <w:szCs w:val="21"/>
              </w:rPr>
            </w:pPr>
            <w:r>
              <w:rPr>
                <w:rFonts w:hint="eastAsia" w:ascii="宋体" w:hAnsi="宋体"/>
                <w:color w:val="000000"/>
                <w:szCs w:val="21"/>
              </w:rPr>
              <w:t>2需要机器人实现脑血管造影的具体效果</w:t>
            </w:r>
          </w:p>
          <w:p w14:paraId="2A8828E8">
            <w:pPr>
              <w:ind w:firstLine="420" w:firstLineChars="200"/>
              <w:rPr>
                <w:rFonts w:hint="eastAsia" w:ascii="宋体" w:hAnsi="宋体"/>
                <w:bCs/>
                <w:szCs w:val="21"/>
              </w:rPr>
            </w:pPr>
            <w:r>
              <w:rPr>
                <w:rFonts w:hint="eastAsia" w:ascii="宋体" w:hAnsi="宋体"/>
                <w:bCs/>
                <w:szCs w:val="21"/>
              </w:rPr>
              <w:t>适用于需要进行经皮颅内全脑动脉造影检查手术的患者，预期在影像数据的引导下完成对造影导管和导丝的输送与回撤。</w:t>
            </w:r>
          </w:p>
          <w:p w14:paraId="44960800">
            <w:pPr>
              <w:rPr>
                <w:rFonts w:hint="eastAsia" w:ascii="宋体" w:hAnsi="宋体"/>
                <w:color w:val="000000"/>
                <w:szCs w:val="21"/>
              </w:rPr>
            </w:pPr>
          </w:p>
          <w:p w14:paraId="4ABDB8EC">
            <w:pPr>
              <w:rPr>
                <w:rFonts w:hint="eastAsia" w:ascii="宋体" w:hAnsi="宋体"/>
                <w:color w:val="000000"/>
                <w:szCs w:val="21"/>
              </w:rPr>
            </w:pPr>
            <w:r>
              <w:rPr>
                <w:rFonts w:hint="eastAsia" w:ascii="宋体" w:hAnsi="宋体"/>
                <w:color w:val="000000"/>
                <w:szCs w:val="21"/>
              </w:rPr>
              <w:t>3性能参数要求(若有)</w:t>
            </w:r>
          </w:p>
          <w:p w14:paraId="6B6C162A">
            <w:pPr>
              <w:ind w:firstLine="420" w:firstLineChars="200"/>
              <w:rPr>
                <w:rFonts w:hint="eastAsia" w:ascii="宋体" w:hAnsi="宋体"/>
                <w:color w:val="000000"/>
                <w:szCs w:val="21"/>
              </w:rPr>
            </w:pPr>
            <w:r>
              <w:rPr>
                <w:rFonts w:hint="eastAsia" w:ascii="宋体" w:hAnsi="宋体"/>
                <w:color w:val="000000"/>
                <w:szCs w:val="21"/>
              </w:rPr>
              <w:t>1. 自然交互主端操作器</w:t>
            </w:r>
          </w:p>
          <w:p w14:paraId="2C9B40B2">
            <w:pPr>
              <w:ind w:firstLine="420" w:firstLineChars="200"/>
              <w:rPr>
                <w:rFonts w:hint="eastAsia" w:ascii="宋体" w:hAnsi="宋体"/>
                <w:color w:val="000000"/>
                <w:szCs w:val="21"/>
              </w:rPr>
            </w:pPr>
            <w:r>
              <w:rPr>
                <w:rFonts w:hint="eastAsia" w:ascii="宋体" w:hAnsi="宋体"/>
                <w:color w:val="000000"/>
                <w:szCs w:val="21"/>
              </w:rPr>
              <w:t>术者无需改变既有的操作习惯（拇指与食指的搓捻动作），直接可以通过操作杆实现导丝、导管与治疗器械的旋转与推送，降低学习曲线，使介入医生能够在极短培训后熟练上手。</w:t>
            </w:r>
          </w:p>
          <w:p w14:paraId="5B0DB4D2">
            <w:pPr>
              <w:ind w:firstLine="420" w:firstLineChars="200"/>
              <w:rPr>
                <w:rFonts w:hint="eastAsia" w:ascii="宋体" w:hAnsi="宋体"/>
                <w:color w:val="000000"/>
                <w:szCs w:val="21"/>
              </w:rPr>
            </w:pPr>
            <w:r>
              <w:rPr>
                <w:rFonts w:hint="eastAsia" w:ascii="宋体" w:hAnsi="宋体"/>
                <w:color w:val="000000"/>
                <w:szCs w:val="21"/>
              </w:rPr>
              <w:t>2. 四器械协同操作 +五器械通道+ 分离式无菌盒设计</w:t>
            </w:r>
          </w:p>
          <w:p w14:paraId="37DEB30F">
            <w:pPr>
              <w:ind w:firstLine="420" w:firstLineChars="200"/>
              <w:rPr>
                <w:rFonts w:hint="eastAsia" w:ascii="宋体" w:hAnsi="宋体"/>
                <w:color w:val="000000"/>
                <w:szCs w:val="21"/>
              </w:rPr>
            </w:pPr>
            <w:r>
              <w:rPr>
                <w:rFonts w:hint="eastAsia" w:ascii="宋体" w:hAnsi="宋体"/>
                <w:color w:val="000000"/>
                <w:szCs w:val="21"/>
              </w:rPr>
              <w:t>系统要求可独立操纵或协同控制，可实现四个不同器械的操纵：导引导管、中间导管、微导管、治疗器械。同时系统可以建立五器械通道，能够支持双导丝、双快速交换器械及导管多器械操作。</w:t>
            </w:r>
          </w:p>
          <w:p w14:paraId="758806F6">
            <w:pPr>
              <w:ind w:firstLine="420" w:firstLineChars="200"/>
              <w:rPr>
                <w:rFonts w:hint="eastAsia" w:ascii="宋体" w:hAnsi="宋体"/>
                <w:color w:val="000000"/>
                <w:szCs w:val="21"/>
              </w:rPr>
            </w:pPr>
            <w:r>
              <w:rPr>
                <w:rFonts w:hint="eastAsia" w:ascii="宋体" w:hAnsi="宋体"/>
                <w:color w:val="000000"/>
                <w:szCs w:val="21"/>
              </w:rPr>
              <w:t>3. 多种控制运动模式</w:t>
            </w:r>
          </w:p>
          <w:p w14:paraId="7E7FF443">
            <w:pPr>
              <w:ind w:firstLine="420" w:firstLineChars="200"/>
              <w:rPr>
                <w:rFonts w:hint="eastAsia" w:ascii="宋体" w:hAnsi="宋体"/>
                <w:color w:val="000000"/>
                <w:szCs w:val="21"/>
              </w:rPr>
            </w:pPr>
            <w:r>
              <w:rPr>
                <w:rFonts w:hint="eastAsia" w:ascii="宋体" w:hAnsi="宋体"/>
                <w:color w:val="000000"/>
                <w:szCs w:val="21"/>
              </w:rPr>
              <w:t>主操作器提供多种运动模式，可根据不同血管形态及不同术者的需求进行灵活适配。提升系统的临床适用范围，从简单血管到极端迂曲路径，从快速推进到精细微调，均可一键切换；同时配合亚毫米级运动精度，提高手术操作的稳定性。</w:t>
            </w:r>
          </w:p>
          <w:p w14:paraId="0DCAB9EF">
            <w:pPr>
              <w:ind w:firstLine="420" w:firstLineChars="200"/>
              <w:rPr>
                <w:rFonts w:hint="eastAsia" w:ascii="宋体" w:hAnsi="宋体"/>
                <w:color w:val="000000"/>
                <w:szCs w:val="21"/>
              </w:rPr>
            </w:pPr>
            <w:r>
              <w:rPr>
                <w:rFonts w:hint="eastAsia" w:ascii="宋体" w:hAnsi="宋体"/>
                <w:color w:val="000000"/>
                <w:szCs w:val="21"/>
              </w:rPr>
              <w:t>4. 术中力检测及力反馈 + 实时生理震颤过滤</w:t>
            </w:r>
          </w:p>
          <w:p w14:paraId="354BC896">
            <w:pPr>
              <w:ind w:firstLine="420" w:firstLineChars="200"/>
              <w:rPr>
                <w:rFonts w:hint="eastAsia" w:ascii="宋体" w:hAnsi="宋体"/>
                <w:color w:val="000000"/>
                <w:szCs w:val="21"/>
              </w:rPr>
            </w:pPr>
            <w:r>
              <w:rPr>
                <w:rFonts w:hint="eastAsia" w:ascii="宋体" w:hAnsi="宋体"/>
                <w:color w:val="000000"/>
                <w:szCs w:val="21"/>
              </w:rPr>
              <w:t>搭载力感知和力反馈功能，能够捕捉各种规格的导丝在血管内行进时的阻力变化，并将其实时的反馈至操作者指尖，营造“临场感”。同时，系统应内置实时生理震颤过滤系统，有效滤除人手的抖动。</w:t>
            </w:r>
          </w:p>
          <w:p w14:paraId="375AF643">
            <w:pPr>
              <w:ind w:firstLine="420" w:firstLineChars="200"/>
              <w:rPr>
                <w:rFonts w:hint="eastAsia" w:ascii="宋体" w:hAnsi="宋体"/>
                <w:color w:val="000000"/>
                <w:szCs w:val="21"/>
              </w:rPr>
            </w:pPr>
            <w:r>
              <w:rPr>
                <w:rFonts w:hint="eastAsia" w:ascii="宋体" w:hAnsi="宋体"/>
                <w:color w:val="000000"/>
                <w:szCs w:val="21"/>
              </w:rPr>
              <w:t>5. 设备小型轻量化</w:t>
            </w:r>
          </w:p>
          <w:p w14:paraId="37A64507">
            <w:pPr>
              <w:ind w:firstLine="420" w:firstLineChars="200"/>
              <w:rPr>
                <w:rFonts w:hint="eastAsia" w:ascii="宋体" w:hAnsi="宋体"/>
                <w:color w:val="000000"/>
                <w:szCs w:val="21"/>
              </w:rPr>
            </w:pPr>
            <w:r>
              <w:rPr>
                <w:rFonts w:hint="eastAsia" w:ascii="宋体" w:hAnsi="宋体"/>
                <w:color w:val="000000"/>
                <w:szCs w:val="21"/>
              </w:rPr>
              <w:t>设备整体应该更短、更轻。同时支持常用介入器械，适应更多手术场景。</w:t>
            </w:r>
          </w:p>
          <w:p w14:paraId="00B2EB79">
            <w:pPr>
              <w:ind w:firstLine="420" w:firstLineChars="200"/>
              <w:rPr>
                <w:rFonts w:hint="eastAsia" w:ascii="宋体" w:hAnsi="宋体"/>
                <w:color w:val="000000"/>
                <w:szCs w:val="21"/>
              </w:rPr>
            </w:pPr>
            <w:r>
              <w:rPr>
                <w:rFonts w:hint="eastAsia" w:ascii="宋体" w:hAnsi="宋体"/>
                <w:color w:val="000000"/>
                <w:szCs w:val="21"/>
              </w:rPr>
              <w:t>6. 多术式适配+5G远程手术</w:t>
            </w:r>
          </w:p>
          <w:p w14:paraId="6B0030D5">
            <w:pPr>
              <w:ind w:firstLine="420" w:firstLineChars="200"/>
              <w:rPr>
                <w:rFonts w:hint="eastAsia" w:ascii="宋体" w:hAnsi="宋体"/>
                <w:color w:val="000000"/>
                <w:szCs w:val="21"/>
              </w:rPr>
            </w:pPr>
            <w:r>
              <w:rPr>
                <w:rFonts w:hint="eastAsia" w:ascii="宋体" w:hAnsi="宋体"/>
                <w:color w:val="000000"/>
                <w:szCs w:val="21"/>
              </w:rPr>
              <w:t>具备泛血管适配能力，脑血管、心脏、外周血管、肿瘤均可兼容。同时，系统需要支持5G远程操作，满足开展远程手术条件。</w:t>
            </w:r>
          </w:p>
          <w:p w14:paraId="4D8B2BBE">
            <w:pPr>
              <w:spacing w:line="320" w:lineRule="exact"/>
              <w:ind w:firstLine="480" w:firstLineChars="200"/>
              <w:rPr>
                <w:rFonts w:ascii="Times New Roman" w:hAnsi="Times New Roman" w:eastAsia="仿宋_GB2312" w:cs="Times New Roman"/>
                <w:color w:val="000000" w:themeColor="text1"/>
                <w:kern w:val="0"/>
                <w:sz w:val="24"/>
                <w:szCs w:val="24"/>
                <w14:textFill>
                  <w14:solidFill>
                    <w14:schemeClr w14:val="tx1"/>
                  </w14:solidFill>
                </w14:textFill>
              </w:rPr>
            </w:pPr>
          </w:p>
        </w:tc>
      </w:tr>
      <w:tr w14:paraId="6E768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6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14:paraId="503B4A26">
            <w:pPr>
              <w:spacing w:line="320" w:lineRule="exact"/>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拟投入资金（万元）</w:t>
            </w:r>
          </w:p>
        </w:tc>
        <w:tc>
          <w:tcPr>
            <w:tcW w:w="2657" w:type="dxa"/>
            <w:tcBorders>
              <w:top w:val="single" w:color="auto" w:sz="4" w:space="0"/>
              <w:left w:val="single" w:color="auto" w:sz="4" w:space="0"/>
              <w:bottom w:val="single" w:color="auto" w:sz="4" w:space="0"/>
              <w:right w:val="single" w:color="auto" w:sz="4" w:space="0"/>
            </w:tcBorders>
          </w:tcPr>
          <w:p w14:paraId="0D986B8D">
            <w:pPr>
              <w:spacing w:line="320" w:lineRule="exact"/>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仿宋_GB2312" w:hAnsi="Times New Roman" w:eastAsia="仿宋_GB2312" w:cs="方正仿宋简体"/>
                <w:sz w:val="24"/>
                <w:szCs w:val="20"/>
              </w:rPr>
              <w:t>体现拟用于采购新技术、新产品、新方案的金额（万元）100-200万元</w:t>
            </w:r>
          </w:p>
        </w:tc>
        <w:tc>
          <w:tcPr>
            <w:tcW w:w="2377" w:type="dxa"/>
            <w:tcBorders>
              <w:top w:val="single" w:color="auto" w:sz="4" w:space="0"/>
              <w:left w:val="single" w:color="auto" w:sz="4" w:space="0"/>
              <w:bottom w:val="single" w:color="auto" w:sz="4" w:space="0"/>
              <w:right w:val="single" w:color="auto" w:sz="4" w:space="0"/>
            </w:tcBorders>
            <w:vAlign w:val="center"/>
          </w:tcPr>
          <w:p w14:paraId="2B62A83C">
            <w:pPr>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拟建设周期</w:t>
            </w:r>
          </w:p>
        </w:tc>
        <w:tc>
          <w:tcPr>
            <w:tcW w:w="2379" w:type="dxa"/>
            <w:tcBorders>
              <w:top w:val="single" w:color="auto" w:sz="4" w:space="0"/>
              <w:left w:val="single" w:color="auto" w:sz="4" w:space="0"/>
              <w:bottom w:val="single" w:color="auto" w:sz="4" w:space="0"/>
              <w:right w:val="single" w:color="auto" w:sz="4" w:space="0"/>
            </w:tcBorders>
            <w:vAlign w:val="center"/>
          </w:tcPr>
          <w:p w14:paraId="02DCDF7D">
            <w:pPr>
              <w:spacing w:line="320" w:lineRule="exact"/>
              <w:ind w:firstLine="480" w:firstLineChars="200"/>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color w:val="000000" w:themeColor="text1"/>
                <w:kern w:val="0"/>
                <w:sz w:val="24"/>
                <w:szCs w:val="24"/>
                <w14:textFill>
                  <w14:solidFill>
                    <w14:schemeClr w14:val="tx1"/>
                  </w14:solidFill>
                </w14:textFill>
              </w:rPr>
              <w:t>12个月左右</w:t>
            </w:r>
          </w:p>
        </w:tc>
      </w:tr>
      <w:tr w14:paraId="7B22F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14:paraId="536BA713">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应用现状</w:t>
            </w:r>
          </w:p>
        </w:tc>
        <w:tc>
          <w:tcPr>
            <w:tcW w:w="7413" w:type="dxa"/>
            <w:gridSpan w:val="3"/>
            <w:tcBorders>
              <w:top w:val="single" w:color="auto" w:sz="4" w:space="0"/>
              <w:left w:val="single" w:color="auto" w:sz="4" w:space="0"/>
              <w:bottom w:val="single" w:color="auto" w:sz="4" w:space="0"/>
              <w:right w:val="single" w:color="auto" w:sz="4" w:space="0"/>
            </w:tcBorders>
          </w:tcPr>
          <w:p w14:paraId="63F56861">
            <w:pPr>
              <w:spacing w:line="320" w:lineRule="exact"/>
              <w:rPr>
                <w:rFonts w:ascii="仿宋_GB2312" w:hAnsi="Times New Roman" w:eastAsia="仿宋_GB2312" w:cs="方正仿宋简体"/>
                <w:sz w:val="24"/>
                <w:szCs w:val="20"/>
              </w:rPr>
            </w:pPr>
            <w:r>
              <w:rPr>
                <w:rFonts w:hint="eastAsia" w:ascii="仿宋_GB2312" w:hAnsi="Times New Roman" w:eastAsia="仿宋_GB2312" w:cs="方正仿宋简体"/>
                <w:sz w:val="24"/>
                <w:szCs w:val="20"/>
              </w:rPr>
              <w:t>（描述该需求场景在国内外的应用现状</w:t>
            </w:r>
            <w:r>
              <w:rPr>
                <w:rFonts w:hint="eastAsia" w:ascii="Times New Roman" w:hAnsi="Times New Roman" w:eastAsia="仿宋_GB2312" w:cs="Times New Roman"/>
                <w:color w:val="000000" w:themeColor="text1"/>
                <w:sz w:val="24"/>
                <w:szCs w:val="24"/>
                <w14:textFill>
                  <w14:solidFill>
                    <w14:schemeClr w14:val="tx1"/>
                  </w14:solidFill>
                </w14:textFill>
              </w:rPr>
              <w:t>，</w:t>
            </w:r>
            <w:r>
              <w:rPr>
                <w:rFonts w:hint="eastAsia" w:ascii="Times New Roman" w:hAnsi="Times New Roman" w:eastAsia="仿宋_GB2312" w:cs="Times New Roman"/>
                <w:b/>
                <w:bCs/>
                <w:color w:val="000000" w:themeColor="text1"/>
                <w:sz w:val="24"/>
                <w:szCs w:val="24"/>
                <w14:textFill>
                  <w14:solidFill>
                    <w14:schemeClr w14:val="tx1"/>
                  </w14:solidFill>
                </w14:textFill>
              </w:rPr>
              <w:t>作相应简要描述</w:t>
            </w:r>
            <w:r>
              <w:rPr>
                <w:rFonts w:hint="eastAsia" w:ascii="仿宋_GB2312" w:hAnsi="Times New Roman" w:eastAsia="仿宋_GB2312" w:cs="方正仿宋简体"/>
                <w:sz w:val="24"/>
                <w:szCs w:val="20"/>
              </w:rPr>
              <w:t>）</w:t>
            </w:r>
          </w:p>
          <w:p w14:paraId="3FBEE53B">
            <w:r>
              <w:t>一、国内现状</w:t>
            </w:r>
          </w:p>
          <w:p w14:paraId="79FC2345">
            <w:r>
              <w:t>介入手术机器人领域，我国与国外处于同一起跑线，目前发展现状主要可以分3大类：1）</w:t>
            </w:r>
            <w:r>
              <w:rPr>
                <w:rFonts w:hint="eastAsia"/>
              </w:rPr>
              <w:t>深圳某公司</w:t>
            </w:r>
            <w:r>
              <w:t>机器人团队是</w:t>
            </w:r>
            <w:r>
              <w:rPr>
                <w:rFonts w:hint="eastAsia"/>
              </w:rPr>
              <w:t>全球</w:t>
            </w:r>
            <w:r>
              <w:t>介入机器人领域的开拓者，具有近30年原创技术积累，目前已在全球布局了近600件知识产权，超65%是中国发明专利和海外专利，位居介入机器人领域全球第一，公司的泛血管介入手术机器人可以覆盖最全的手术环节和最多的介入手术适应症，得到国内外顶级临床介入专家的认可和支持，同时也获得了市场一线投资机构的支持和投资，现在已是临床专家和投资机构公认的介入机器人领域的领导者；2）</w:t>
            </w:r>
            <w:r>
              <w:rPr>
                <w:rFonts w:hint="eastAsia"/>
              </w:rPr>
              <w:t>国外某公司</w:t>
            </w:r>
            <w:r>
              <w:t>2019年11亿美金收购的美国Corindus公司的Corpath产品以及仿制Corpath产品的公司，这款产品主要是针对冠脉的PCI手术，仅能解决手术过程中20%左右的流程工作，其他时间还是要靠医生操作，并没有真正的解决临床面临的痛点问题；3）上海</w:t>
            </w:r>
            <w:r>
              <w:rPr>
                <w:rFonts w:hint="eastAsia"/>
              </w:rPr>
              <w:t>某公司</w:t>
            </w:r>
            <w:r>
              <w:t>的介入机器人主要针对外周手术，体型庞大，存在和手术室的DSA设备产生运动干扰问题，同时存在机器人和手术床不同步的设计问题，为了弥补这个问题，又使用了额外的光学跟踪设备，一方面增加了成本，另一方面因增加的光学设备信号被遮挡，也会产生极大的手术风险问题。</w:t>
            </w:r>
          </w:p>
          <w:p w14:paraId="58E2147D">
            <w:r>
              <w:t>二、国外现状</w:t>
            </w:r>
          </w:p>
          <w:p w14:paraId="49812987">
            <w:pPr>
              <w:rPr>
                <w:rFonts w:ascii="仿宋_GB2312" w:hAnsi="Times New Roman" w:eastAsia="仿宋_GB2312" w:cs="方正仿宋简体"/>
                <w:sz w:val="24"/>
                <w:szCs w:val="20"/>
              </w:rPr>
            </w:pPr>
            <w:r>
              <w:t>介入机器人的研究及临床使用早起工作主要聚焦于心血管冠状动脉介入手术及外周血管介入手术。目前市场上已有多款设计应用于血管介入的成熟介入手术机器人系统，</w:t>
            </w:r>
            <w:r>
              <w:rPr>
                <w:rFonts w:hint="eastAsia"/>
              </w:rPr>
              <w:t>国外某公司</w:t>
            </w:r>
            <w:r>
              <w:t>公司开发了 Sensei X 机器人，该机器人系统的目标在于远程机械导管的控制。随后，Magellan  机器人是在此基础上的新一代机器人主动导管系统，并在 2012 年得到了美国药监局 FDA 的 510（k）许可，用于在外周血管中导丝以及机械导管的导航。2012年由</w:t>
            </w:r>
            <w:r>
              <w:rPr>
                <w:rFonts w:hint="eastAsia"/>
              </w:rPr>
              <w:t>国外</w:t>
            </w:r>
            <w:r>
              <w:t>公司开发的CorPath 200介入机器人开始在临床研究中验证介入机器人辅助在经皮冠状动脉介入治疗中的作用，2016年新一代CorPath GRX介入机器人获得美国食品药品监督管理局批准用于经皮冠状动脉介入治疗，2018年获批用于周围血管介入治疗。2022年该产品在一项机器人辅助神经血管介入动脉瘤栓塞的多中心研究中，CorPath GRX系统显示出94%的技术成功率，95.7%的临床成功率，并实现了临床安全性目标。目前，在全球 50 多个心脑血管科室中拥有近乎 5000 多个实施病例。可见血管介入机器人无论从规模和趋势上看，都是一块重要的治疗领域。</w:t>
            </w:r>
          </w:p>
        </w:tc>
      </w:tr>
      <w:tr w14:paraId="2C2F0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31" w:hRule="atLeast"/>
          <w:jc w:val="center"/>
        </w:trPr>
        <w:tc>
          <w:tcPr>
            <w:tcW w:w="1857" w:type="dxa"/>
            <w:tcBorders>
              <w:top w:val="single" w:color="auto" w:sz="4" w:space="0"/>
              <w:left w:val="single" w:color="auto" w:sz="4" w:space="0"/>
              <w:bottom w:val="single" w:color="auto" w:sz="4" w:space="0"/>
              <w:right w:val="single" w:color="auto" w:sz="4" w:space="0"/>
            </w:tcBorders>
            <w:vAlign w:val="center"/>
          </w:tcPr>
          <w:p w14:paraId="0854BF37">
            <w:pPr>
              <w:snapToGrid w:val="0"/>
              <w:spacing w:line="320" w:lineRule="exact"/>
              <w:jc w:val="center"/>
              <w:rPr>
                <w:rFonts w:ascii="Times New Roman" w:hAnsi="Times New Roman" w:eastAsia="仿宋_GB2312" w:cs="Times New Roman"/>
                <w:color w:val="000000" w:themeColor="text1"/>
                <w:kern w:val="0"/>
                <w:sz w:val="24"/>
                <w:szCs w:val="24"/>
                <w14:textFill>
                  <w14:solidFill>
                    <w14:schemeClr w14:val="tx1"/>
                  </w14:solidFill>
                </w14:textFill>
              </w:rPr>
            </w:pPr>
            <w:r>
              <w:rPr>
                <w:rFonts w:hint="eastAsia" w:ascii="Times New Roman" w:hAnsi="Times New Roman" w:eastAsia="仿宋_GB2312" w:cs="Times New Roman"/>
                <w:b/>
                <w:bCs/>
                <w:color w:val="000000" w:themeColor="text1"/>
                <w:kern w:val="0"/>
                <w:sz w:val="24"/>
                <w:szCs w:val="24"/>
                <w14:textFill>
                  <w14:solidFill>
                    <w14:schemeClr w14:val="tx1"/>
                  </w14:solidFill>
                </w14:textFill>
              </w:rPr>
              <w:t>建设基础</w:t>
            </w:r>
          </w:p>
        </w:tc>
        <w:tc>
          <w:tcPr>
            <w:tcW w:w="7413" w:type="dxa"/>
            <w:gridSpan w:val="3"/>
            <w:tcBorders>
              <w:top w:val="single" w:color="auto" w:sz="4" w:space="0"/>
              <w:left w:val="single" w:color="auto" w:sz="4" w:space="0"/>
              <w:bottom w:val="single" w:color="auto" w:sz="4" w:space="0"/>
              <w:right w:val="single" w:color="auto" w:sz="4" w:space="0"/>
            </w:tcBorders>
          </w:tcPr>
          <w:p w14:paraId="12324AC1">
            <w:pPr>
              <w:ind w:firstLine="480" w:firstLineChars="200"/>
            </w:pPr>
            <w:r>
              <w:rPr>
                <w:rFonts w:hint="eastAsia" w:ascii="仿宋_GB2312" w:hAnsi="Times New Roman" w:eastAsia="仿宋_GB2312" w:cs="方正仿宋简体"/>
                <w:sz w:val="24"/>
                <w:szCs w:val="20"/>
              </w:rPr>
              <w:t>（描述可支撑此应用场景创新项目建设的相关基础条件，包括前期已开展的工作进展，数据、资金等相关要素的储备或准备，已对接的解决方案供给方等。）</w:t>
            </w:r>
          </w:p>
          <w:p w14:paraId="17AA0EEF">
            <w:pPr>
              <w:rPr>
                <w:b/>
                <w:bCs/>
              </w:rPr>
            </w:pPr>
            <w:r>
              <w:rPr>
                <w:rFonts w:hint="eastAsia"/>
                <w:b/>
                <w:bCs/>
              </w:rPr>
              <w:t>解决方案供给方对接情况：</w:t>
            </w:r>
          </w:p>
          <w:p w14:paraId="44011F13">
            <w:pPr>
              <w:rPr>
                <w:rFonts w:hint="eastAsia" w:ascii="宋体" w:hAnsi="宋体" w:cs="Times New Roman"/>
                <w:b/>
                <w:bCs/>
                <w:color w:val="000000"/>
                <w:szCs w:val="21"/>
              </w:rPr>
            </w:pPr>
            <w:r>
              <w:rPr>
                <w:rFonts w:hint="eastAsia"/>
              </w:rPr>
              <w:t>目前，血管介入技术已广泛覆盖心血管、神经、外周及肿瘤四大领域，并在急性心肌梗死、缺血性卒中、动脉瘤、中晚期肝癌等重大疾病治疗中成为一线手段。2020年至2026年期间，全球血管介入领域年复合增长率接近8%，表明该领域仍处于快速发展通道。国内某医疗机器人有限公司研发的PANVIS-A脑血管介入手术辅助操作系统（脑血管造影机器人）已于2022年11月至2023年间，在海军军医大学第一附属医院（上海长海医院）、福建省漳州市医院、温州市中心医院等多家临床试验机构完成注册临床，并于2024年8月获得国家药品监督管理局（NMPA）认证，2025年起在全国多个中心落地应用，同时启动全国多中心真实世界研究，我院亦已参与其中。国内某些医疗机器人有限公司具备从科研走向产业化落地的全流程支持，其研发中的血管介入手术机器人可以作为基础，通过揭榜挂帅项目合作，共同研发能够覆盖现有介入手术临床需求的产品。</w:t>
            </w:r>
          </w:p>
          <w:p w14:paraId="72627F62">
            <w:pPr>
              <w:rPr>
                <w:rFonts w:hint="eastAsia" w:ascii="宋体" w:hAnsi="宋体" w:cs="Times New Roman"/>
                <w:b/>
                <w:bCs/>
                <w:color w:val="000000"/>
                <w:szCs w:val="21"/>
              </w:rPr>
            </w:pPr>
          </w:p>
          <w:p w14:paraId="752E498E">
            <w:pPr>
              <w:rPr>
                <w:rFonts w:hint="eastAsia" w:ascii="宋体" w:hAnsi="宋体" w:eastAsia="宋体" w:cs="Times New Roman"/>
                <w:color w:val="000000"/>
                <w:szCs w:val="21"/>
              </w:rPr>
            </w:pPr>
            <w:r>
              <w:rPr>
                <w:rFonts w:hint="eastAsia" w:ascii="宋体" w:hAnsi="宋体" w:cs="Times New Roman"/>
                <w:b/>
                <w:bCs/>
                <w:color w:val="000000"/>
                <w:szCs w:val="21"/>
              </w:rPr>
              <w:t>费用及疗程比较</w:t>
            </w:r>
            <w:r>
              <w:rPr>
                <w:rFonts w:hint="eastAsia" w:ascii="宋体" w:hAnsi="宋体" w:cs="Times New Roman"/>
                <w:color w:val="000000"/>
                <w:szCs w:val="21"/>
              </w:rPr>
              <w:t>：</w:t>
            </w:r>
          </w:p>
          <w:p w14:paraId="256EDCA9">
            <w:pPr>
              <w:ind w:firstLine="420" w:firstLineChars="200"/>
              <w:rPr>
                <w:rFonts w:hint="eastAsia" w:ascii="宋体" w:hAnsi="宋体" w:eastAsia="宋体" w:cs="Times New Roman"/>
                <w:color w:val="000000"/>
                <w:szCs w:val="21"/>
              </w:rPr>
            </w:pPr>
            <w:r>
              <w:rPr>
                <w:rFonts w:ascii="宋体" w:hAnsi="宋体" w:eastAsia="宋体" w:cs="Times New Roman"/>
                <w:color w:val="000000"/>
                <w:szCs w:val="21"/>
              </w:rPr>
              <w:t>脑血管介入手术机器人有助于年资轻的医生能快速标准化地上手操作，以最短的学习曲线达到高精度高标准的成熟手术技术；同步也为年资高且体力下降的年长医生能很好地延续其专业的高超的手术经验和技巧。因此，脑血管介入手术机器人有助于手术效率的提升，并且通过提高手术效率和减少住院时间，有助于降低科室的运营成本，提高医院绩效。</w:t>
            </w:r>
          </w:p>
          <w:p w14:paraId="56C21B2A">
            <w:pPr>
              <w:ind w:firstLine="420" w:firstLineChars="200"/>
              <w:rPr>
                <w:rFonts w:hint="eastAsia" w:ascii="宋体" w:hAnsi="宋体" w:eastAsia="宋体" w:cs="Times New Roman"/>
                <w:color w:val="000000"/>
                <w:szCs w:val="21"/>
              </w:rPr>
            </w:pPr>
            <w:r>
              <w:rPr>
                <w:rFonts w:ascii="宋体" w:hAnsi="宋体" w:eastAsia="宋体" w:cs="Times New Roman"/>
                <w:color w:val="000000"/>
                <w:szCs w:val="21"/>
              </w:rPr>
              <w:t>2026年1月20日国家医保局编制发行了《手术和治疗辅助操作类医疗服务价格项目立项指南（试行）》将已有价格项目规范整合为37项。其中第36项定义了手术机械臂辅助操作费 （精准执行）的服务价格项目立项指南。目前，牵头省份的物价正在申报中，全国将参考执行。</w:t>
            </w:r>
          </w:p>
          <w:p w14:paraId="64540E53">
            <w:pPr>
              <w:ind w:firstLine="420" w:firstLineChars="200"/>
              <w:rPr>
                <w:rFonts w:hint="eastAsia" w:ascii="宋体" w:hAnsi="宋体"/>
                <w:bCs/>
                <w:szCs w:val="21"/>
              </w:rPr>
            </w:pPr>
            <w:r>
              <w:rPr>
                <w:rFonts w:ascii="宋体" w:hAnsi="宋体" w:eastAsia="宋体" w:cs="Times New Roman"/>
                <w:color w:val="000000"/>
                <w:szCs w:val="21"/>
              </w:rPr>
              <w:t>与传统</w:t>
            </w:r>
            <w:r>
              <w:rPr>
                <w:rFonts w:hint="eastAsia" w:ascii="宋体" w:hAnsi="宋体" w:cs="Times New Roman"/>
                <w:color w:val="000000"/>
                <w:szCs w:val="21"/>
              </w:rPr>
              <w:t>造影</w:t>
            </w:r>
            <w:r>
              <w:rPr>
                <w:rFonts w:ascii="宋体" w:hAnsi="宋体" w:eastAsia="宋体" w:cs="Times New Roman"/>
                <w:color w:val="000000"/>
                <w:szCs w:val="21"/>
              </w:rPr>
              <w:t>相比，</w:t>
            </w:r>
            <w:r>
              <w:rPr>
                <w:rFonts w:hint="eastAsia" w:ascii="宋体" w:hAnsi="宋体" w:cs="Times New Roman"/>
                <w:color w:val="000000"/>
                <w:szCs w:val="21"/>
              </w:rPr>
              <w:t>其成本</w:t>
            </w:r>
            <w:r>
              <w:rPr>
                <w:rFonts w:hint="eastAsia" w:ascii="宋体" w:hAnsi="宋体" w:eastAsia="宋体" w:cs="Times New Roman"/>
                <w:color w:val="000000"/>
                <w:szCs w:val="21"/>
              </w:rPr>
              <w:t>会有所增加，但</w:t>
            </w:r>
            <w:r>
              <w:rPr>
                <w:rFonts w:ascii="宋体" w:hAnsi="宋体" w:eastAsia="宋体" w:cs="Times New Roman"/>
                <w:color w:val="000000"/>
                <w:szCs w:val="21"/>
              </w:rPr>
              <w:t>我们预期，</w:t>
            </w:r>
            <w:r>
              <w:rPr>
                <w:rFonts w:hint="eastAsia" w:ascii="宋体" w:hAnsi="宋体"/>
                <w:bCs/>
                <w:szCs w:val="21"/>
              </w:rPr>
              <w:t>通过减少并发症、缩短住院时间，能降低平均住院日和医疗成本。</w:t>
            </w:r>
          </w:p>
          <w:p w14:paraId="62A788E1">
            <w:pPr>
              <w:ind w:firstLine="420" w:firstLineChars="200"/>
              <w:rPr>
                <w:rFonts w:hint="eastAsia" w:ascii="宋体" w:hAnsi="宋体" w:eastAsia="宋体" w:cs="Times New Roman"/>
                <w:color w:val="000000"/>
                <w:szCs w:val="21"/>
              </w:rPr>
            </w:pPr>
            <w:r>
              <w:rPr>
                <w:rFonts w:ascii="宋体" w:hAnsi="宋体" w:eastAsia="宋体" w:cs="Times New Roman"/>
                <w:color w:val="000000"/>
                <w:szCs w:val="21"/>
              </w:rPr>
              <w:t>其减少并发症、促进康复和提升患者满意度的优势，能够在一定程度上抵消其初始</w:t>
            </w:r>
            <w:r>
              <w:rPr>
                <w:rFonts w:hint="eastAsia" w:ascii="宋体" w:hAnsi="宋体" w:cs="Times New Roman"/>
                <w:color w:val="000000"/>
                <w:szCs w:val="21"/>
              </w:rPr>
              <w:t>耗材</w:t>
            </w:r>
            <w:r>
              <w:rPr>
                <w:rFonts w:ascii="宋体" w:hAnsi="宋体" w:eastAsia="宋体" w:cs="Times New Roman"/>
                <w:color w:val="000000"/>
                <w:szCs w:val="21"/>
              </w:rPr>
              <w:t>成本的增加，为有需求的患者提供一个物有所值的优质选项。</w:t>
            </w:r>
          </w:p>
          <w:p w14:paraId="4C2BB822">
            <w:r>
              <w:rPr>
                <w:rFonts w:ascii="宋体" w:hAnsi="宋体" w:eastAsia="宋体" w:cs="Times New Roman"/>
                <w:color w:val="000000"/>
                <w:szCs w:val="21"/>
              </w:rPr>
              <w:t>因此，该新技术为不同需求和条件的患者提供了一个优异的、现代化的选择，符合现代</w:t>
            </w:r>
            <w:r>
              <w:rPr>
                <w:rFonts w:hint="eastAsia" w:ascii="宋体" w:hAnsi="宋体" w:cs="Times New Roman"/>
                <w:color w:val="000000"/>
                <w:szCs w:val="21"/>
              </w:rPr>
              <w:t>先进医疗技术</w:t>
            </w:r>
            <w:r>
              <w:rPr>
                <w:rFonts w:ascii="宋体" w:hAnsi="宋体" w:eastAsia="宋体" w:cs="Times New Roman"/>
                <w:color w:val="000000"/>
                <w:szCs w:val="21"/>
              </w:rPr>
              <w:t>以人为本的治疗</w:t>
            </w:r>
            <w:r>
              <w:rPr>
                <w:rFonts w:hint="eastAsia" w:ascii="宋体" w:hAnsi="宋体" w:cs="Times New Roman"/>
                <w:color w:val="000000"/>
                <w:szCs w:val="21"/>
              </w:rPr>
              <w:t>和发展</w:t>
            </w:r>
            <w:r>
              <w:rPr>
                <w:rFonts w:ascii="宋体" w:hAnsi="宋体" w:eastAsia="宋体" w:cs="Times New Roman"/>
                <w:color w:val="000000"/>
                <w:szCs w:val="21"/>
              </w:rPr>
              <w:t>理念。</w:t>
            </w:r>
          </w:p>
          <w:p w14:paraId="0F3A383E"/>
          <w:p w14:paraId="478C61B0">
            <w:pPr>
              <w:rPr>
                <w:b/>
                <w:bCs/>
              </w:rPr>
            </w:pPr>
            <w:r>
              <w:rPr>
                <w:rFonts w:hint="eastAsia"/>
                <w:b/>
                <w:bCs/>
              </w:rPr>
              <w:t>管理制度：</w:t>
            </w:r>
          </w:p>
          <w:p w14:paraId="6F8C7B7F">
            <w:r>
              <w:t>（一）医疗机构应当根据《医疗技术临床应用管理办法》和手术分级管理的有关规定，参考《按照四级手术管理的神经血管介入诊疗技术目录》（以下简称《四级手术参考目录》）和《按照三级手术管理的神经血管介入诊疗技术目录》（附件2），制定本机构的机器人辅助神经血管介入诊疗技术操作规范和操作流程。</w:t>
            </w:r>
          </w:p>
          <w:p w14:paraId="7B6A99D0">
            <w:r>
              <w:t>（二）严格遵守机器人辅助神经血管介入诊疗技术操作规范和诊疗指南，严格掌握机器人辅助神经血管介入诊疗技术的适应证和禁忌证。</w:t>
            </w:r>
          </w:p>
          <w:p w14:paraId="439BC94F">
            <w:r>
              <w:t>（三）实施机器人辅助神经血管介入诊疗技术应当由本机构执业医师决定，实施按照三级及以上手术管理的机器人辅助神经血管介入诊疗技术应当由具有副主任医师及以上专业技术职务任职资格的本机构执业医师决定，术者由符合本规范要求的医师担任。术前应当制订手术方案和患者管理方案，明确预防并发症的措施。</w:t>
            </w:r>
          </w:p>
          <w:p w14:paraId="4A86A235">
            <w:r>
              <w:t>（四）实施机器人辅助神经血管介入诊疗技术前，应当向患者及其近亲属告知手术目的、手术风险、术后注意事项、可能发生的并发症及预防措施等，并签署知情同意书。</w:t>
            </w:r>
          </w:p>
          <w:p w14:paraId="2A09A22C">
            <w:r>
              <w:t>（五）医疗机构应当按照有关医院感染和放射防护管理的规定，加强医院感染预防与控制，同时注重加强医务人员个人防护。</w:t>
            </w:r>
          </w:p>
          <w:p w14:paraId="4E9F406F">
            <w:r>
              <w:t>（六）加强机器人辅助神经血管介入诊疗质量管理，建立健全术后随访制度，按规范进行随访、记录，并按照卫生健康行政部门的要求报告相关病例信息。</w:t>
            </w:r>
          </w:p>
          <w:p w14:paraId="4E77C2FB">
            <w:r>
              <w:t>（七）医疗机构和医师按照规定接受神经血管介入诊疗技术临床应用能力评价，包括病例选择、手术成功率、严重并发症、死亡病例、医疗不良事件发生情况、术后患者管理、随访情况和病历质量等。</w:t>
            </w:r>
          </w:p>
          <w:p w14:paraId="637FFD29">
            <w:r>
              <w:t>（八）其他管理要求：</w:t>
            </w:r>
          </w:p>
          <w:p w14:paraId="401FEFE7">
            <w:r>
              <w:t>1.使用经国家药品监督管理部门审批的神经血管介入诊疗器械，不得违规重复使用一次性医用器械。</w:t>
            </w:r>
          </w:p>
          <w:p w14:paraId="363862B2">
            <w:r>
              <w:t>2.建立机器人辅助神经血管介入诊疗器械登记制度，保证器械来源可追溯。在患者住院病历中留存介入诊疗器械条形码或者其他合格证明文件。"</w:t>
            </w:r>
          </w:p>
        </w:tc>
      </w:tr>
    </w:tbl>
    <w:p w14:paraId="47A3176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altName w:val="微软雅黑"/>
    <w:panose1 w:val="00000000000000000000"/>
    <w:charset w:val="86"/>
    <w:family w:val="roman"/>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CD2491"/>
    <w:rsid w:val="24CD2491"/>
    <w:rsid w:val="3C267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jc w:val="left"/>
    </w:pPr>
    <w:rPr>
      <w:rFonts w:cs="Times New Roman"/>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5273</Words>
  <Characters>5459</Characters>
  <Lines>0</Lines>
  <Paragraphs>0</Paragraphs>
  <TotalTime>0</TotalTime>
  <ScaleCrop>false</ScaleCrop>
  <LinksUpToDate>false</LinksUpToDate>
  <CharactersWithSpaces>5509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2026-05-28T03:46:00Z</dcterms:created>
  <dc:creator>SRA小助手</dc:creator>
  <cp:lastModifiedBy>SRA小助手</cp:lastModifiedBy>
  <dcterms:modified xsi:type="dcterms:W3CDTF">2026-06-11T06:28:44Z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4129696D7E784D0E82931721AC080AEB_11</vt:lpwstr>
  </property>
  <property fmtid="{D5CDD505-2E9C-101B-9397-08002B2CF9AE}" pid="4" name="KSOTemplateDocerSaveRecord">
    <vt:lpwstr>eyJoZGlkIjoiNzg3OTczNzI0ZWJiZjRjNDQ5ZjMxYzE5NzFmNzE4MjMiLCJ1c2VySWQiOiIxMzA2Mzc0OTg5In0=</vt:lpwstr>
  </property>
</Properties>
</file>