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33E64">
      <w:pPr>
        <w:widowControl/>
        <w:jc w:val="left"/>
        <w:rPr>
          <w:rFonts w:ascii="黑体" w:hAnsi="黑体" w:eastAsia="黑体"/>
          <w:sz w:val="32"/>
        </w:rPr>
      </w:pPr>
      <w:r>
        <w:rPr>
          <w:rFonts w:hint="eastAsia" w:ascii="黑体" w:hAnsi="黑体" w:eastAsia="黑体"/>
          <w:sz w:val="32"/>
        </w:rPr>
        <w:t>附件：</w:t>
      </w:r>
    </w:p>
    <w:p w14:paraId="1FAD5E1E">
      <w:pPr>
        <w:jc w:val="center"/>
        <w:rPr>
          <w:rFonts w:ascii="黑体" w:hAnsi="黑体" w:eastAsia="黑体"/>
          <w:sz w:val="32"/>
        </w:rPr>
      </w:pPr>
      <w:r>
        <w:rPr>
          <w:rFonts w:hint="eastAsia" w:ascii="黑体" w:hAnsi="黑体" w:eastAsia="黑体"/>
          <w:sz w:val="32"/>
        </w:rPr>
        <w:t>深圳市南山区机器人场景应用“揭榜挂帅”</w:t>
      </w:r>
    </w:p>
    <w:p w14:paraId="59006BEE">
      <w:pPr>
        <w:jc w:val="center"/>
        <w:rPr>
          <w:rFonts w:ascii="黑体" w:hAnsi="黑体" w:eastAsia="黑体"/>
          <w:sz w:val="32"/>
        </w:rPr>
      </w:pPr>
      <w:r>
        <w:rPr>
          <w:rFonts w:hint="eastAsia" w:ascii="黑体" w:hAnsi="黑体" w:eastAsia="黑体"/>
          <w:sz w:val="32"/>
        </w:rPr>
        <w:t>项目榜单征集表</w:t>
      </w:r>
    </w:p>
    <w:tbl>
      <w:tblPr>
        <w:tblStyle w:val="6"/>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2657"/>
        <w:gridCol w:w="2377"/>
        <w:gridCol w:w="2379"/>
      </w:tblGrid>
      <w:tr w14:paraId="110A6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0195F0A7">
            <w:pPr>
              <w:snapToGrid w:val="0"/>
              <w:spacing w:line="320" w:lineRule="exact"/>
              <w:jc w:val="center"/>
              <w:rPr>
                <w:rFonts w:ascii="Times New Roman" w:hAnsi="Times New Roman" w:eastAsia="仿宋_GB2312" w:cs="Times New Roman"/>
                <w:color w:val="000000" w:themeColor="text1"/>
                <w:sz w:val="24"/>
                <w14:textFill>
                  <w14:solidFill>
                    <w14:schemeClr w14:val="tx1"/>
                  </w14:solidFill>
                </w14:textFill>
              </w:rPr>
            </w:pPr>
            <w:bookmarkStart w:id="0" w:name="_GoBack"/>
            <w:bookmarkEnd w:id="0"/>
            <w:r>
              <w:rPr>
                <w:rFonts w:hint="eastAsia" w:ascii="Times New Roman" w:hAnsi="Times New Roman" w:eastAsia="仿宋_GB2312" w:cs="Times New Roman"/>
                <w:b/>
                <w:bCs/>
                <w:color w:val="000000" w:themeColor="text1"/>
                <w:sz w:val="24"/>
                <w14:textFill>
                  <w14:solidFill>
                    <w14:schemeClr w14:val="tx1"/>
                  </w14:solidFill>
                </w14:textFill>
              </w:rPr>
              <w:t>需求名称</w:t>
            </w:r>
          </w:p>
        </w:tc>
        <w:tc>
          <w:tcPr>
            <w:tcW w:w="7413" w:type="dxa"/>
            <w:gridSpan w:val="3"/>
            <w:tcBorders>
              <w:top w:val="single" w:color="auto" w:sz="4" w:space="0"/>
              <w:left w:val="single" w:color="auto" w:sz="4" w:space="0"/>
              <w:bottom w:val="single" w:color="auto" w:sz="4" w:space="0"/>
              <w:right w:val="single" w:color="auto" w:sz="4" w:space="0"/>
            </w:tcBorders>
          </w:tcPr>
          <w:p w14:paraId="703DE1C0">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面向</w:t>
            </w:r>
            <w:r>
              <w:rPr>
                <w:rFonts w:hint="eastAsia" w:ascii="Times New Roman" w:hAnsi="Times New Roman" w:eastAsia="仿宋_GB2312" w:cs="Times New Roman"/>
                <w:color w:val="000000" w:themeColor="text1"/>
                <w:kern w:val="0"/>
                <w:sz w:val="24"/>
                <w:szCs w:val="24"/>
                <w14:textFill>
                  <w14:solidFill>
                    <w14:schemeClr w14:val="tx1"/>
                  </w14:solidFill>
                </w14:textFill>
              </w:rPr>
              <w:t>智能交通管理应用场景</w:t>
            </w: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的</w:t>
            </w:r>
            <w:r>
              <w:rPr>
                <w:rFonts w:hint="eastAsia" w:ascii="Times New Roman" w:hAnsi="Times New Roman" w:eastAsia="仿宋_GB2312" w:cs="Times New Roman"/>
                <w:color w:val="000000" w:themeColor="text1"/>
                <w:kern w:val="0"/>
                <w:sz w:val="24"/>
                <w:szCs w:val="24"/>
                <w14:textFill>
                  <w14:solidFill>
                    <w14:schemeClr w14:val="tx1"/>
                  </w14:solidFill>
                </w14:textFill>
              </w:rPr>
              <w:t>人形机器人需求</w:t>
            </w:r>
          </w:p>
        </w:tc>
      </w:tr>
      <w:tr w14:paraId="1EFB3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581B6CB5">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gridSpan w:val="3"/>
            <w:tcBorders>
              <w:top w:val="single" w:color="auto" w:sz="4" w:space="0"/>
              <w:left w:val="single" w:color="auto" w:sz="4" w:space="0"/>
              <w:bottom w:val="single" w:color="auto" w:sz="4" w:space="0"/>
              <w:right w:val="single" w:color="auto" w:sz="4" w:space="0"/>
            </w:tcBorders>
          </w:tcPr>
          <w:p w14:paraId="3CE0502A">
            <w:pPr>
              <w:snapToGrid w:val="0"/>
              <w:spacing w:line="320" w:lineRule="exact"/>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一、现有场景基本情况描述</w:t>
            </w:r>
            <w:r>
              <w:rPr>
                <w:rFonts w:ascii="Arial" w:hAnsi="Arial" w:eastAsia="仿宋_GB2312" w:cs="Arial"/>
                <w:color w:val="000000" w:themeColor="text1"/>
                <w:sz w:val="24"/>
                <w:szCs w:val="24"/>
                <w14:textFill>
                  <w14:solidFill>
                    <w14:schemeClr w14:val="tx1"/>
                  </w14:solidFill>
                </w14:textFill>
              </w:rPr>
              <w:t>​</w:t>
            </w:r>
          </w:p>
          <w:p w14:paraId="1F44B137">
            <w:pPr>
              <w:snapToGrid w:val="0"/>
              <w:spacing w:line="320" w:lineRule="exact"/>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南山区是深圳核心产业与商务集聚区，路网密集、车流量大。科技园、后海、西丽等片区早晚高峰拥堵突出，路口通行压力大、交通事件多发，人工巡查与疏导效率有限。现有交通管控以信号系统、监控设备为主，智能化程度仍有提升空间，在拥堵实时感知、违法快速取证、路口精细化调度等方面，对可移动、可交互、可自主作业的智能交通装备需求迫切。当前机器人应用仍以固定点执勤为主，在路口或重点区域定点驻守，尚未向路段延伸覆盖；与信号灯联动执行指挥任务时，缺乏对各类复杂路口的适配能力；尚不具备执法取证能力，震慑力不足；只能单兵作战，无法统一调度。上述问题为交通管理机器人的落地应用提供了现实场景。</w:t>
            </w:r>
          </w:p>
          <w:p w14:paraId="294F3C23">
            <w:pPr>
              <w:snapToGrid w:val="0"/>
              <w:spacing w:line="320" w:lineRule="exact"/>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二、现有场景痛点</w:t>
            </w:r>
          </w:p>
          <w:p w14:paraId="7E894843">
            <w:pPr>
              <w:spacing w:line="320" w:lineRule="exact"/>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一）警力有限管控能力不强：在城市交通管理的重点路段（如学校周边、景区出入口、严管街等），违法停车、违规占道、电动车走机动车道等违法行为高发，但警力有限，难以实现全天候、全路段的巡查管控。现有机器人在社会道路巡逻过程中的自主巡逻避障、违法检测稳定性、多目标跟踪精度的取证可靠性等方面仍存在瓶颈。若能实现机器人固定路段内自主巡逻，自动发现并取证各类违法行为，可真正落地实战、辅助执法，起到有效震慑作用。</w:t>
            </w:r>
          </w:p>
          <w:p w14:paraId="3F16F949">
            <w:pPr>
              <w:spacing w:line="320" w:lineRule="exact"/>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二）警民交互需求日益增加：民警路面执勤时，需频繁响应市民游客的问路、公交查询、周边推荐等咨询需求，尤其在APEC会议场馆周边区域，问询频繁且重复性强，占用民警大量时间精力，影响其处理核心交通管理事务的效率。此外，双语交流需求也对民警提出挑战。交通管理机器人可代替民警承担咨询响应任务，将民警从高频重复问询中解放出来，专注交通疏导、事故处置等核心执法工作。当前需解决的核心问题是：机器人能够听懂市民游客常见的问询内容（如“我的电动车违法怎么处理”“附近地铁站怎么走”、“最近的厕所在哪”、“某景点往哪个方向”等），给出准确、友好的语音回复。通过语音识别与大模型技术，实现机器人“能听会答”，切实减轻一线民警的咨询应答压力。</w:t>
            </w:r>
          </w:p>
          <w:p w14:paraId="2D9B4686">
            <w:pPr>
              <w:spacing w:line="320" w:lineRule="exact"/>
              <w:rPr>
                <w:rFonts w:hint="eastAsia"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三）交通指挥场景适配困难：交通警察是路面见警率最高的警种，早晚高峰交通指挥压力巨大。当前交通指挥机器人在路口联动信号灯执行指挥任务时面临两大瓶颈：一是路口适配难。城市路口形态多样、信号灯放行逻辑各异，机器人落地不同路口时需针对特定放行逻辑进行定制化适配开发，部署周期长，难以实现“即停即用、随到随指挥”。二是定位漂移大。双足机器人在路口转身指挥时存在位置漂移，易从安全区域偏移至机动车通行路径，连续多相位转身时位移累积效应显著，存在交通事故隐患。上述问题不解决，机器人无法实现快速机动部署，也难以在真实开放路口全自主安全运行。</w:t>
            </w:r>
          </w:p>
          <w:p w14:paraId="063E4C21">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四）缺乏多维联动战斗力弱：交通指挥机器人不应作为孤立终端运行，而应作为中心AI平台或交管大脑的移动智能终端，与无人机、机器狗等前端感知设备统一并网，纳入全域感知平台统一管理和调度。当前机器人主要处于单机运行状态，视频及感知信息未能实时汇聚至中心平台，指挥中心也无法远程调度机器人执行任务，导致机器人游离于交管指挥体系之外，无法发挥移动感知节点的实战价值。核心需解决的问题是：打通机器人与中心平台的数据链路与指令通道，实现统一接入、统一管理、统一调度，使机器人成为交管大脑在路面可感知、可调度、可执行的智能节点。</w:t>
            </w:r>
          </w:p>
        </w:tc>
      </w:tr>
      <w:tr w14:paraId="2A8C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25ACBF31">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具体需求</w:t>
            </w:r>
          </w:p>
        </w:tc>
        <w:tc>
          <w:tcPr>
            <w:tcW w:w="7413" w:type="dxa"/>
            <w:gridSpan w:val="3"/>
            <w:tcBorders>
              <w:top w:val="single" w:color="auto" w:sz="4" w:space="0"/>
              <w:left w:val="single" w:color="auto" w:sz="4" w:space="0"/>
              <w:bottom w:val="single" w:color="auto" w:sz="4" w:space="0"/>
              <w:right w:val="single" w:color="auto" w:sz="4" w:space="0"/>
            </w:tcBorders>
          </w:tcPr>
          <w:p w14:paraId="596B529A">
            <w:pPr>
              <w:spacing w:line="320" w:lineRule="exact"/>
              <w:rPr>
                <w:rFonts w:hint="eastAsia"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一）自主路段巡逻与违法抓拍取证：研究交通管理机器人在动态交通环境中的自主导航与避障能力，应对人流、非机动车流及不规则障碍物，实现固定路段（如学校、景区、严管街）内的安全自主巡逻。突破移动状态下对违停、非机动车走非机动车道等高频违法行为的智能识别与取证技术，实现多目标跟踪与证据链自动采集，满足执法辅助要求</w:t>
            </w:r>
          </w:p>
          <w:p w14:paraId="516C6E25">
            <w:pPr>
              <w:spacing w:line="320" w:lineRule="exact"/>
              <w:rPr>
                <w:rFonts w:hint="eastAsia"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二）开放场景智能人机问答交互：研究交通管理机器人在真实城市路口开放场景下，与市民游客进行自然、多模态、低延迟交互的关键技术，构建面向交通场景的轻量化语音交互大模型，支持多轮对话与上下文理解，重点攻克模糊意图理解能力，可应答法律答疑、交通指引、公交查询、周边美食景点推荐、临时管制信息等高频问题。</w:t>
            </w:r>
          </w:p>
          <w:p w14:paraId="10264C03">
            <w:pPr>
              <w:spacing w:line="320" w:lineRule="exact"/>
              <w:rPr>
                <w:rFonts w:hint="eastAsia"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三）复杂路口下的交通指挥适配：在不同放行逻辑路口的快速部署与动作适配能力，实现对任意路口信号灯相位、相序、配时方案的逻辑理解，生成匹配的指挥动作序列。研究高精度原地转向步态控制算法，抑制转身过程中的身体漂移与足部落点偏移，确保连续多相位转身指挥时机器人始终锁定于路口中心安全区域，实现机器人在多模态路口的快速部署、精准指挥与位移纠偏安全运行。</w:t>
            </w:r>
          </w:p>
          <w:p w14:paraId="19A6AEC9">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四）机器人终端统一管控平台：研究交通指挥机器人作为移动智能终端与中心平台的协同接入与调度技术。实现机器人侧多源感知数据的实时回传与中心融合汇聚；构建标准化指令通道，支持中心对机器人的远程任务指派、状态监控、移动控制及现场喊话等调度能力，使机器人成为交管大脑在路面一线的可感知、可调度、可执行的智能节点。</w:t>
            </w:r>
          </w:p>
        </w:tc>
      </w:tr>
      <w:tr w14:paraId="1ABE9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5DA10E98">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拟投入资金（万元）</w:t>
            </w:r>
          </w:p>
        </w:tc>
        <w:tc>
          <w:tcPr>
            <w:tcW w:w="2657" w:type="dxa"/>
            <w:tcBorders>
              <w:top w:val="single" w:color="auto" w:sz="4" w:space="0"/>
              <w:left w:val="single" w:color="auto" w:sz="4" w:space="0"/>
              <w:bottom w:val="single" w:color="auto" w:sz="4" w:space="0"/>
              <w:right w:val="single" w:color="auto" w:sz="4" w:space="0"/>
            </w:tcBorders>
          </w:tcPr>
          <w:p w14:paraId="06B9C84C">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p>
        </w:tc>
        <w:tc>
          <w:tcPr>
            <w:tcW w:w="2377" w:type="dxa"/>
            <w:tcBorders>
              <w:top w:val="single" w:color="auto" w:sz="4" w:space="0"/>
              <w:left w:val="single" w:color="auto" w:sz="4" w:space="0"/>
              <w:bottom w:val="single" w:color="auto" w:sz="4" w:space="0"/>
              <w:right w:val="single" w:color="auto" w:sz="4" w:space="0"/>
            </w:tcBorders>
            <w:vAlign w:val="center"/>
          </w:tcPr>
          <w:p w14:paraId="2045AE61">
            <w:pPr>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拟建设周期</w:t>
            </w:r>
          </w:p>
        </w:tc>
        <w:tc>
          <w:tcPr>
            <w:tcW w:w="2379" w:type="dxa"/>
            <w:tcBorders>
              <w:top w:val="single" w:color="auto" w:sz="4" w:space="0"/>
              <w:left w:val="single" w:color="auto" w:sz="4" w:space="0"/>
              <w:bottom w:val="single" w:color="auto" w:sz="4" w:space="0"/>
              <w:right w:val="single" w:color="auto" w:sz="4" w:space="0"/>
            </w:tcBorders>
            <w:vAlign w:val="center"/>
          </w:tcPr>
          <w:p w14:paraId="2C3F7D81">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12个月</w:t>
            </w:r>
          </w:p>
        </w:tc>
      </w:tr>
      <w:tr w14:paraId="33F90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1C7B49D1">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应用现状</w:t>
            </w:r>
          </w:p>
        </w:tc>
        <w:tc>
          <w:tcPr>
            <w:tcW w:w="7413" w:type="dxa"/>
            <w:gridSpan w:val="3"/>
            <w:tcBorders>
              <w:top w:val="single" w:color="auto" w:sz="4" w:space="0"/>
              <w:left w:val="single" w:color="auto" w:sz="4" w:space="0"/>
              <w:bottom w:val="single" w:color="auto" w:sz="4" w:space="0"/>
              <w:right w:val="single" w:color="auto" w:sz="4" w:space="0"/>
            </w:tcBorders>
          </w:tcPr>
          <w:p w14:paraId="4B1B06F0">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目前国内紧停留在人工操作机器人的状态，没有实现机器人自主工作状态，没办法大面推广，需要定制性开发。</w:t>
            </w:r>
          </w:p>
          <w:p w14:paraId="0AE480B5">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1、功能性需要完整升级，自主工作，人工协同</w:t>
            </w:r>
          </w:p>
          <w:p w14:paraId="68370C77">
            <w:pPr>
              <w:spacing w:line="320" w:lineRule="exact"/>
              <w:ind w:left="720" w:hanging="720" w:hangingChars="3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2、性能参数需要优化</w:t>
            </w:r>
          </w:p>
          <w:p w14:paraId="62FA3CF3">
            <w:pPr>
              <w:spacing w:line="320" w:lineRule="exact"/>
              <w:ind w:left="720" w:hanging="720" w:hangingChars="3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3、数据协同能力需要强化</w:t>
            </w:r>
          </w:p>
          <w:p w14:paraId="0934437D">
            <w:pPr>
              <w:spacing w:line="320" w:lineRule="exact"/>
              <w:ind w:left="720" w:hanging="720" w:hangingChars="300"/>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技术难点</w:t>
            </w:r>
          </w:p>
          <w:p w14:paraId="170C8FDC">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复杂环境感知瓶颈</w:t>
            </w:r>
          </w:p>
          <w:p w14:paraId="1F1C3CA8">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突发场景解决短板</w:t>
            </w:r>
          </w:p>
          <w:p w14:paraId="7A498615">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算力和能耗平衡，如何用国产低算力芯片实现</w:t>
            </w:r>
          </w:p>
          <w:p w14:paraId="153F2EF4">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基础设施适配限制</w:t>
            </w:r>
          </w:p>
        </w:tc>
      </w:tr>
      <w:tr w14:paraId="56F60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72DC5457">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潜在规模</w:t>
            </w:r>
          </w:p>
        </w:tc>
        <w:tc>
          <w:tcPr>
            <w:tcW w:w="7413" w:type="dxa"/>
            <w:gridSpan w:val="3"/>
            <w:tcBorders>
              <w:top w:val="single" w:color="auto" w:sz="4" w:space="0"/>
              <w:left w:val="single" w:color="auto" w:sz="4" w:space="0"/>
              <w:bottom w:val="single" w:color="auto" w:sz="4" w:space="0"/>
              <w:right w:val="single" w:color="auto" w:sz="4" w:space="0"/>
            </w:tcBorders>
          </w:tcPr>
          <w:p w14:paraId="099C9468">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交通指挥机器人纳入 “智能交通管理系统（ITMS）” 中的 “移动执法与疏导解决方案” 细分。2025 年全球 ITMS 市场规模 137.7 亿美元，交通指挥机器人作为新兴品类，渗透率约 8%-10%，对应 12-15 亿美元；2030 年全球 ITMS 市场预计达 320 亿美元（按 CAGR17.8% 推算），交通指挥机器人因欧美、中东等地区的场景落地加速，渗透率升至 18%-22%，对应 55-68 亿美元。</w:t>
            </w:r>
          </w:p>
        </w:tc>
      </w:tr>
      <w:tr w14:paraId="4A28B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3719FDA7">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建设基础</w:t>
            </w:r>
          </w:p>
        </w:tc>
        <w:tc>
          <w:tcPr>
            <w:tcW w:w="7413" w:type="dxa"/>
            <w:gridSpan w:val="3"/>
            <w:tcBorders>
              <w:top w:val="single" w:color="auto" w:sz="4" w:space="0"/>
              <w:left w:val="single" w:color="auto" w:sz="4" w:space="0"/>
              <w:bottom w:val="single" w:color="auto" w:sz="4" w:space="0"/>
              <w:right w:val="single" w:color="auto" w:sz="4" w:space="0"/>
            </w:tcBorders>
          </w:tcPr>
          <w:p w14:paraId="7B24B460">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p>
        </w:tc>
      </w:tr>
      <w:tr w14:paraId="4A82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16E918C8">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实施成效</w:t>
            </w:r>
          </w:p>
        </w:tc>
        <w:tc>
          <w:tcPr>
            <w:tcW w:w="7413" w:type="dxa"/>
            <w:gridSpan w:val="3"/>
            <w:tcBorders>
              <w:top w:val="single" w:color="auto" w:sz="4" w:space="0"/>
              <w:left w:val="single" w:color="auto" w:sz="4" w:space="0"/>
              <w:bottom w:val="single" w:color="auto" w:sz="4" w:space="0"/>
              <w:right w:val="single" w:color="auto" w:sz="4" w:space="0"/>
            </w:tcBorders>
          </w:tcPr>
          <w:p w14:paraId="076861F6">
            <w:pPr>
              <w:spacing w:line="320" w:lineRule="exact"/>
              <w:rPr>
                <w:rFonts w:ascii="Times New Roman" w:hAnsi="Times New Roman" w:eastAsia="仿宋_GB2312" w:cs="Times New Roman"/>
                <w:color w:val="000000" w:themeColor="text1"/>
                <w:sz w:val="24"/>
                <w:szCs w:val="24"/>
                <w14:textFill>
                  <w14:solidFill>
                    <w14:schemeClr w14:val="tx1"/>
                  </w14:solidFill>
                </w14:textFill>
              </w:rPr>
            </w:pPr>
            <w:r>
              <w:rPr>
                <w:rFonts w:ascii="Times New Roman" w:hAnsi="Times New Roman" w:eastAsia="仿宋_GB2312" w:cs="Times New Roman"/>
                <w:color w:val="000000" w:themeColor="text1"/>
                <w:sz w:val="24"/>
                <w:szCs w:val="24"/>
                <w14:textFill>
                  <w14:solidFill>
                    <w14:schemeClr w14:val="tx1"/>
                  </w14:solidFill>
                </w14:textFill>
              </w:rPr>
              <w:t>交通违法管控更精准长效</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执勤安全风险明显降低</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警力资源优化释放</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交通管理数据化、智能化</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运维与管理成本持续下降</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ascii="Times New Roman" w:hAnsi="Times New Roman" w:eastAsia="仿宋_GB2312" w:cs="Times New Roman"/>
                <w:color w:val="000000" w:themeColor="text1"/>
                <w:sz w:val="24"/>
                <w:szCs w:val="24"/>
                <w14:textFill>
                  <w14:solidFill>
                    <w14:schemeClr w14:val="tx1"/>
                  </w14:solidFill>
                </w14:textFill>
              </w:rPr>
              <w:t>城市交通治理示范效应凸显</w:t>
            </w:r>
          </w:p>
        </w:tc>
      </w:tr>
    </w:tbl>
    <w:p w14:paraId="1A1C46BE">
      <w:pPr>
        <w:rPr>
          <w:rFonts w:ascii="Times New Roman" w:hAnsi="Times New Roman" w:eastAsia="仿宋_GB2312"/>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20B0604020202020204"/>
    <w:charset w:val="86"/>
    <w:family w:val="roman"/>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43B"/>
    <w:rsid w:val="0000420B"/>
    <w:rsid w:val="000A3374"/>
    <w:rsid w:val="000A3922"/>
    <w:rsid w:val="000A4A4B"/>
    <w:rsid w:val="000F4C66"/>
    <w:rsid w:val="001242F7"/>
    <w:rsid w:val="00140413"/>
    <w:rsid w:val="00185040"/>
    <w:rsid w:val="001E5EAA"/>
    <w:rsid w:val="00205DBC"/>
    <w:rsid w:val="00222ADC"/>
    <w:rsid w:val="002265FE"/>
    <w:rsid w:val="00292980"/>
    <w:rsid w:val="002F78B7"/>
    <w:rsid w:val="00311965"/>
    <w:rsid w:val="00372057"/>
    <w:rsid w:val="004063FD"/>
    <w:rsid w:val="00452DDD"/>
    <w:rsid w:val="00457E50"/>
    <w:rsid w:val="004814C2"/>
    <w:rsid w:val="004C7EB3"/>
    <w:rsid w:val="004E0182"/>
    <w:rsid w:val="004E0553"/>
    <w:rsid w:val="004F3FBF"/>
    <w:rsid w:val="00512D71"/>
    <w:rsid w:val="00513B84"/>
    <w:rsid w:val="005153B7"/>
    <w:rsid w:val="00552DA0"/>
    <w:rsid w:val="0056248C"/>
    <w:rsid w:val="005A32C2"/>
    <w:rsid w:val="005A38BE"/>
    <w:rsid w:val="005B7FBF"/>
    <w:rsid w:val="005F1C89"/>
    <w:rsid w:val="005F7413"/>
    <w:rsid w:val="00637D8C"/>
    <w:rsid w:val="00665FDC"/>
    <w:rsid w:val="00684032"/>
    <w:rsid w:val="006C343B"/>
    <w:rsid w:val="006D112F"/>
    <w:rsid w:val="00751207"/>
    <w:rsid w:val="007807BE"/>
    <w:rsid w:val="007830CB"/>
    <w:rsid w:val="007B6657"/>
    <w:rsid w:val="007D3ADA"/>
    <w:rsid w:val="008825E5"/>
    <w:rsid w:val="00893BD5"/>
    <w:rsid w:val="008B5F2A"/>
    <w:rsid w:val="008B7AAB"/>
    <w:rsid w:val="008D6FE9"/>
    <w:rsid w:val="00932B97"/>
    <w:rsid w:val="00936F90"/>
    <w:rsid w:val="009A4411"/>
    <w:rsid w:val="009E7641"/>
    <w:rsid w:val="00A00B41"/>
    <w:rsid w:val="00A07B12"/>
    <w:rsid w:val="00A321DC"/>
    <w:rsid w:val="00A413AF"/>
    <w:rsid w:val="00A464B4"/>
    <w:rsid w:val="00A95634"/>
    <w:rsid w:val="00AD5859"/>
    <w:rsid w:val="00B1112F"/>
    <w:rsid w:val="00B17A10"/>
    <w:rsid w:val="00B40814"/>
    <w:rsid w:val="00B75C73"/>
    <w:rsid w:val="00B76C08"/>
    <w:rsid w:val="00BF5EFF"/>
    <w:rsid w:val="00C15A05"/>
    <w:rsid w:val="00C418C9"/>
    <w:rsid w:val="00C53D1F"/>
    <w:rsid w:val="00C950F2"/>
    <w:rsid w:val="00CA1A59"/>
    <w:rsid w:val="00CA333D"/>
    <w:rsid w:val="00CA6F64"/>
    <w:rsid w:val="00CB269D"/>
    <w:rsid w:val="00D15730"/>
    <w:rsid w:val="00D57E8E"/>
    <w:rsid w:val="00D85099"/>
    <w:rsid w:val="00DF63D5"/>
    <w:rsid w:val="00E33726"/>
    <w:rsid w:val="00E75083"/>
    <w:rsid w:val="00F57A7F"/>
    <w:rsid w:val="00F601B2"/>
    <w:rsid w:val="00F64D74"/>
    <w:rsid w:val="00F934E7"/>
    <w:rsid w:val="00FE290B"/>
    <w:rsid w:val="01F0403A"/>
    <w:rsid w:val="06C8202F"/>
    <w:rsid w:val="17D23921"/>
    <w:rsid w:val="19921729"/>
    <w:rsid w:val="1DD06378"/>
    <w:rsid w:val="1E8C2D66"/>
    <w:rsid w:val="28B875CF"/>
    <w:rsid w:val="2B714A48"/>
    <w:rsid w:val="2CC76418"/>
    <w:rsid w:val="2E117847"/>
    <w:rsid w:val="2F8C390B"/>
    <w:rsid w:val="4DDFF696"/>
    <w:rsid w:val="4F151527"/>
    <w:rsid w:val="5C7724F1"/>
    <w:rsid w:val="5E776CE7"/>
    <w:rsid w:val="67495B4D"/>
    <w:rsid w:val="73CE4A02"/>
    <w:rsid w:val="79224A97"/>
    <w:rsid w:val="7B39F76B"/>
    <w:rsid w:val="7F7C2D89"/>
    <w:rsid w:val="9EDB286F"/>
    <w:rsid w:val="BBDF3A71"/>
    <w:rsid w:val="BBFF5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semiHidden/>
    <w:unhideWhenUsed/>
    <w:qFormat/>
    <w:uiPriority w:val="99"/>
    <w:pPr>
      <w:spacing w:after="120"/>
    </w:pPr>
  </w:style>
  <w:style w:type="paragraph" w:styleId="3">
    <w:name w:val="Body Text Indent 2"/>
    <w:basedOn w:val="1"/>
    <w:link w:val="14"/>
    <w:unhideWhenUsed/>
    <w:qFormat/>
    <w:uiPriority w:val="99"/>
    <w:pPr>
      <w:spacing w:after="120" w:line="480" w:lineRule="auto"/>
      <w:ind w:left="420" w:leftChars="2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paragraph" w:customStyle="1" w:styleId="12">
    <w:name w:val="样式1"/>
    <w:basedOn w:val="2"/>
    <w:qFormat/>
    <w:uiPriority w:val="0"/>
    <w:pPr>
      <w:widowControl/>
      <w:spacing w:after="0"/>
      <w:ind w:firstLine="640" w:firstLineChars="200"/>
    </w:pPr>
    <w:rPr>
      <w:rFonts w:ascii="仿宋_GB2312" w:hAnsi="仿宋_GB2312" w:eastAsia="仿宋_GB2312" w:cs="Times New Roman"/>
      <w:kern w:val="0"/>
      <w:sz w:val="32"/>
      <w:szCs w:val="24"/>
    </w:rPr>
  </w:style>
  <w:style w:type="character" w:customStyle="1" w:styleId="13">
    <w:name w:val="正文文本 字符"/>
    <w:basedOn w:val="8"/>
    <w:link w:val="2"/>
    <w:semiHidden/>
    <w:qFormat/>
    <w:uiPriority w:val="99"/>
  </w:style>
  <w:style w:type="character" w:customStyle="1" w:styleId="14">
    <w:name w:val="正文文本缩进 2 字符"/>
    <w:basedOn w:val="8"/>
    <w:link w:val="3"/>
    <w:qFormat/>
    <w:uiPriority w:val="99"/>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2668</Words>
  <Characters>2722</Characters>
  <Lines>21</Lines>
  <Paragraphs>5</Paragraphs>
  <TotalTime>0</TotalTime>
  <ScaleCrop>false</ScaleCrop>
  <LinksUpToDate>false</LinksUpToDate>
  <CharactersWithSpaces>2769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2024-06-19T01:15:00Z</dcterms:created>
  <dc:creator>张平</dc:creator>
  <cp:lastModifiedBy>SRA小助手</cp:lastModifiedBy>
  <cp:lastPrinted>2025-07-23T20:28:00Z</cp:lastPrinted>
  <dcterms:modified xsi:type="dcterms:W3CDTF">2026-06-11T06:29:10Z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C8456F63973D4366995E4888F45D8349_13</vt:lpwstr>
  </property>
  <property fmtid="{D5CDD505-2E9C-101B-9397-08002B2CF9AE}" pid="4" name="KSOTemplateDocerSaveRecord">
    <vt:lpwstr>eyJoZGlkIjoiNzg3OTczNzI0ZWJiZjRjNDQ5ZjMxYzE5NzFmNzE4MjMiLCJ1c2VySWQiOiIxMzA2Mzc0OTg5In0=</vt:lpwstr>
  </property>
</Properties>
</file>