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55A99">
      <w:pPr>
        <w:widowControl/>
        <w:jc w:val="left"/>
        <w:rPr>
          <w:rFonts w:ascii="黑体" w:hAnsi="黑体" w:eastAsia="黑体"/>
          <w:sz w:val="32"/>
        </w:rPr>
      </w:pPr>
      <w:r>
        <w:rPr>
          <w:rFonts w:hint="eastAsia" w:ascii="黑体" w:hAnsi="黑体" w:eastAsia="黑体"/>
          <w:sz w:val="32"/>
        </w:rPr>
        <w:t>附件：</w:t>
      </w:r>
    </w:p>
    <w:p w14:paraId="0CF0C221">
      <w:pPr>
        <w:jc w:val="center"/>
        <w:rPr>
          <w:rFonts w:ascii="黑体" w:hAnsi="黑体" w:eastAsia="黑体"/>
          <w:sz w:val="32"/>
        </w:rPr>
      </w:pPr>
      <w:r>
        <w:rPr>
          <w:rFonts w:hint="eastAsia" w:ascii="黑体" w:hAnsi="黑体" w:eastAsia="黑体"/>
          <w:sz w:val="32"/>
        </w:rPr>
        <w:t>深圳市南山区机器人应用场景征集表</w:t>
      </w:r>
    </w:p>
    <w:tbl>
      <w:tblPr>
        <w:tblStyle w:val="6"/>
        <w:tblW w:w="9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97"/>
        <w:gridCol w:w="2657"/>
        <w:gridCol w:w="2377"/>
        <w:gridCol w:w="2379"/>
      </w:tblGrid>
      <w:tr w14:paraId="4A039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jc w:val="center"/>
        </w:trPr>
        <w:tc>
          <w:tcPr>
            <w:tcW w:w="2097" w:type="dxa"/>
            <w:tcBorders>
              <w:top w:val="single" w:color="auto" w:sz="4" w:space="0"/>
              <w:left w:val="single" w:color="auto" w:sz="4" w:space="0"/>
              <w:bottom w:val="single" w:color="auto" w:sz="4" w:space="0"/>
              <w:right w:val="single" w:color="auto" w:sz="4" w:space="0"/>
            </w:tcBorders>
            <w:vAlign w:val="center"/>
          </w:tcPr>
          <w:p w14:paraId="5EE86BA8">
            <w:pPr>
              <w:snapToGrid w:val="0"/>
              <w:spacing w:line="320" w:lineRule="exact"/>
              <w:jc w:val="center"/>
              <w:rPr>
                <w:rFonts w:ascii="Times New Roman" w:hAnsi="Times New Roman" w:eastAsia="仿宋_GB2312" w:cs="Times New Roman"/>
                <w:b/>
                <w:bCs/>
                <w:color w:val="000000" w:themeColor="text1"/>
                <w:kern w:val="0"/>
                <w:sz w:val="24"/>
                <w:szCs w:val="24"/>
                <w14:textFill>
                  <w14:solidFill>
                    <w14:schemeClr w14:val="tx1"/>
                  </w14:solidFill>
                </w14:textFill>
              </w:rPr>
            </w:pPr>
            <w:bookmarkStart w:id="0" w:name="_GoBack"/>
            <w:bookmarkEnd w:id="0"/>
            <w:r>
              <w:rPr>
                <w:rFonts w:hint="eastAsia" w:ascii="Times New Roman" w:hAnsi="Times New Roman" w:eastAsia="仿宋_GB2312" w:cs="Times New Roman"/>
                <w:b/>
                <w:bCs/>
                <w:color w:val="000000" w:themeColor="text1"/>
                <w:kern w:val="0"/>
                <w:sz w:val="24"/>
                <w:szCs w:val="24"/>
                <w14:textFill>
                  <w14:solidFill>
                    <w14:schemeClr w14:val="tx1"/>
                  </w14:solidFill>
                </w14:textFill>
              </w:rPr>
              <w:t>需求名称</w:t>
            </w:r>
          </w:p>
        </w:tc>
        <w:tc>
          <w:tcPr>
            <w:tcW w:w="7413" w:type="dxa"/>
            <w:gridSpan w:val="3"/>
            <w:tcBorders>
              <w:top w:val="single" w:color="auto" w:sz="4" w:space="0"/>
              <w:left w:val="single" w:color="auto" w:sz="4" w:space="0"/>
              <w:bottom w:val="single" w:color="auto" w:sz="4" w:space="0"/>
              <w:right w:val="single" w:color="auto" w:sz="4" w:space="0"/>
            </w:tcBorders>
            <w:vAlign w:val="center"/>
          </w:tcPr>
          <w:p w14:paraId="43521A65">
            <w:pPr>
              <w:spacing w:line="320" w:lineRule="exact"/>
              <w:rPr>
                <w:rFonts w:hint="eastAsia" w:ascii="Times New Roman" w:hAnsi="Times New Roman" w:eastAsia="仿宋_GB2312" w:cs="Times New Roman"/>
                <w:color w:val="000000" w:themeColor="text1"/>
                <w:kern w:val="0"/>
                <w:szCs w:val="21"/>
                <w:lang w:val="en-US" w:eastAsia="zh-CN"/>
                <w14:textFill>
                  <w14:solidFill>
                    <w14:schemeClr w14:val="tx1"/>
                  </w14:solidFill>
                </w14:textFill>
              </w:rPr>
            </w:pPr>
            <w:r>
              <w:rPr>
                <w:rFonts w:hint="eastAsia" w:ascii="Times New Roman" w:hAnsi="Times New Roman" w:eastAsia="仿宋_GB2312" w:cs="Times New Roman"/>
                <w:color w:val="000000" w:themeColor="text1"/>
                <w:kern w:val="0"/>
                <w:szCs w:val="21"/>
                <w14:textFill>
                  <w14:solidFill>
                    <w14:schemeClr w14:val="tx1"/>
                  </w14:solidFill>
                </w14:textFill>
              </w:rPr>
              <w:t>面向冷库内进行高叉作业的机器人</w:t>
            </w:r>
            <w:r>
              <w:rPr>
                <w:rFonts w:hint="eastAsia" w:ascii="Times New Roman" w:hAnsi="Times New Roman" w:eastAsia="仿宋_GB2312" w:cs="Times New Roman"/>
                <w:color w:val="000000" w:themeColor="text1"/>
                <w:kern w:val="0"/>
                <w:szCs w:val="21"/>
                <w:lang w:val="en-US" w:eastAsia="zh-CN"/>
                <w14:textFill>
                  <w14:solidFill>
                    <w14:schemeClr w14:val="tx1"/>
                  </w14:solidFill>
                </w14:textFill>
              </w:rPr>
              <w:t>需求</w:t>
            </w:r>
          </w:p>
        </w:tc>
      </w:tr>
      <w:tr w14:paraId="6532D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5" w:hRule="atLeast"/>
          <w:jc w:val="center"/>
        </w:trPr>
        <w:tc>
          <w:tcPr>
            <w:tcW w:w="2097" w:type="dxa"/>
            <w:tcBorders>
              <w:top w:val="single" w:color="auto" w:sz="4" w:space="0"/>
              <w:left w:val="single" w:color="auto" w:sz="4" w:space="0"/>
              <w:bottom w:val="single" w:color="auto" w:sz="4" w:space="0"/>
              <w:right w:val="single" w:color="auto" w:sz="4" w:space="0"/>
            </w:tcBorders>
            <w:vAlign w:val="center"/>
          </w:tcPr>
          <w:p w14:paraId="32539E1A">
            <w:pPr>
              <w:snapToGrid w:val="0"/>
              <w:spacing w:line="320" w:lineRule="exact"/>
              <w:jc w:val="center"/>
              <w:rPr>
                <w:rFonts w:ascii="Times New Roman" w:hAnsi="Times New Roman" w:eastAsia="仿宋_GB2312" w:cs="Times New Roman"/>
                <w:b/>
                <w:bCs/>
                <w:color w:val="000000" w:themeColor="text1"/>
                <w:kern w:val="0"/>
                <w:sz w:val="24"/>
                <w:szCs w:val="24"/>
                <w14:textFill>
                  <w14:solidFill>
                    <w14:schemeClr w14:val="tx1"/>
                  </w14:solidFill>
                </w14:textFill>
              </w:rPr>
            </w:pPr>
            <w:r>
              <w:rPr>
                <w:rFonts w:ascii="Times New Roman" w:hAnsi="Times New Roman" w:eastAsia="仿宋_GB2312" w:cs="Times New Roman"/>
                <w:b/>
                <w:bCs/>
                <w:color w:val="000000" w:themeColor="text1"/>
                <w:sz w:val="24"/>
                <w14:textFill>
                  <w14:solidFill>
                    <w14:schemeClr w14:val="tx1"/>
                  </w14:solidFill>
                </w14:textFill>
              </w:rPr>
              <w:t>单位简介</w:t>
            </w:r>
          </w:p>
        </w:tc>
        <w:tc>
          <w:tcPr>
            <w:tcW w:w="7413" w:type="dxa"/>
            <w:gridSpan w:val="3"/>
            <w:tcBorders>
              <w:top w:val="single" w:color="auto" w:sz="4" w:space="0"/>
              <w:left w:val="single" w:color="auto" w:sz="4" w:space="0"/>
              <w:bottom w:val="single" w:color="auto" w:sz="4" w:space="0"/>
              <w:right w:val="single" w:color="auto" w:sz="4" w:space="0"/>
            </w:tcBorders>
          </w:tcPr>
          <w:p w14:paraId="0494AD7E">
            <w:pPr>
              <w:spacing w:line="320" w:lineRule="exact"/>
              <w:rPr>
                <w:rFonts w:ascii="Times New Roman" w:hAnsi="Times New Roman" w:eastAsia="仿宋_GB2312" w:cs="Times New Roman"/>
                <w:color w:val="000000" w:themeColor="text1"/>
                <w:kern w:val="0"/>
                <w:szCs w:val="21"/>
                <w14:textFill>
                  <w14:solidFill>
                    <w14:schemeClr w14:val="tx1"/>
                  </w14:solidFill>
                </w14:textFill>
              </w:rPr>
            </w:pPr>
            <w:r>
              <w:rPr>
                <w:rFonts w:ascii="仿宋" w:hAnsi="仿宋" w:eastAsia="仿宋"/>
                <w:szCs w:val="21"/>
              </w:rPr>
              <w:t>万纬物流是万科集团旗下成员企业，于2015年成立，历经多年发展，已成为国内出色的综合物流解决方案服务商，核心业务布局47城，拥有170个物流园区，全国运营管理60+个专业冷链物流园，仓储规模超过1200万平方米，服务超过3400家企业。</w:t>
            </w:r>
          </w:p>
        </w:tc>
      </w:tr>
      <w:tr w14:paraId="6D68F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2097" w:type="dxa"/>
            <w:tcBorders>
              <w:top w:val="single" w:color="auto" w:sz="4" w:space="0"/>
              <w:left w:val="single" w:color="auto" w:sz="4" w:space="0"/>
              <w:bottom w:val="single" w:color="auto" w:sz="4" w:space="0"/>
              <w:right w:val="single" w:color="auto" w:sz="4" w:space="0"/>
            </w:tcBorders>
            <w:vAlign w:val="center"/>
          </w:tcPr>
          <w:p w14:paraId="422BA576">
            <w:pPr>
              <w:snapToGrid w:val="0"/>
              <w:spacing w:line="320" w:lineRule="exact"/>
              <w:jc w:val="center"/>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gridSpan w:val="3"/>
            <w:tcBorders>
              <w:top w:val="single" w:color="auto" w:sz="4" w:space="0"/>
              <w:left w:val="single" w:color="auto" w:sz="4" w:space="0"/>
              <w:bottom w:val="single" w:color="auto" w:sz="4" w:space="0"/>
              <w:right w:val="single" w:color="auto" w:sz="4" w:space="0"/>
            </w:tcBorders>
          </w:tcPr>
          <w:p w14:paraId="30D28B78">
            <w:pPr>
              <w:snapToGrid w:val="0"/>
              <w:spacing w:line="320" w:lineRule="exact"/>
              <w:rPr>
                <w:rFonts w:ascii="仿宋" w:hAnsi="仿宋" w:eastAsia="仿宋"/>
                <w:szCs w:val="21"/>
              </w:rPr>
            </w:pPr>
            <w:r>
              <w:rPr>
                <w:rFonts w:ascii="仿宋" w:hAnsi="仿宋" w:eastAsia="仿宋"/>
                <w:szCs w:val="21"/>
              </w:rPr>
              <w:t>1</w:t>
            </w:r>
            <w:r>
              <w:rPr>
                <w:rFonts w:hint="eastAsia" w:ascii="仿宋" w:hAnsi="仿宋" w:eastAsia="仿宋"/>
                <w:szCs w:val="21"/>
              </w:rPr>
              <w:t>、</w:t>
            </w:r>
            <w:r>
              <w:rPr>
                <w:rFonts w:ascii="仿宋" w:hAnsi="仿宋" w:eastAsia="仿宋"/>
                <w:szCs w:val="21"/>
              </w:rPr>
              <w:t>仓储作业</w:t>
            </w:r>
            <w:r>
              <w:rPr>
                <w:rFonts w:hint="eastAsia" w:ascii="仿宋" w:hAnsi="仿宋" w:eastAsia="仿宋"/>
                <w:szCs w:val="21"/>
              </w:rPr>
              <w:t>场景</w:t>
            </w:r>
            <w:r>
              <w:rPr>
                <w:rFonts w:ascii="仿宋" w:hAnsi="仿宋" w:eastAsia="仿宋"/>
                <w:szCs w:val="21"/>
              </w:rPr>
              <w:t>：采用高位前移式叉车执行货物存取作业，主要承担货架系统内的货物垂直存储与水平运输功能，实现托盘化货物的精准堆垛与下架操作。</w:t>
            </w:r>
            <w:r>
              <w:rPr>
                <w:rFonts w:ascii="仿宋" w:hAnsi="仿宋" w:eastAsia="仿宋"/>
                <w:szCs w:val="21"/>
              </w:rPr>
              <w:br w:type="textWrapping"/>
            </w:r>
            <w:r>
              <w:rPr>
                <w:rFonts w:ascii="仿宋" w:hAnsi="仿宋" w:eastAsia="仿宋"/>
                <w:szCs w:val="21"/>
              </w:rPr>
              <w:t>2</w:t>
            </w:r>
            <w:r>
              <w:rPr>
                <w:rFonts w:hint="eastAsia" w:ascii="仿宋" w:hAnsi="仿宋" w:eastAsia="仿宋"/>
                <w:szCs w:val="21"/>
              </w:rPr>
              <w:t>、</w:t>
            </w:r>
            <w:r>
              <w:rPr>
                <w:rFonts w:ascii="仿宋" w:hAnsi="仿宋" w:eastAsia="仿宋"/>
                <w:szCs w:val="21"/>
              </w:rPr>
              <w:t>人工操作模式特点：当前作业需由持证专业人员操作设备，要求驾驶员同时具备特种设备操作资质与冷链仓储作业经验。值得注意的是，由于冷库工作温度常处于-18</w:t>
            </w:r>
            <w:r>
              <w:rPr>
                <w:rFonts w:hint="eastAsia" w:ascii="仿宋" w:hAnsi="仿宋" w:eastAsia="仿宋" w:cs="微软雅黑"/>
                <w:szCs w:val="21"/>
              </w:rPr>
              <w:t>℃</w:t>
            </w:r>
            <w:r>
              <w:rPr>
                <w:rFonts w:ascii="仿宋" w:hAnsi="仿宋" w:eastAsia="仿宋"/>
                <w:szCs w:val="21"/>
              </w:rPr>
              <w:t>至-25</w:t>
            </w:r>
            <w:r>
              <w:rPr>
                <w:rFonts w:hint="eastAsia" w:ascii="仿宋" w:hAnsi="仿宋" w:eastAsia="仿宋" w:cs="微软雅黑"/>
                <w:szCs w:val="21"/>
              </w:rPr>
              <w:t>℃</w:t>
            </w:r>
            <w:r>
              <w:rPr>
                <w:rFonts w:ascii="仿宋" w:hAnsi="仿宋" w:eastAsia="仿宋"/>
                <w:szCs w:val="21"/>
              </w:rPr>
              <w:t>区间，作业人员需全程穿戴专业防寒装备方能进行作业。</w:t>
            </w:r>
            <w:r>
              <w:rPr>
                <w:rFonts w:ascii="仿宋" w:hAnsi="仿宋" w:eastAsia="仿宋"/>
                <w:szCs w:val="21"/>
              </w:rPr>
              <w:br w:type="textWrapping"/>
            </w:r>
            <w:r>
              <w:rPr>
                <w:rFonts w:ascii="仿宋" w:hAnsi="仿宋" w:eastAsia="仿宋"/>
                <w:szCs w:val="21"/>
              </w:rPr>
              <w:t>3</w:t>
            </w:r>
            <w:r>
              <w:rPr>
                <w:rFonts w:hint="eastAsia" w:ascii="仿宋" w:hAnsi="仿宋" w:eastAsia="仿宋"/>
                <w:szCs w:val="21"/>
              </w:rPr>
              <w:t>、</w:t>
            </w:r>
            <w:r>
              <w:rPr>
                <w:rFonts w:ascii="仿宋" w:hAnsi="仿宋" w:eastAsia="仿宋"/>
                <w:szCs w:val="21"/>
              </w:rPr>
              <w:t>人工操作模式存在双重安全隐患：一方面，因环境因素导致的人员操作精度下降可能引发货位错放等仓储管理问题；另一方面，低温环境对人机协同作业的干扰，加之传统作业流程的固有缺陷，可能增加设备碰撞风险。</w:t>
            </w:r>
          </w:p>
          <w:p w14:paraId="05361BB4">
            <w:pPr>
              <w:snapToGrid w:val="0"/>
              <w:spacing w:line="320" w:lineRule="exact"/>
              <w:rPr>
                <w:rFonts w:ascii="仿宋" w:hAnsi="仿宋" w:eastAsia="仿宋" w:cs="Times New Roman"/>
                <w:color w:val="000000" w:themeColor="text1"/>
                <w:kern w:val="0"/>
                <w:szCs w:val="21"/>
                <w14:textFill>
                  <w14:solidFill>
                    <w14:schemeClr w14:val="tx1"/>
                  </w14:solidFill>
                </w14:textFill>
              </w:rPr>
            </w:pPr>
            <w:r>
              <w:rPr>
                <w:rFonts w:hint="eastAsia" w:ascii="仿宋" w:hAnsi="仿宋" w:eastAsia="仿宋" w:cs="Times New Roman"/>
                <w:color w:val="000000" w:themeColor="text1"/>
                <w:kern w:val="0"/>
                <w:szCs w:val="21"/>
                <w14:textFill>
                  <w14:solidFill>
                    <w14:schemeClr w14:val="tx1"/>
                  </w14:solidFill>
                </w14:textFill>
              </w:rPr>
              <w:t>4、引入机器人的必要性：可提升作业效率，快速响应；降低各项运营成本；保障作业安全，减少人为失误；满足行业特殊需求，例如温度要求、高精度操作，以及可追溯性等；支持可持续发展，通过机器人操作优化作业流程和减少能耗，支持企业的绿色环保目标。</w:t>
            </w:r>
          </w:p>
        </w:tc>
      </w:tr>
      <w:tr w14:paraId="72544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2097" w:type="dxa"/>
            <w:tcBorders>
              <w:top w:val="single" w:color="auto" w:sz="4" w:space="0"/>
              <w:left w:val="single" w:color="auto" w:sz="4" w:space="0"/>
              <w:bottom w:val="single" w:color="auto" w:sz="4" w:space="0"/>
              <w:right w:val="single" w:color="auto" w:sz="4" w:space="0"/>
            </w:tcBorders>
            <w:vAlign w:val="center"/>
          </w:tcPr>
          <w:p w14:paraId="5C2EE3D9">
            <w:pPr>
              <w:snapToGrid w:val="0"/>
              <w:spacing w:line="320" w:lineRule="exact"/>
              <w:jc w:val="center"/>
              <w:rPr>
                <w:rFonts w:ascii="仿宋" w:hAnsi="仿宋" w:eastAsia="仿宋" w:cs="Times New Roman"/>
                <w:b/>
                <w:bCs/>
                <w:color w:val="000000" w:themeColor="text1"/>
                <w:kern w:val="0"/>
                <w:sz w:val="24"/>
                <w:szCs w:val="24"/>
                <w14:textFill>
                  <w14:solidFill>
                    <w14:schemeClr w14:val="tx1"/>
                  </w14:solidFill>
                </w14:textFill>
              </w:rPr>
            </w:pPr>
            <w:r>
              <w:rPr>
                <w:rFonts w:hint="eastAsia" w:ascii="仿宋" w:hAnsi="仿宋" w:eastAsia="仿宋" w:cs="Times New Roman"/>
                <w:b/>
                <w:bCs/>
                <w:color w:val="000000" w:themeColor="text1"/>
                <w:kern w:val="0"/>
                <w:sz w:val="24"/>
                <w:szCs w:val="24"/>
                <w14:textFill>
                  <w14:solidFill>
                    <w14:schemeClr w14:val="tx1"/>
                  </w14:solidFill>
                </w14:textFill>
              </w:rPr>
              <w:t>具体需求</w:t>
            </w:r>
          </w:p>
        </w:tc>
        <w:tc>
          <w:tcPr>
            <w:tcW w:w="7413" w:type="dxa"/>
            <w:gridSpan w:val="3"/>
            <w:tcBorders>
              <w:top w:val="single" w:color="auto" w:sz="4" w:space="0"/>
              <w:left w:val="single" w:color="auto" w:sz="4" w:space="0"/>
              <w:bottom w:val="single" w:color="auto" w:sz="4" w:space="0"/>
              <w:right w:val="single" w:color="auto" w:sz="4" w:space="0"/>
            </w:tcBorders>
          </w:tcPr>
          <w:p w14:paraId="4FEFA244">
            <w:pPr>
              <w:spacing w:line="320" w:lineRule="exact"/>
              <w:rPr>
                <w:rFonts w:ascii="仿宋" w:hAnsi="仿宋" w:eastAsia="仿宋"/>
                <w:szCs w:val="21"/>
              </w:rPr>
            </w:pPr>
            <w:r>
              <w:rPr>
                <w:rFonts w:ascii="Calibri" w:hAnsi="Calibri" w:eastAsia="仿宋" w:cs="Calibri"/>
                <w:szCs w:val="21"/>
              </w:rPr>
              <w:t> </w:t>
            </w:r>
            <w:r>
              <w:rPr>
                <w:rFonts w:ascii="仿宋" w:hAnsi="仿宋" w:eastAsia="仿宋"/>
                <w:szCs w:val="21"/>
              </w:rPr>
              <w:t>1</w:t>
            </w:r>
            <w:r>
              <w:rPr>
                <w:rFonts w:hint="eastAsia" w:ascii="仿宋" w:hAnsi="仿宋" w:eastAsia="仿宋"/>
                <w:szCs w:val="21"/>
              </w:rPr>
              <w:t>、</w:t>
            </w:r>
            <w:r>
              <w:rPr>
                <w:rFonts w:ascii="仿宋" w:hAnsi="仿宋" w:eastAsia="仿宋"/>
                <w:szCs w:val="21"/>
              </w:rPr>
              <w:t>机器人类型：高叉机器人（High-Level Palletizing Robot）： 用于高位货架的货物搬运和堆垛；AGV（自动导引车）或AMR（自主移动机器人）：用于货物在冷库内的水平运输；协作机器人（Cobot）：用于与人工配合完成精细操作，如分拣和包装</w:t>
            </w:r>
          </w:p>
          <w:p w14:paraId="7DBF9AD6">
            <w:pPr>
              <w:spacing w:line="320" w:lineRule="exact"/>
              <w:rPr>
                <w:rFonts w:ascii="仿宋" w:hAnsi="仿宋" w:eastAsia="仿宋"/>
                <w:szCs w:val="21"/>
              </w:rPr>
            </w:pPr>
            <w:r>
              <w:rPr>
                <w:rFonts w:hint="eastAsia" w:ascii="仿宋" w:hAnsi="仿宋" w:eastAsia="仿宋"/>
                <w:szCs w:val="21"/>
              </w:rPr>
              <w:t>2、机器人具备的要求：</w:t>
            </w:r>
          </w:p>
          <w:p w14:paraId="5EDEA64A">
            <w:pPr>
              <w:pStyle w:val="16"/>
              <w:numPr>
                <w:ilvl w:val="0"/>
                <w:numId w:val="1"/>
              </w:numPr>
              <w:spacing w:line="320" w:lineRule="exact"/>
              <w:ind w:firstLineChars="0"/>
              <w:rPr>
                <w:rFonts w:ascii="仿宋" w:hAnsi="仿宋" w:eastAsia="仿宋"/>
                <w:szCs w:val="21"/>
              </w:rPr>
            </w:pPr>
            <w:r>
              <w:rPr>
                <w:rFonts w:ascii="仿宋" w:hAnsi="仿宋" w:eastAsia="仿宋"/>
                <w:szCs w:val="21"/>
              </w:rPr>
              <w:t>机器人需要具备多模态编码识别系统：集成高精度机器视觉与射频识别（RFID）技术，支持识别货品编码、读取载具托盘标识和定位货架</w:t>
            </w:r>
          </w:p>
          <w:p w14:paraId="2F8EB5A2">
            <w:pPr>
              <w:pStyle w:val="16"/>
              <w:numPr>
                <w:ilvl w:val="0"/>
                <w:numId w:val="1"/>
              </w:numPr>
              <w:spacing w:line="320" w:lineRule="exact"/>
              <w:ind w:firstLineChars="0"/>
              <w:rPr>
                <w:rFonts w:ascii="仿宋" w:hAnsi="仿宋" w:eastAsia="仿宋"/>
                <w:szCs w:val="21"/>
              </w:rPr>
            </w:pPr>
            <w:r>
              <w:rPr>
                <w:rFonts w:ascii="仿宋" w:hAnsi="仿宋" w:eastAsia="仿宋"/>
                <w:szCs w:val="21"/>
              </w:rPr>
              <w:t>极寒环境适应性设计：电力驱动，液压系统防冻，采用低温特种钢材及耐寒橡胶组件，确保-30</w:t>
            </w:r>
            <w:r>
              <w:rPr>
                <w:rFonts w:hint="eastAsia" w:ascii="仿宋" w:hAnsi="仿宋" w:eastAsia="仿宋" w:cs="微软雅黑"/>
                <w:szCs w:val="21"/>
              </w:rPr>
              <w:t>℃</w:t>
            </w:r>
            <w:r>
              <w:rPr>
                <w:rFonts w:ascii="仿宋" w:hAnsi="仿宋" w:eastAsia="仿宋"/>
                <w:szCs w:val="21"/>
              </w:rPr>
              <w:t>工况下设备连续稳定运行</w:t>
            </w:r>
          </w:p>
          <w:p w14:paraId="2EDAD786">
            <w:pPr>
              <w:pStyle w:val="16"/>
              <w:numPr>
                <w:ilvl w:val="0"/>
                <w:numId w:val="1"/>
              </w:numPr>
              <w:spacing w:line="320" w:lineRule="exact"/>
              <w:ind w:firstLineChars="0"/>
              <w:rPr>
                <w:rFonts w:ascii="仿宋" w:hAnsi="仿宋" w:eastAsia="仿宋"/>
                <w:szCs w:val="21"/>
              </w:rPr>
            </w:pPr>
            <w:r>
              <w:rPr>
                <w:rFonts w:ascii="仿宋" w:hAnsi="仿宋" w:eastAsia="仿宋"/>
                <w:szCs w:val="21"/>
              </w:rPr>
              <w:t>智能避障防护体系：通过集成雷达或3D视觉，生成动态避障算法，并支持软件电子围栏+物理防撞结构（吸能式保险杠）双重防护机制</w:t>
            </w:r>
          </w:p>
          <w:p w14:paraId="2A6F95C9">
            <w:pPr>
              <w:spacing w:line="320" w:lineRule="exact"/>
              <w:rPr>
                <w:rFonts w:ascii="仿宋" w:hAnsi="仿宋" w:eastAsia="仿宋" w:cs="Times New Roman"/>
                <w:color w:val="000000" w:themeColor="text1"/>
                <w:kern w:val="0"/>
                <w:szCs w:val="21"/>
                <w14:textFill>
                  <w14:solidFill>
                    <w14:schemeClr w14:val="tx1"/>
                  </w14:solidFill>
                </w14:textFill>
              </w:rPr>
            </w:pPr>
            <w:r>
              <w:rPr>
                <w:rFonts w:ascii="Calibri" w:hAnsi="Calibri" w:eastAsia="仿宋" w:cs="Calibri"/>
                <w:szCs w:val="21"/>
              </w:rPr>
              <w:t> </w:t>
            </w:r>
            <w:r>
              <w:rPr>
                <w:rFonts w:ascii="仿宋" w:hAnsi="仿宋" w:eastAsia="仿宋"/>
                <w:szCs w:val="21"/>
              </w:rPr>
              <w:t>3、性能参数要求：</w:t>
            </w:r>
            <w:r>
              <w:rPr>
                <w:rFonts w:ascii="仿宋" w:hAnsi="仿宋" w:eastAsia="仿宋"/>
                <w:szCs w:val="21"/>
              </w:rPr>
              <w:br w:type="textWrapping"/>
            </w:r>
            <w:r>
              <w:rPr>
                <w:rFonts w:ascii="仿宋" w:hAnsi="仿宋" w:eastAsia="仿宋"/>
                <w:szCs w:val="21"/>
              </w:rPr>
              <w:t>1</w:t>
            </w:r>
            <w:r>
              <w:rPr>
                <w:rFonts w:hint="eastAsia" w:ascii="仿宋" w:hAnsi="仿宋" w:eastAsia="仿宋"/>
                <w:szCs w:val="21"/>
              </w:rPr>
              <w:t>）</w:t>
            </w:r>
            <w:r>
              <w:rPr>
                <w:rFonts w:ascii="仿宋" w:hAnsi="仿宋" w:eastAsia="仿宋"/>
                <w:szCs w:val="21"/>
              </w:rPr>
              <w:t>负载能力</w:t>
            </w:r>
            <w:r>
              <w:rPr>
                <w:rFonts w:hint="eastAsia" w:ascii="仿宋" w:hAnsi="仿宋" w:eastAsia="仿宋"/>
                <w:szCs w:val="21"/>
                <w:lang w:eastAsia="zh-CN"/>
              </w:rPr>
              <w:t>，</w:t>
            </w:r>
            <w:r>
              <w:rPr>
                <w:rFonts w:ascii="仿宋" w:hAnsi="仿宋" w:eastAsia="仿宋"/>
                <w:szCs w:val="21"/>
              </w:rPr>
              <w:t>标准负载：500kg至1500kg</w:t>
            </w:r>
            <w:r>
              <w:rPr>
                <w:rFonts w:ascii="仿宋" w:hAnsi="仿宋" w:eastAsia="仿宋"/>
                <w:szCs w:val="21"/>
              </w:rPr>
              <w:br w:type="textWrapping"/>
            </w:r>
            <w:r>
              <w:rPr>
                <w:rFonts w:ascii="仿宋" w:hAnsi="仿宋" w:eastAsia="仿宋"/>
                <w:szCs w:val="21"/>
              </w:rPr>
              <w:t>2</w:t>
            </w:r>
            <w:r>
              <w:rPr>
                <w:rFonts w:hint="eastAsia" w:ascii="仿宋" w:hAnsi="仿宋" w:eastAsia="仿宋"/>
                <w:szCs w:val="21"/>
              </w:rPr>
              <w:t>）</w:t>
            </w:r>
            <w:r>
              <w:rPr>
                <w:rFonts w:ascii="仿宋" w:hAnsi="仿宋" w:eastAsia="仿宋"/>
                <w:szCs w:val="21"/>
              </w:rPr>
              <w:t>导航与定位精度</w:t>
            </w:r>
            <w:r>
              <w:rPr>
                <w:rFonts w:hint="eastAsia" w:ascii="仿宋" w:hAnsi="仿宋" w:eastAsia="仿宋"/>
                <w:szCs w:val="21"/>
                <w:lang w:eastAsia="zh-CN"/>
              </w:rPr>
              <w:t>：</w:t>
            </w:r>
            <w:r>
              <w:rPr>
                <w:rFonts w:ascii="仿宋" w:hAnsi="仿宋" w:eastAsia="仿宋"/>
                <w:szCs w:val="21"/>
              </w:rPr>
              <w:t>激光SLAM或视觉导航，定位精度±5mm</w:t>
            </w:r>
            <w:r>
              <w:rPr>
                <w:rFonts w:hint="eastAsia" w:ascii="仿宋" w:hAnsi="仿宋" w:eastAsia="仿宋"/>
                <w:szCs w:val="21"/>
                <w:lang w:eastAsia="zh-CN"/>
              </w:rPr>
              <w:t>；</w:t>
            </w:r>
            <w:r>
              <w:rPr>
                <w:rFonts w:hint="eastAsia" w:ascii="仿宋" w:hAnsi="仿宋" w:eastAsia="仿宋"/>
                <w:szCs w:val="21"/>
                <w:lang w:val="en-US" w:eastAsia="zh-CN"/>
              </w:rPr>
              <w:t>在货物上架的过程中需要配备视觉摄像头等传感器，确保货物放置位置准确。</w:t>
            </w:r>
            <w:r>
              <w:rPr>
                <w:rFonts w:ascii="仿宋" w:hAnsi="仿宋" w:eastAsia="仿宋"/>
                <w:szCs w:val="21"/>
              </w:rPr>
              <w:br w:type="textWrapping"/>
            </w:r>
            <w:r>
              <w:rPr>
                <w:rFonts w:ascii="仿宋" w:hAnsi="仿宋" w:eastAsia="仿宋"/>
                <w:szCs w:val="21"/>
              </w:rPr>
              <w:t>3</w:t>
            </w:r>
            <w:r>
              <w:rPr>
                <w:rFonts w:hint="eastAsia" w:ascii="仿宋" w:hAnsi="仿宋" w:eastAsia="仿宋"/>
                <w:szCs w:val="21"/>
              </w:rPr>
              <w:t>）</w:t>
            </w:r>
            <w:r>
              <w:rPr>
                <w:rFonts w:hint="eastAsia" w:ascii="仿宋" w:hAnsi="仿宋" w:eastAsia="仿宋"/>
                <w:szCs w:val="21"/>
                <w:lang w:val="en-US" w:eastAsia="zh-CN"/>
              </w:rPr>
              <w:t>作业速度：水平</w:t>
            </w:r>
            <w:r>
              <w:rPr>
                <w:rFonts w:ascii="仿宋" w:hAnsi="仿宋" w:eastAsia="仿宋"/>
                <w:szCs w:val="21"/>
              </w:rPr>
              <w:t>速度：1.5m/s至2.5m/s。升降速度：0.5m/s至1.0m/s。</w:t>
            </w:r>
            <w:r>
              <w:rPr>
                <w:rFonts w:ascii="仿宋" w:hAnsi="仿宋" w:eastAsia="仿宋"/>
                <w:szCs w:val="21"/>
              </w:rPr>
              <w:br w:type="textWrapping"/>
            </w:r>
            <w:r>
              <w:rPr>
                <w:rFonts w:ascii="仿宋" w:hAnsi="仿宋" w:eastAsia="仿宋"/>
                <w:szCs w:val="21"/>
              </w:rPr>
              <w:t>4</w:t>
            </w:r>
            <w:r>
              <w:rPr>
                <w:rFonts w:hint="eastAsia" w:ascii="仿宋" w:hAnsi="仿宋" w:eastAsia="仿宋"/>
                <w:szCs w:val="21"/>
              </w:rPr>
              <w:t>）</w:t>
            </w:r>
            <w:r>
              <w:rPr>
                <w:rFonts w:ascii="仿宋" w:hAnsi="仿宋" w:eastAsia="仿宋"/>
                <w:szCs w:val="21"/>
              </w:rPr>
              <w:t>电池续航</w:t>
            </w:r>
            <w:r>
              <w:rPr>
                <w:rFonts w:hint="eastAsia" w:ascii="仿宋" w:hAnsi="仿宋" w:eastAsia="仿宋"/>
                <w:szCs w:val="21"/>
                <w:lang w:eastAsia="zh-CN"/>
              </w:rPr>
              <w:t>：</w:t>
            </w:r>
            <w:r>
              <w:rPr>
                <w:rFonts w:ascii="仿宋" w:hAnsi="仿宋" w:eastAsia="仿宋"/>
                <w:szCs w:val="21"/>
              </w:rPr>
              <w:t>电池在-20°C至-30°C环境下</w:t>
            </w:r>
            <w:r>
              <w:rPr>
                <w:rFonts w:hint="eastAsia" w:ascii="仿宋" w:hAnsi="仿宋" w:eastAsia="仿宋"/>
                <w:szCs w:val="21"/>
                <w:lang w:eastAsia="zh-CN"/>
              </w:rPr>
              <w:t>，</w:t>
            </w:r>
            <w:r>
              <w:rPr>
                <w:rFonts w:ascii="仿宋" w:hAnsi="仿宋" w:eastAsia="仿宋"/>
                <w:szCs w:val="21"/>
              </w:rPr>
              <w:t>续航时间</w:t>
            </w:r>
            <w:r>
              <w:rPr>
                <w:rFonts w:hint="eastAsia" w:ascii="仿宋" w:hAnsi="仿宋" w:eastAsia="仿宋"/>
                <w:szCs w:val="21"/>
                <w:lang w:val="en-US" w:eastAsia="zh-CN"/>
              </w:rPr>
              <w:t>为</w:t>
            </w:r>
            <w:r>
              <w:rPr>
                <w:rFonts w:ascii="仿宋" w:hAnsi="仿宋" w:eastAsia="仿宋"/>
                <w:szCs w:val="21"/>
              </w:rPr>
              <w:t>8小时至12小时，支持快速充电或自动充电。</w:t>
            </w:r>
          </w:p>
        </w:tc>
      </w:tr>
      <w:tr w14:paraId="09842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jc w:val="center"/>
        </w:trPr>
        <w:tc>
          <w:tcPr>
            <w:tcW w:w="2097" w:type="dxa"/>
            <w:tcBorders>
              <w:top w:val="single" w:color="auto" w:sz="4" w:space="0"/>
              <w:left w:val="single" w:color="auto" w:sz="4" w:space="0"/>
              <w:bottom w:val="single" w:color="auto" w:sz="4" w:space="0"/>
              <w:right w:val="single" w:color="auto" w:sz="4" w:space="0"/>
            </w:tcBorders>
            <w:vAlign w:val="center"/>
          </w:tcPr>
          <w:p w14:paraId="30BA60FF">
            <w:pPr>
              <w:spacing w:line="320" w:lineRule="exact"/>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tcPr>
          <w:p w14:paraId="6AE40606">
            <w:pPr>
              <w:spacing w:line="320" w:lineRule="exact"/>
              <w:rPr>
                <w:rFonts w:ascii="Times New Roman" w:hAnsi="Times New Roman" w:eastAsia="仿宋_GB2312" w:cs="Times New Roman"/>
                <w:color w:val="000000" w:themeColor="text1"/>
                <w:kern w:val="0"/>
                <w:szCs w:val="21"/>
                <w14:textFill>
                  <w14:solidFill>
                    <w14:schemeClr w14:val="tx1"/>
                  </w14:solidFill>
                </w14:textFill>
              </w:rPr>
            </w:pPr>
            <w:r>
              <w:rPr>
                <w:rFonts w:hint="eastAsia" w:ascii="Times New Roman" w:hAnsi="Times New Roman" w:eastAsia="仿宋_GB2312" w:cs="Times New Roman"/>
                <w:color w:val="000000" w:themeColor="text1"/>
                <w:kern w:val="0"/>
                <w:szCs w:val="21"/>
                <w14:textFill>
                  <w14:solidFill>
                    <w14:schemeClr w14:val="tx1"/>
                  </w14:solidFill>
                </w14:textFill>
              </w:rPr>
              <w:t>开放场景，采购或其他合作形式。市场空间巨大。</w:t>
            </w:r>
          </w:p>
        </w:tc>
        <w:tc>
          <w:tcPr>
            <w:tcW w:w="2377" w:type="dxa"/>
            <w:tcBorders>
              <w:top w:val="single" w:color="auto" w:sz="4" w:space="0"/>
              <w:left w:val="single" w:color="auto" w:sz="4" w:space="0"/>
              <w:bottom w:val="single" w:color="auto" w:sz="4" w:space="0"/>
              <w:right w:val="single" w:color="auto" w:sz="4" w:space="0"/>
            </w:tcBorders>
            <w:vAlign w:val="center"/>
          </w:tcPr>
          <w:p w14:paraId="00773634">
            <w:pPr>
              <w:spacing w:line="320" w:lineRule="exact"/>
              <w:jc w:val="center"/>
              <w:rPr>
                <w:rFonts w:ascii="Times New Roman" w:hAnsi="Times New Roman" w:eastAsia="仿宋_GB2312" w:cs="Times New Roman"/>
                <w:b/>
                <w:bCs/>
                <w:color w:val="000000" w:themeColor="text1"/>
                <w:kern w:val="0"/>
                <w:szCs w:val="21"/>
                <w14:textFill>
                  <w14:solidFill>
                    <w14:schemeClr w14:val="tx1"/>
                  </w14:solidFill>
                </w14:textFill>
              </w:rPr>
            </w:pPr>
            <w:r>
              <w:rPr>
                <w:rFonts w:hint="eastAsia" w:ascii="Times New Roman" w:hAnsi="Times New Roman" w:eastAsia="仿宋_GB2312" w:cs="Times New Roman"/>
                <w:b/>
                <w:bCs/>
                <w:color w:val="000000" w:themeColor="text1"/>
                <w:kern w:val="0"/>
                <w:szCs w:val="21"/>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14:paraId="656FEB52">
            <w:pPr>
              <w:spacing w:line="320" w:lineRule="exact"/>
              <w:ind w:firstLine="420" w:firstLineChars="200"/>
              <w:rPr>
                <w:rFonts w:ascii="Times New Roman" w:hAnsi="Times New Roman" w:eastAsia="仿宋_GB2312" w:cs="Times New Roman"/>
                <w:color w:val="000000" w:themeColor="text1"/>
                <w:kern w:val="0"/>
                <w:szCs w:val="21"/>
                <w14:textFill>
                  <w14:solidFill>
                    <w14:schemeClr w14:val="tx1"/>
                  </w14:solidFill>
                </w14:textFill>
              </w:rPr>
            </w:pPr>
            <w:r>
              <w:rPr>
                <w:rFonts w:hint="eastAsia" w:ascii="Times New Roman" w:hAnsi="Times New Roman" w:eastAsia="仿宋_GB2312" w:cs="Times New Roman"/>
                <w:color w:val="000000" w:themeColor="text1"/>
                <w:kern w:val="0"/>
                <w:szCs w:val="21"/>
                <w14:textFill>
                  <w14:solidFill>
                    <w14:schemeClr w14:val="tx1"/>
                  </w14:solidFill>
                </w14:textFill>
              </w:rPr>
              <w:t>1年</w:t>
            </w:r>
          </w:p>
        </w:tc>
      </w:tr>
      <w:tr w14:paraId="64FE9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2097" w:type="dxa"/>
            <w:tcBorders>
              <w:top w:val="single" w:color="auto" w:sz="4" w:space="0"/>
              <w:left w:val="single" w:color="auto" w:sz="4" w:space="0"/>
              <w:bottom w:val="single" w:color="auto" w:sz="4" w:space="0"/>
              <w:right w:val="single" w:color="auto" w:sz="4" w:space="0"/>
            </w:tcBorders>
            <w:vAlign w:val="center"/>
          </w:tcPr>
          <w:p w14:paraId="1445A73A">
            <w:pPr>
              <w:snapToGrid w:val="0"/>
              <w:spacing w:line="320" w:lineRule="exact"/>
              <w:jc w:val="center"/>
              <w:rPr>
                <w:rFonts w:ascii="仿宋" w:hAnsi="仿宋" w:eastAsia="仿宋" w:cs="Times New Roman"/>
                <w:b/>
                <w:bCs/>
                <w:color w:val="000000" w:themeColor="text1"/>
                <w:kern w:val="0"/>
                <w:sz w:val="24"/>
                <w:szCs w:val="24"/>
                <w14:textFill>
                  <w14:solidFill>
                    <w14:schemeClr w14:val="tx1"/>
                  </w14:solidFill>
                </w14:textFill>
              </w:rPr>
            </w:pPr>
            <w:r>
              <w:rPr>
                <w:rFonts w:hint="eastAsia" w:ascii="仿宋" w:hAnsi="仿宋" w:eastAsia="仿宋" w:cs="Times New Roman"/>
                <w:b/>
                <w:bCs/>
                <w:color w:val="000000" w:themeColor="text1"/>
                <w:kern w:val="0"/>
                <w:sz w:val="24"/>
                <w:szCs w:val="24"/>
                <w14:textFill>
                  <w14:solidFill>
                    <w14:schemeClr w14:val="tx1"/>
                  </w14:solidFill>
                </w14:textFill>
              </w:rPr>
              <w:t>应用现状</w:t>
            </w:r>
          </w:p>
        </w:tc>
        <w:tc>
          <w:tcPr>
            <w:tcW w:w="7413" w:type="dxa"/>
            <w:gridSpan w:val="3"/>
            <w:tcBorders>
              <w:top w:val="single" w:color="auto" w:sz="4" w:space="0"/>
              <w:left w:val="single" w:color="auto" w:sz="4" w:space="0"/>
              <w:bottom w:val="single" w:color="auto" w:sz="4" w:space="0"/>
              <w:right w:val="single" w:color="auto" w:sz="4" w:space="0"/>
            </w:tcBorders>
          </w:tcPr>
          <w:p w14:paraId="7A6E6E67">
            <w:pPr>
              <w:rPr>
                <w:rFonts w:ascii="仿宋" w:hAnsi="仿宋" w:eastAsia="仿宋" w:cs="方正仿宋简体"/>
                <w:szCs w:val="21"/>
              </w:rPr>
            </w:pPr>
            <w:r>
              <w:rPr>
                <w:rFonts w:ascii="仿宋" w:hAnsi="仿宋" w:eastAsia="仿宋"/>
                <w:szCs w:val="21"/>
              </w:rPr>
              <w:t>在欧美等发达地区，冷库高叉机器人的渗透率较高，尤其在食品和医药行业，部分企业的自动化率已超过50%。例如亚马逊、沃尔玛等巨头在其冷链仓储中广泛应用高叉机器人，显著提升了效率和准确性。中国冷链物流的自动化水平相对较低，但增速显著</w:t>
            </w:r>
            <w:r>
              <w:rPr>
                <w:rFonts w:hint="eastAsia" w:ascii="仿宋" w:hAnsi="仿宋" w:eastAsia="仿宋"/>
                <w:szCs w:val="21"/>
              </w:rPr>
              <w:t>，</w:t>
            </w:r>
            <w:r>
              <w:rPr>
                <w:rFonts w:ascii="仿宋" w:hAnsi="仿宋" w:eastAsia="仿宋"/>
                <w:szCs w:val="21"/>
              </w:rPr>
              <w:t>目前高叉机器人在冷链场景的渗透率约为10%-15%，预计未来五年将提升30%以上。京东、顺丰等企业在部分冷链仓储中试点高叉机器人，取得了良好的效果。同时也会面临相关挑战，例如在低温环境对机器人的电池寿命和材料性能提出更高要求； 冷库内湿度变化可能导致传感器精度下降；高叉机器人的初始投资较高，中小企业可能难以承受；维护和升级成本较高；</w:t>
            </w:r>
            <w:r>
              <w:rPr>
                <w:rFonts w:ascii="Calibri" w:hAnsi="Calibri" w:eastAsia="仿宋" w:cs="Calibri"/>
                <w:szCs w:val="21"/>
              </w:rPr>
              <w:t>  </w:t>
            </w:r>
            <w:r>
              <w:rPr>
                <w:rFonts w:ascii="仿宋" w:hAnsi="仿宋" w:eastAsia="仿宋"/>
                <w:szCs w:val="21"/>
              </w:rPr>
              <w:t>冷库场景的多样性和非标化需求增加了机器人定制化开发的难度，行业缺乏统一的技术标准和安全规范等待问题。尽管面临技术、成本和标准化等挑战，但随着技术进步和市场需求的增长，未来这一领域的应用将更加广泛和深入。</w:t>
            </w:r>
          </w:p>
        </w:tc>
      </w:tr>
      <w:tr w14:paraId="362D6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2097" w:type="dxa"/>
            <w:tcBorders>
              <w:top w:val="single" w:color="auto" w:sz="4" w:space="0"/>
              <w:left w:val="single" w:color="auto" w:sz="4" w:space="0"/>
              <w:bottom w:val="single" w:color="auto" w:sz="4" w:space="0"/>
              <w:right w:val="single" w:color="auto" w:sz="4" w:space="0"/>
            </w:tcBorders>
            <w:vAlign w:val="center"/>
          </w:tcPr>
          <w:p w14:paraId="519C8C27">
            <w:pPr>
              <w:snapToGrid w:val="0"/>
              <w:spacing w:line="320" w:lineRule="exact"/>
              <w:jc w:val="center"/>
              <w:rPr>
                <w:rFonts w:ascii="仿宋" w:hAnsi="仿宋" w:eastAsia="仿宋" w:cs="Times New Roman"/>
                <w:color w:val="000000" w:themeColor="text1"/>
                <w:kern w:val="0"/>
                <w:sz w:val="24"/>
                <w:szCs w:val="24"/>
                <w14:textFill>
                  <w14:solidFill>
                    <w14:schemeClr w14:val="tx1"/>
                  </w14:solidFill>
                </w14:textFill>
              </w:rPr>
            </w:pPr>
            <w:r>
              <w:rPr>
                <w:rFonts w:hint="eastAsia" w:ascii="仿宋" w:hAnsi="仿宋" w:eastAsia="仿宋" w:cs="Times New Roman"/>
                <w:color w:val="000000" w:themeColor="text1"/>
                <w:kern w:val="0"/>
                <w:sz w:val="24"/>
                <w:szCs w:val="24"/>
                <w14:textFill>
                  <w14:solidFill>
                    <w14:schemeClr w14:val="tx1"/>
                  </w14:solidFill>
                </w14:textFill>
              </w:rPr>
              <w:t>潜在规模</w:t>
            </w:r>
          </w:p>
        </w:tc>
        <w:tc>
          <w:tcPr>
            <w:tcW w:w="7413" w:type="dxa"/>
            <w:gridSpan w:val="3"/>
            <w:tcBorders>
              <w:top w:val="single" w:color="auto" w:sz="4" w:space="0"/>
              <w:left w:val="single" w:color="auto" w:sz="4" w:space="0"/>
              <w:bottom w:val="single" w:color="auto" w:sz="4" w:space="0"/>
              <w:right w:val="single" w:color="auto" w:sz="4" w:space="0"/>
            </w:tcBorders>
          </w:tcPr>
          <w:p w14:paraId="764D45B8">
            <w:pPr>
              <w:spacing w:line="320" w:lineRule="exact"/>
              <w:rPr>
                <w:rFonts w:ascii="仿宋" w:hAnsi="仿宋" w:eastAsia="仿宋" w:cs="方正仿宋简体"/>
                <w:szCs w:val="21"/>
              </w:rPr>
            </w:pPr>
            <w:r>
              <w:rPr>
                <w:rFonts w:ascii="仿宋" w:hAnsi="仿宋" w:eastAsia="仿宋"/>
                <w:szCs w:val="21"/>
              </w:rPr>
              <w:t>2025年全球仓储物流机器人市场规模预计达到近500亿美元，年复合增长率约20%，中国仓储物流机器人市场规模预计2025年达200亿至500亿元人民币，占全球份额的40%以上，主要得益于电商和制造业的自动化需求。仓储物流机器人在电商领域的应用比例已达30%以上，而冷链作为高附加值领域，自动化需求更高，预计高叉机器人的渗透率将逐步接近或超过电商水平。假设冷链仓储自动化设备投资占冷链物流总规模的5%-10%（参考行业平均），则2025年冷链自动化设备市场规模约为450亿至900亿元，其中高叉机器人作为核心设备之一，预计占比约10%-20%，即45亿至180亿元。尽管具体数据有限，但结合冷链行业的快速增长和自动化渗透率提升，这一细分市场潜力巨大。截至2024年，万纬物流的冷链仓储规模位列全国第一，冷库可租赁建筑面积达150万平方米，占国内高标冷库市场份额的</w:t>
            </w:r>
            <w:r>
              <w:rPr>
                <w:bCs/>
                <w:szCs w:val="21"/>
              </w:rPr>
              <w:t>10.1%</w:t>
            </w:r>
            <w:r>
              <w:rPr>
                <w:rFonts w:ascii="仿宋" w:hAnsi="仿宋" w:eastAsia="仿宋"/>
                <w:szCs w:val="21"/>
              </w:rPr>
              <w:t>，连续多年保持行业领先地位</w:t>
            </w:r>
            <w:r>
              <w:rPr>
                <w:rFonts w:hint="eastAsia" w:ascii="仿宋" w:hAnsi="仿宋" w:eastAsia="仿宋"/>
                <w:szCs w:val="21"/>
              </w:rPr>
              <w:t>，</w:t>
            </w:r>
            <w:r>
              <w:rPr>
                <w:rFonts w:ascii="仿宋" w:hAnsi="仿宋" w:eastAsia="仿宋"/>
                <w:szCs w:val="21"/>
              </w:rPr>
              <w:t>连续三年增速超过30%</w:t>
            </w:r>
            <w:r>
              <w:rPr>
                <w:rFonts w:hint="eastAsia" w:ascii="仿宋" w:hAnsi="仿宋" w:eastAsia="仿宋"/>
                <w:szCs w:val="21"/>
              </w:rPr>
              <w:t>。</w:t>
            </w:r>
          </w:p>
        </w:tc>
      </w:tr>
      <w:tr w14:paraId="7AFE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7" w:hRule="atLeast"/>
          <w:jc w:val="center"/>
        </w:trPr>
        <w:tc>
          <w:tcPr>
            <w:tcW w:w="2097" w:type="dxa"/>
            <w:tcBorders>
              <w:top w:val="single" w:color="auto" w:sz="4" w:space="0"/>
              <w:left w:val="single" w:color="auto" w:sz="4" w:space="0"/>
              <w:bottom w:val="single" w:color="auto" w:sz="4" w:space="0"/>
              <w:right w:val="single" w:color="auto" w:sz="4" w:space="0"/>
            </w:tcBorders>
            <w:vAlign w:val="center"/>
          </w:tcPr>
          <w:p w14:paraId="0656BD23">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建设基础</w:t>
            </w:r>
          </w:p>
        </w:tc>
        <w:tc>
          <w:tcPr>
            <w:tcW w:w="7413" w:type="dxa"/>
            <w:gridSpan w:val="3"/>
            <w:tcBorders>
              <w:top w:val="single" w:color="auto" w:sz="4" w:space="0"/>
              <w:left w:val="single" w:color="auto" w:sz="4" w:space="0"/>
              <w:bottom w:val="single" w:color="auto" w:sz="4" w:space="0"/>
              <w:right w:val="single" w:color="auto" w:sz="4" w:space="0"/>
            </w:tcBorders>
          </w:tcPr>
          <w:p w14:paraId="38FF7DEA">
            <w:pPr>
              <w:spacing w:line="320" w:lineRule="exact"/>
              <w:rPr>
                <w:rFonts w:ascii="Times New Roman" w:hAnsi="Times New Roman" w:eastAsia="仿宋_GB2312" w:cs="Times New Roman"/>
                <w:color w:val="000000" w:themeColor="text1"/>
                <w:kern w:val="0"/>
                <w:szCs w:val="21"/>
                <w14:textFill>
                  <w14:solidFill>
                    <w14:schemeClr w14:val="tx1"/>
                  </w14:solidFill>
                </w14:textFill>
              </w:rPr>
            </w:pPr>
            <w:r>
              <w:rPr>
                <w:rFonts w:ascii="仿宋" w:hAnsi="仿宋" w:eastAsia="仿宋"/>
                <w:szCs w:val="21"/>
              </w:rPr>
              <w:t>万纬物流在全国多个冷链园区引入了自动化仓储系统，包括自动化立体库、智能分拣系统等，表明其对仓储自动化的重视</w:t>
            </w:r>
            <w:r>
              <w:rPr>
                <w:rFonts w:hint="eastAsia" w:ascii="仿宋" w:hAnsi="仿宋" w:eastAsia="仿宋"/>
                <w:szCs w:val="21"/>
              </w:rPr>
              <w:t>，筹备</w:t>
            </w:r>
            <w:r>
              <w:rPr>
                <w:rFonts w:ascii="仿宋" w:hAnsi="仿宋" w:eastAsia="仿宋"/>
                <w:szCs w:val="21"/>
              </w:rPr>
              <w:t>与国内外仓储机器人企业（如海康机器人、极智嘉、快仓等）合作，探索高叉操作机器人在冷库中的应用。</w:t>
            </w:r>
          </w:p>
        </w:tc>
      </w:tr>
      <w:tr w14:paraId="56C8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6" w:hRule="atLeast"/>
          <w:jc w:val="center"/>
        </w:trPr>
        <w:tc>
          <w:tcPr>
            <w:tcW w:w="2097" w:type="dxa"/>
            <w:tcBorders>
              <w:top w:val="single" w:color="auto" w:sz="4" w:space="0"/>
              <w:left w:val="single" w:color="auto" w:sz="4" w:space="0"/>
              <w:bottom w:val="single" w:color="auto" w:sz="4" w:space="0"/>
              <w:right w:val="single" w:color="auto" w:sz="4" w:space="0"/>
            </w:tcBorders>
            <w:vAlign w:val="center"/>
          </w:tcPr>
          <w:p w14:paraId="4F24CB83">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实施成效</w:t>
            </w:r>
          </w:p>
        </w:tc>
        <w:tc>
          <w:tcPr>
            <w:tcW w:w="7413" w:type="dxa"/>
            <w:gridSpan w:val="3"/>
            <w:tcBorders>
              <w:top w:val="single" w:color="auto" w:sz="4" w:space="0"/>
              <w:left w:val="single" w:color="auto" w:sz="4" w:space="0"/>
              <w:bottom w:val="single" w:color="auto" w:sz="4" w:space="0"/>
              <w:right w:val="single" w:color="auto" w:sz="4" w:space="0"/>
            </w:tcBorders>
          </w:tcPr>
          <w:p w14:paraId="0BA9F954">
            <w:pPr>
              <w:spacing w:line="320" w:lineRule="exact"/>
              <w:rPr>
                <w:rFonts w:ascii="仿宋_GB2312" w:hAnsi="Times New Roman" w:eastAsia="仿宋_GB2312" w:cs="方正仿宋简体"/>
                <w:szCs w:val="21"/>
              </w:rPr>
            </w:pPr>
            <w:r>
              <w:rPr>
                <w:rFonts w:ascii="仿宋" w:hAnsi="仿宋" w:eastAsia="仿宋"/>
                <w:szCs w:val="21"/>
              </w:rPr>
              <w:t>冷库中使用机器人进行高叉作业，不仅能提高效率、降低成本，还能改善工作环境、促进就业转型，并带来环保效益，推动行业进步。</w:t>
            </w:r>
          </w:p>
        </w:tc>
      </w:tr>
    </w:tbl>
    <w:p w14:paraId="0437E3EF">
      <w:pPr>
        <w:rPr>
          <w:rFonts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roman"/>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7C47D8"/>
    <w:multiLevelType w:val="multilevel"/>
    <w:tmpl w:val="6B7C47D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43B"/>
    <w:rsid w:val="00082B29"/>
    <w:rsid w:val="000A3374"/>
    <w:rsid w:val="000A3922"/>
    <w:rsid w:val="000A4A4B"/>
    <w:rsid w:val="000F4C66"/>
    <w:rsid w:val="001242F7"/>
    <w:rsid w:val="0012565C"/>
    <w:rsid w:val="00185040"/>
    <w:rsid w:val="001B4EAD"/>
    <w:rsid w:val="001E5EAA"/>
    <w:rsid w:val="00205DBC"/>
    <w:rsid w:val="00222ADC"/>
    <w:rsid w:val="002265FE"/>
    <w:rsid w:val="00292980"/>
    <w:rsid w:val="002F78B7"/>
    <w:rsid w:val="00306F2C"/>
    <w:rsid w:val="00311965"/>
    <w:rsid w:val="00332384"/>
    <w:rsid w:val="00372057"/>
    <w:rsid w:val="00386913"/>
    <w:rsid w:val="003A5D67"/>
    <w:rsid w:val="003D3237"/>
    <w:rsid w:val="004063FD"/>
    <w:rsid w:val="00452DDD"/>
    <w:rsid w:val="00457E50"/>
    <w:rsid w:val="004814C2"/>
    <w:rsid w:val="004C7EB3"/>
    <w:rsid w:val="004E0182"/>
    <w:rsid w:val="004E0553"/>
    <w:rsid w:val="00512D71"/>
    <w:rsid w:val="005153B7"/>
    <w:rsid w:val="00517F41"/>
    <w:rsid w:val="00552DA0"/>
    <w:rsid w:val="0056248C"/>
    <w:rsid w:val="005A32C2"/>
    <w:rsid w:val="005A38BE"/>
    <w:rsid w:val="005B7FBF"/>
    <w:rsid w:val="005F1C89"/>
    <w:rsid w:val="005F7413"/>
    <w:rsid w:val="006061F8"/>
    <w:rsid w:val="00661515"/>
    <w:rsid w:val="00665FDC"/>
    <w:rsid w:val="00684032"/>
    <w:rsid w:val="006A0DDF"/>
    <w:rsid w:val="006C343B"/>
    <w:rsid w:val="006D112F"/>
    <w:rsid w:val="006E63EF"/>
    <w:rsid w:val="006F5E0B"/>
    <w:rsid w:val="00751207"/>
    <w:rsid w:val="007807BE"/>
    <w:rsid w:val="007830CB"/>
    <w:rsid w:val="007B6657"/>
    <w:rsid w:val="007D3ADA"/>
    <w:rsid w:val="00863FF8"/>
    <w:rsid w:val="00865AAB"/>
    <w:rsid w:val="00893BD5"/>
    <w:rsid w:val="008B2511"/>
    <w:rsid w:val="008B7AAB"/>
    <w:rsid w:val="008D6FE9"/>
    <w:rsid w:val="00936F90"/>
    <w:rsid w:val="009A4411"/>
    <w:rsid w:val="009E7641"/>
    <w:rsid w:val="00A00B41"/>
    <w:rsid w:val="00A07B12"/>
    <w:rsid w:val="00A321DC"/>
    <w:rsid w:val="00A413AF"/>
    <w:rsid w:val="00A464B4"/>
    <w:rsid w:val="00A67743"/>
    <w:rsid w:val="00A95634"/>
    <w:rsid w:val="00AC53E3"/>
    <w:rsid w:val="00AD5859"/>
    <w:rsid w:val="00B1112F"/>
    <w:rsid w:val="00B17A10"/>
    <w:rsid w:val="00B40814"/>
    <w:rsid w:val="00B4608E"/>
    <w:rsid w:val="00B76C08"/>
    <w:rsid w:val="00BD712D"/>
    <w:rsid w:val="00C15A05"/>
    <w:rsid w:val="00C418C9"/>
    <w:rsid w:val="00C53D1F"/>
    <w:rsid w:val="00C950F2"/>
    <w:rsid w:val="00CA1A59"/>
    <w:rsid w:val="00CA333D"/>
    <w:rsid w:val="00CB269D"/>
    <w:rsid w:val="00D15730"/>
    <w:rsid w:val="00D57E8E"/>
    <w:rsid w:val="00D85099"/>
    <w:rsid w:val="00DA2BF5"/>
    <w:rsid w:val="00DF63D5"/>
    <w:rsid w:val="00E33726"/>
    <w:rsid w:val="00E75083"/>
    <w:rsid w:val="00EA3FFA"/>
    <w:rsid w:val="00F57A7F"/>
    <w:rsid w:val="00F601B2"/>
    <w:rsid w:val="00F9349A"/>
    <w:rsid w:val="00F934E7"/>
    <w:rsid w:val="00FD2143"/>
    <w:rsid w:val="00FE290B"/>
    <w:rsid w:val="01F0403A"/>
    <w:rsid w:val="055D427A"/>
    <w:rsid w:val="17D23921"/>
    <w:rsid w:val="1DD06378"/>
    <w:rsid w:val="1E8C2D66"/>
    <w:rsid w:val="277D3FBB"/>
    <w:rsid w:val="2CC76418"/>
    <w:rsid w:val="2E117847"/>
    <w:rsid w:val="31B50D20"/>
    <w:rsid w:val="47AE3D1F"/>
    <w:rsid w:val="4DDFF696"/>
    <w:rsid w:val="4F151527"/>
    <w:rsid w:val="5E776CE7"/>
    <w:rsid w:val="67495B4D"/>
    <w:rsid w:val="73CE4A02"/>
    <w:rsid w:val="7AED4684"/>
    <w:rsid w:val="7B39F76B"/>
    <w:rsid w:val="BBDF3A71"/>
    <w:rsid w:val="BBFF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semiHidden/>
    <w:unhideWhenUsed/>
    <w:qFormat/>
    <w:uiPriority w:val="99"/>
    <w:pPr>
      <w:spacing w:after="120"/>
    </w:pPr>
  </w:style>
  <w:style w:type="paragraph" w:styleId="3">
    <w:name w:val="Body Text Indent 2"/>
    <w:basedOn w:val="1"/>
    <w:link w:val="15"/>
    <w:unhideWhenUsed/>
    <w:qFormat/>
    <w:uiPriority w:val="99"/>
    <w:pPr>
      <w:spacing w:after="120" w:line="480" w:lineRule="auto"/>
      <w:ind w:left="420" w:leftChars="2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paragraph" w:customStyle="1" w:styleId="13">
    <w:name w:val="样式1"/>
    <w:basedOn w:val="2"/>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4">
    <w:name w:val="正文文本 字符"/>
    <w:basedOn w:val="8"/>
    <w:link w:val="2"/>
    <w:semiHidden/>
    <w:qFormat/>
    <w:uiPriority w:val="99"/>
  </w:style>
  <w:style w:type="character" w:customStyle="1" w:styleId="15">
    <w:name w:val="正文文本缩进 2 字符"/>
    <w:basedOn w:val="8"/>
    <w:link w:val="3"/>
    <w:qFormat/>
    <w:uiPriority w:val="99"/>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2086</Words>
  <Characters>2267</Characters>
  <Lines>17</Lines>
  <Paragraphs>4</Paragraphs>
  <TotalTime>5</TotalTime>
  <ScaleCrop>false</ScaleCrop>
  <LinksUpToDate>false</LinksUpToDate>
  <CharactersWithSpaces>2297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2025-03-12T14:08:00Z</dcterms:created>
  <dc:creator>张平</dc:creator>
  <cp:lastModifiedBy>SRA小助手</cp:lastModifiedBy>
  <dcterms:modified xsi:type="dcterms:W3CDTF">2026-06-11T06:30:27Z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DB0C0C90CC40413D9A664E6BEB4077C0_13</vt:lpwstr>
  </property>
  <property fmtid="{D5CDD505-2E9C-101B-9397-08002B2CF9AE}" pid="4" name="KSOTemplateDocerSaveRecord">
    <vt:lpwstr>eyJoZGlkIjoiNzg3OTczNzI0ZWJiZjRjNDQ5ZjMxYzE5NzFmNzE4MjMiLCJ1c2VySWQiOiIxMzA2Mzc0OTg5In0=</vt:lpwstr>
  </property>
</Properties>
</file>