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156" w:beforeLines="50" w:after="156" w:afterLines="50"/>
        <w:jc w:val="center"/>
        <w:rPr>
          <w:rFonts w:hint="eastAsia" w:ascii="黑体" w:hAnsi="黑体" w:eastAsia="黑体"/>
          <w:sz w:val="32"/>
        </w:rPr>
      </w:pPr>
      <w:r>
        <w:rPr>
          <w:rFonts w:hint="eastAsia" w:ascii="黑体" w:hAnsi="黑体" w:eastAsia="黑体"/>
          <w:sz w:val="32"/>
        </w:rPr>
        <w:t>深圳市南山区机器人应用场景征集表</w:t>
      </w:r>
    </w:p>
    <w:tbl>
      <w:tblPr>
        <w:tblStyle w:val="8"/>
        <w:tblW w:w="92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857"/>
        <w:gridCol w:w="2657"/>
        <w:gridCol w:w="2377"/>
        <w:gridCol w:w="23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jc w:val="center"/>
        </w:trPr>
        <w:tc>
          <w:tcPr>
            <w:tcW w:w="1857" w:type="dxa"/>
            <w:tcBorders>
              <w:top w:val="single" w:color="auto" w:sz="4" w:space="0"/>
              <w:left w:val="single" w:color="auto" w:sz="4" w:space="0"/>
              <w:bottom w:val="single" w:color="auto" w:sz="4" w:space="0"/>
              <w:right w:val="single" w:color="auto" w:sz="4" w:space="0"/>
            </w:tcBorders>
            <w:vAlign w:val="center"/>
          </w:tcPr>
          <w:p>
            <w:pPr>
              <w:snapToGrid w:val="0"/>
              <w:spacing w:line="240" w:lineRule="auto"/>
              <w:jc w:val="center"/>
              <w:rPr>
                <w:rFonts w:ascii="Times New Roman" w:hAnsi="Times New Roman" w:eastAsia="仿宋_GB2312" w:cs="Times New Roman"/>
                <w:color w:val="000000" w:themeColor="text1"/>
                <w:sz w:val="24"/>
                <w14:textFill>
                  <w14:solidFill>
                    <w14:schemeClr w14:val="tx1"/>
                  </w14:solidFill>
                </w14:textFill>
              </w:rPr>
            </w:pPr>
            <w:r>
              <w:rPr>
                <w:rFonts w:hint="eastAsia" w:ascii="Times New Roman" w:hAnsi="Times New Roman" w:eastAsia="仿宋_GB2312" w:cs="Times New Roman"/>
                <w:b/>
                <w:bCs/>
                <w:color w:val="000000" w:themeColor="text1"/>
                <w:sz w:val="24"/>
                <w14:textFill>
                  <w14:solidFill>
                    <w14:schemeClr w14:val="tx1"/>
                  </w14:solidFill>
                </w14:textFill>
              </w:rPr>
              <w:t>需求名称</w:t>
            </w:r>
          </w:p>
        </w:tc>
        <w:tc>
          <w:tcPr>
            <w:tcW w:w="7413" w:type="dxa"/>
            <w:gridSpan w:val="3"/>
            <w:tcBorders>
              <w:top w:val="single" w:color="auto" w:sz="4" w:space="0"/>
              <w:left w:val="single" w:color="auto" w:sz="4" w:space="0"/>
              <w:bottom w:val="single" w:color="auto" w:sz="4" w:space="0"/>
              <w:right w:val="single" w:color="auto" w:sz="4" w:space="0"/>
            </w:tcBorders>
            <w:vAlign w:val="center"/>
          </w:tcPr>
          <w:p>
            <w:pPr>
              <w:spacing w:line="240" w:lineRule="auto"/>
              <w:jc w:val="both"/>
              <w:rPr>
                <w:rFonts w:ascii="Times New Roman" w:hAnsi="Times New Roman" w:eastAsia="仿宋_GB2312" w:cs="Times New Roman"/>
                <w:color w:val="000000" w:themeColor="text1"/>
                <w:kern w:val="0"/>
                <w:sz w:val="24"/>
                <w:szCs w:val="24"/>
                <w14:textFill>
                  <w14:solidFill>
                    <w14:schemeClr w14:val="tx1"/>
                  </w14:solidFill>
                </w14:textFill>
              </w:rPr>
            </w:pPr>
            <w:r>
              <w:rPr>
                <w:rFonts w:hint="eastAsia" w:ascii="Times New Roman" w:hAnsi="Times New Roman" w:eastAsia="仿宋_GB2312" w:cs="Times New Roman"/>
                <w:color w:val="000000" w:themeColor="text1"/>
                <w:kern w:val="0"/>
                <w:sz w:val="24"/>
                <w:szCs w:val="24"/>
                <w14:textFill>
                  <w14:solidFill>
                    <w14:schemeClr w14:val="tx1"/>
                  </w14:solidFill>
                </w14:textFill>
              </w:rPr>
              <w:t>面向智能终端柔性制造的产线作业机器人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21" w:hRule="atLeast"/>
          <w:jc w:val="center"/>
        </w:trPr>
        <w:tc>
          <w:tcPr>
            <w:tcW w:w="1857" w:type="dxa"/>
            <w:tcBorders>
              <w:top w:val="single" w:color="auto" w:sz="4" w:space="0"/>
              <w:left w:val="single" w:color="auto" w:sz="4" w:space="0"/>
              <w:bottom w:val="single" w:color="auto" w:sz="4" w:space="0"/>
              <w:right w:val="single" w:color="auto" w:sz="4" w:space="0"/>
            </w:tcBorders>
            <w:vAlign w:val="center"/>
          </w:tcPr>
          <w:p>
            <w:pPr>
              <w:snapToGrid w:val="0"/>
              <w:spacing w:line="240" w:lineRule="auto"/>
              <w:jc w:val="center"/>
              <w:rPr>
                <w:rFonts w:ascii="Times New Roman" w:hAnsi="Times New Roman" w:eastAsia="仿宋_GB2312" w:cs="Times New Roman"/>
                <w:color w:val="000000" w:themeColor="text1"/>
                <w:kern w:val="0"/>
                <w:sz w:val="24"/>
                <w:szCs w:val="24"/>
                <w14:textFill>
                  <w14:solidFill>
                    <w14:schemeClr w14:val="tx1"/>
                  </w14:solidFill>
                </w14:textFill>
              </w:rPr>
            </w:pPr>
            <w:r>
              <w:rPr>
                <w:rFonts w:hint="eastAsia" w:ascii="Times New Roman" w:hAnsi="Times New Roman" w:eastAsia="仿宋_GB2312" w:cs="Times New Roman"/>
                <w:b/>
                <w:bCs/>
                <w:color w:val="000000" w:themeColor="text1"/>
                <w:kern w:val="0"/>
                <w:sz w:val="24"/>
                <w:szCs w:val="24"/>
                <w14:textFill>
                  <w14:solidFill>
                    <w14:schemeClr w14:val="tx1"/>
                  </w14:solidFill>
                </w14:textFill>
              </w:rPr>
              <w:t>应用场景</w:t>
            </w:r>
          </w:p>
        </w:tc>
        <w:tc>
          <w:tcPr>
            <w:tcW w:w="7413" w:type="dxa"/>
            <w:gridSpan w:val="3"/>
            <w:tcBorders>
              <w:top w:val="single" w:color="auto" w:sz="4" w:space="0"/>
              <w:left w:val="single" w:color="auto" w:sz="4" w:space="0"/>
              <w:bottom w:val="single" w:color="auto" w:sz="4" w:space="0"/>
              <w:right w:val="single" w:color="auto" w:sz="4" w:space="0"/>
            </w:tcBorders>
          </w:tcPr>
          <w:p>
            <w:pPr>
              <w:numPr>
                <w:ilvl w:val="0"/>
                <w:numId w:val="1"/>
              </w:numPr>
              <w:snapToGrid w:val="0"/>
              <w:spacing w:line="240" w:lineRule="auto"/>
              <w:ind w:firstLine="480" w:firstLineChars="200"/>
              <w:rPr>
                <w:rFonts w:hint="default" w:ascii="Times New Roman" w:hAnsi="Times New Roman" w:eastAsia="仿宋_GB2312" w:cs="Times New Roman"/>
                <w:color w:val="000000" w:themeColor="text1"/>
                <w:sz w:val="24"/>
                <w:szCs w:val="24"/>
                <w:lang w:val="en-US" w:eastAsia="zh-CN"/>
                <w14:textFill>
                  <w14:solidFill>
                    <w14:schemeClr w14:val="tx1"/>
                  </w14:solidFill>
                </w14:textFill>
              </w:rPr>
            </w:pPr>
            <w:r>
              <w:rPr>
                <w:rFonts w:hint="eastAsia" w:ascii="Times New Roman" w:hAnsi="Times New Roman" w:eastAsia="仿宋_GB2312" w:cs="Times New Roman"/>
                <w:color w:val="000000" w:themeColor="text1"/>
                <w:sz w:val="24"/>
                <w:szCs w:val="24"/>
                <w:lang w:val="en-US" w:eastAsia="zh-CN"/>
                <w14:textFill>
                  <w14:solidFill>
                    <w14:schemeClr w14:val="tx1"/>
                  </w14:solidFill>
                </w14:textFill>
              </w:rPr>
              <w:t>现有场景基本情况：手机包装线的彩盒包装工艺，是指把组装好的机头，说明书，充电头，数据线，卡针等配件放进彩盒的过程。此工艺因为物料不规则，装配速度要求高，目前为人工作业</w:t>
            </w:r>
            <w:r>
              <w:rPr>
                <w:rFonts w:hint="default" w:ascii="Times New Roman" w:hAnsi="Times New Roman" w:eastAsia="仿宋_GB2312" w:cs="Times New Roman"/>
                <w:color w:val="000000" w:themeColor="text1"/>
                <w:sz w:val="24"/>
                <w:szCs w:val="24"/>
                <w:lang w:val="en-US" w:eastAsia="zh-CN"/>
                <w14:textFill>
                  <w14:solidFill>
                    <w14:schemeClr w14:val="tx1"/>
                  </w14:solidFill>
                </w14:textFill>
              </w:rPr>
              <w:t>。</w:t>
            </w:r>
          </w:p>
          <w:p>
            <w:pPr>
              <w:numPr>
                <w:ilvl w:val="0"/>
                <w:numId w:val="0"/>
              </w:numPr>
              <w:snapToGrid w:val="0"/>
              <w:spacing w:line="240" w:lineRule="auto"/>
              <w:ind w:firstLine="480" w:firstLineChars="200"/>
              <w:rPr>
                <w:rFonts w:hint="eastAsia" w:ascii="Times New Roman" w:hAnsi="Times New Roman" w:eastAsia="仿宋_GB2312" w:cs="Times New Roman"/>
                <w:color w:val="000000" w:themeColor="text1"/>
                <w:sz w:val="24"/>
                <w:szCs w:val="24"/>
                <w:lang w:val="en-US" w:eastAsia="zh-CN"/>
                <w14:textFill>
                  <w14:solidFill>
                    <w14:schemeClr w14:val="tx1"/>
                  </w14:solidFill>
                </w14:textFill>
              </w:rPr>
            </w:pPr>
            <w:r>
              <w:rPr>
                <w:rFonts w:hint="eastAsia" w:ascii="Times New Roman" w:hAnsi="Times New Roman" w:eastAsia="仿宋_GB2312" w:cs="Times New Roman"/>
                <w:color w:val="000000" w:themeColor="text1"/>
                <w:sz w:val="24"/>
                <w:szCs w:val="24"/>
                <w:lang w:val="en-US" w:eastAsia="zh-CN"/>
                <w14:textFill>
                  <w14:solidFill>
                    <w14:schemeClr w14:val="tx1"/>
                  </w14:solidFill>
                </w14:textFill>
              </w:rPr>
              <w:t>2. 现有场景作业方式：产线被设计成一条直线，每个工人固定在其中一个或少数几个相邻工位，重复执行单一或有限任务（如放机头、放配件）。物料通过传送带依次流过每个工位。现有包装线产线布局至少5人。</w:t>
            </w:r>
          </w:p>
          <w:p>
            <w:pPr>
              <w:numPr>
                <w:ilvl w:val="0"/>
                <w:numId w:val="0"/>
              </w:numPr>
              <w:snapToGrid w:val="0"/>
              <w:spacing w:line="240" w:lineRule="auto"/>
              <w:ind w:firstLine="480" w:firstLineChars="200"/>
              <w:rPr>
                <w:rFonts w:hint="eastAsia" w:ascii="Times New Roman" w:hAnsi="Times New Roman" w:eastAsia="仿宋_GB2312" w:cs="Times New Roman"/>
                <w:color w:val="000000" w:themeColor="text1"/>
                <w:sz w:val="24"/>
                <w:szCs w:val="24"/>
                <w:lang w:val="en-US" w:eastAsia="zh-CN"/>
                <w14:textFill>
                  <w14:solidFill>
                    <w14:schemeClr w14:val="tx1"/>
                  </w14:solidFill>
                </w14:textFill>
              </w:rPr>
            </w:pPr>
            <w:r>
              <w:rPr>
                <w:rFonts w:hint="eastAsia" w:ascii="Times New Roman" w:hAnsi="Times New Roman" w:eastAsia="仿宋_GB2312" w:cs="Times New Roman"/>
                <w:color w:val="000000" w:themeColor="text1"/>
                <w:sz w:val="24"/>
                <w:szCs w:val="24"/>
                <w:lang w:val="en-US" w:eastAsia="zh-CN"/>
                <w14:textFill>
                  <w14:solidFill>
                    <w14:schemeClr w14:val="tx1"/>
                  </w14:solidFill>
                </w14:textFill>
              </w:rPr>
              <w:t>3. 现有场景痛点：因高度分工和重复作业，人工作业操作熟练度高，但</w:t>
            </w:r>
            <w:r>
              <w:rPr>
                <w:rFonts w:hint="default" w:ascii="Times New Roman" w:hAnsi="Times New Roman" w:eastAsia="仿宋_GB2312" w:cs="Times New Roman"/>
                <w:color w:val="000000" w:themeColor="text1"/>
                <w:sz w:val="24"/>
                <w:szCs w:val="24"/>
                <w:lang w:val="en-US" w:eastAsia="zh-CN"/>
                <w14:textFill>
                  <w14:solidFill>
                    <w14:schemeClr w14:val="tx1"/>
                  </w14:solidFill>
                </w14:textFill>
              </w:rPr>
              <w:t>重复性工作易导致疲劳和离职率高。</w:t>
            </w:r>
            <w:r>
              <w:rPr>
                <w:rFonts w:hint="eastAsia" w:ascii="Times New Roman" w:hAnsi="Times New Roman" w:eastAsia="仿宋_GB2312" w:cs="Times New Roman"/>
                <w:color w:val="000000" w:themeColor="text1"/>
                <w:sz w:val="24"/>
                <w:szCs w:val="24"/>
                <w:lang w:val="en-US" w:eastAsia="zh-CN"/>
                <w14:textFill>
                  <w14:solidFill>
                    <w14:schemeClr w14:val="tx1"/>
                  </w14:solidFill>
                </w14:textFill>
              </w:rPr>
              <w:t>任何一个岗位缺人，都需培训新人顶替，影响整线。</w:t>
            </w:r>
          </w:p>
          <w:p>
            <w:pPr>
              <w:numPr>
                <w:ilvl w:val="0"/>
                <w:numId w:val="2"/>
              </w:numPr>
              <w:snapToGrid w:val="0"/>
              <w:spacing w:line="240" w:lineRule="auto"/>
              <w:ind w:leftChars="0" w:firstLine="480" w:firstLineChars="200"/>
              <w:rPr>
                <w:rFonts w:hint="eastAsia" w:ascii="Times New Roman" w:hAnsi="Times New Roman" w:eastAsia="仿宋_GB2312" w:cs="Times New Roman"/>
                <w:color w:val="000000" w:themeColor="text1"/>
                <w:sz w:val="24"/>
                <w:szCs w:val="24"/>
                <w:lang w:val="en-US" w:eastAsia="zh-CN"/>
                <w14:textFill>
                  <w14:solidFill>
                    <w14:schemeClr w14:val="tx1"/>
                  </w14:solidFill>
                </w14:textFill>
              </w:rPr>
            </w:pPr>
            <w:r>
              <w:rPr>
                <w:rFonts w:hint="eastAsia" w:ascii="Times New Roman" w:hAnsi="Times New Roman" w:eastAsia="仿宋_GB2312" w:cs="Times New Roman"/>
                <w:color w:val="000000" w:themeColor="text1"/>
                <w:sz w:val="24"/>
                <w:szCs w:val="24"/>
                <w:lang w:val="en-US" w:eastAsia="zh-CN"/>
                <w14:textFill>
                  <w14:solidFill>
                    <w14:schemeClr w14:val="tx1"/>
                  </w14:solidFill>
                </w14:textFill>
              </w:rPr>
              <w:t>引入机器人的必要性：破解“用工荒”与“高成本”困局，现</w:t>
            </w:r>
            <w:r>
              <w:rPr>
                <w:rFonts w:hint="default" w:ascii="Times New Roman" w:hAnsi="Times New Roman" w:eastAsia="仿宋_GB2312" w:cs="Times New Roman"/>
                <w:color w:val="000000" w:themeColor="text1"/>
                <w:sz w:val="24"/>
                <w:szCs w:val="24"/>
                <w:lang w:val="en-US" w:eastAsia="zh-CN"/>
                <w14:textFill>
                  <w14:solidFill>
                    <w14:schemeClr w14:val="tx1"/>
                  </w14:solidFill>
                </w14:textFill>
              </w:rPr>
              <w:t>年轻一代不愿从事重复、枯燥的包装工作，招聘难、流失率高已成为常态。</w:t>
            </w:r>
            <w:r>
              <w:rPr>
                <w:rFonts w:hint="eastAsia" w:ascii="Times New Roman" w:hAnsi="Times New Roman" w:eastAsia="仿宋_GB2312" w:cs="Times New Roman"/>
                <w:color w:val="000000" w:themeColor="text1"/>
                <w:sz w:val="24"/>
                <w:szCs w:val="24"/>
                <w:lang w:val="en-US" w:eastAsia="zh-CN"/>
                <w14:textFill>
                  <w14:solidFill>
                    <w14:schemeClr w14:val="tx1"/>
                  </w14:solidFill>
                </w14:textFill>
              </w:rPr>
              <w:t>工资</w:t>
            </w:r>
            <w:r>
              <w:rPr>
                <w:rFonts w:hint="default" w:ascii="Times New Roman" w:hAnsi="Times New Roman" w:eastAsia="仿宋_GB2312" w:cs="Times New Roman"/>
                <w:color w:val="000000" w:themeColor="text1"/>
                <w:sz w:val="24"/>
                <w:szCs w:val="24"/>
                <w:lang w:val="en-US" w:eastAsia="zh-CN"/>
                <w14:textFill>
                  <w14:solidFill>
                    <w14:schemeClr w14:val="tx1"/>
                  </w14:solidFill>
                </w14:textFill>
              </w:rPr>
              <w:t>、社保、管理等综合成本逐年上涨，</w:t>
            </w:r>
            <w:r>
              <w:rPr>
                <w:rFonts w:hint="eastAsia" w:ascii="Times New Roman" w:hAnsi="Times New Roman" w:eastAsia="仿宋_GB2312" w:cs="Times New Roman"/>
                <w:color w:val="000000" w:themeColor="text1"/>
                <w:sz w:val="24"/>
                <w:szCs w:val="24"/>
                <w:lang w:val="en-US" w:eastAsia="zh-CN"/>
                <w14:textFill>
                  <w14:solidFill>
                    <w14:schemeClr w14:val="tx1"/>
                  </w14:solidFill>
                </w14:textFill>
              </w:rPr>
              <w:t>极大</w:t>
            </w:r>
            <w:r>
              <w:rPr>
                <w:rFonts w:hint="default" w:ascii="Times New Roman" w:hAnsi="Times New Roman" w:eastAsia="仿宋_GB2312" w:cs="Times New Roman"/>
                <w:color w:val="000000" w:themeColor="text1"/>
                <w:sz w:val="24"/>
                <w:szCs w:val="24"/>
                <w:lang w:val="en-US" w:eastAsia="zh-CN"/>
                <w14:textFill>
                  <w14:solidFill>
                    <w14:schemeClr w14:val="tx1"/>
                  </w14:solidFill>
                </w14:textFill>
              </w:rPr>
              <w:t>侵蚀</w:t>
            </w:r>
            <w:r>
              <w:rPr>
                <w:rFonts w:hint="eastAsia" w:ascii="Times New Roman" w:hAnsi="Times New Roman" w:eastAsia="仿宋_GB2312" w:cs="Times New Roman"/>
                <w:color w:val="000000" w:themeColor="text1"/>
                <w:sz w:val="24"/>
                <w:szCs w:val="24"/>
                <w:lang w:val="en-US" w:eastAsia="zh-CN"/>
                <w14:textFill>
                  <w14:solidFill>
                    <w14:schemeClr w14:val="tx1"/>
                  </w14:solidFill>
                </w14:textFill>
              </w:rPr>
              <w:t>了公司的</w:t>
            </w:r>
            <w:r>
              <w:rPr>
                <w:rFonts w:hint="default" w:ascii="Times New Roman" w:hAnsi="Times New Roman" w:eastAsia="仿宋_GB2312" w:cs="Times New Roman"/>
                <w:color w:val="000000" w:themeColor="text1"/>
                <w:sz w:val="24"/>
                <w:szCs w:val="24"/>
                <w:lang w:val="en-US" w:eastAsia="zh-CN"/>
                <w14:textFill>
                  <w14:solidFill>
                    <w14:schemeClr w14:val="tx1"/>
                  </w14:solidFill>
                </w14:textFill>
              </w:rPr>
              <w:t>利润。</w:t>
            </w:r>
            <w:r>
              <w:rPr>
                <w:rFonts w:hint="eastAsia" w:ascii="Times New Roman" w:hAnsi="Times New Roman" w:eastAsia="仿宋_GB2312" w:cs="Times New Roman"/>
                <w:color w:val="000000" w:themeColor="text1"/>
                <w:sz w:val="24"/>
                <w:szCs w:val="24"/>
                <w:lang w:val="en-US" w:eastAsia="zh-CN"/>
                <w14:textFill>
                  <w14:solidFill>
                    <w14:schemeClr w14:val="tx1"/>
                  </w14:solidFill>
                </w14:textFill>
              </w:rPr>
              <w:t>引入机器人能提供稳定、可预测的产能，一次投入，长期使用，公司成本递减的同时，能有效对冲人力风险。</w:t>
            </w:r>
          </w:p>
          <w:p>
            <w:pPr>
              <w:snapToGrid w:val="0"/>
              <w:spacing w:line="240" w:lineRule="auto"/>
              <w:ind w:firstLine="480" w:firstLineChars="200"/>
              <w:rPr>
                <w:rFonts w:hint="default" w:ascii="Times New Roman" w:hAnsi="Times New Roman" w:eastAsia="仿宋_GB2312" w:cs="Times New Roman"/>
                <w:color w:val="000000" w:themeColor="text1"/>
                <w:sz w:val="24"/>
                <w:szCs w:val="24"/>
                <w:lang w:val="en-US" w:eastAsia="zh-CN"/>
                <w14:textFill>
                  <w14:solidFill>
                    <w14:schemeClr w14:val="tx1"/>
                  </w14:solidFill>
                </w14:textFill>
              </w:rPr>
            </w:pPr>
            <w:r>
              <w:rPr>
                <w:rFonts w:hint="eastAsia" w:ascii="Times New Roman" w:hAnsi="Times New Roman" w:eastAsia="仿宋_GB2312" w:cs="Times New Roman"/>
                <w:color w:val="000000" w:themeColor="text1"/>
                <w:sz w:val="24"/>
                <w:szCs w:val="24"/>
                <w:lang w:val="en-US" w:eastAsia="zh-CN"/>
                <w14:textFill>
                  <w14:solidFill>
                    <w14:schemeClr w14:val="tx1"/>
                  </w14:solidFill>
                </w14:textFill>
              </w:rPr>
              <w:t>人工操作易受疲劳、情绪、技能差异影响，导致包装错误（如错放配件、标签歪斜、漏装说明书）、外观划伤等质量问题。引入机器人，结合高精度视觉系统，可确保配件位置准确、标签贴合完美，从根本上杜绝人为失误，提升品牌形象和客户满意度。</w:t>
            </w:r>
          </w:p>
          <w:p>
            <w:pPr>
              <w:snapToGrid w:val="0"/>
              <w:spacing w:line="240" w:lineRule="auto"/>
              <w:rPr>
                <w:rFonts w:hint="eastAsia" w:ascii="Times New Roman" w:hAnsi="Times New Roman" w:eastAsia="仿宋_GB2312" w:cs="Times New Roman"/>
                <w:color w:val="000000" w:themeColor="text1"/>
                <w:sz w:val="24"/>
                <w:szCs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21" w:hRule="atLeast"/>
          <w:jc w:val="center"/>
        </w:trPr>
        <w:tc>
          <w:tcPr>
            <w:tcW w:w="1857" w:type="dxa"/>
            <w:tcBorders>
              <w:top w:val="single" w:color="auto" w:sz="4" w:space="0"/>
              <w:left w:val="single" w:color="auto" w:sz="4" w:space="0"/>
              <w:bottom w:val="single" w:color="auto" w:sz="4" w:space="0"/>
              <w:right w:val="single" w:color="auto" w:sz="4" w:space="0"/>
            </w:tcBorders>
            <w:vAlign w:val="center"/>
          </w:tcPr>
          <w:p>
            <w:pPr>
              <w:snapToGrid w:val="0"/>
              <w:spacing w:line="240" w:lineRule="auto"/>
              <w:jc w:val="center"/>
              <w:rPr>
                <w:rFonts w:ascii="Times New Roman" w:hAnsi="Times New Roman" w:eastAsia="仿宋_GB2312" w:cs="Times New Roman"/>
                <w:color w:val="000000" w:themeColor="text1"/>
                <w:kern w:val="0"/>
                <w:sz w:val="24"/>
                <w:szCs w:val="24"/>
                <w:highlight w:val="none"/>
                <w14:textFill>
                  <w14:solidFill>
                    <w14:schemeClr w14:val="tx1"/>
                  </w14:solidFill>
                </w14:textFill>
              </w:rPr>
            </w:pPr>
            <w:r>
              <w:rPr>
                <w:rFonts w:hint="eastAsia" w:ascii="Times New Roman" w:hAnsi="Times New Roman" w:eastAsia="仿宋_GB2312" w:cs="Times New Roman"/>
                <w:b/>
                <w:bCs/>
                <w:color w:val="000000" w:themeColor="text1"/>
                <w:kern w:val="0"/>
                <w:sz w:val="24"/>
                <w:szCs w:val="24"/>
                <w:highlight w:val="none"/>
                <w14:textFill>
                  <w14:solidFill>
                    <w14:schemeClr w14:val="tx1"/>
                  </w14:solidFill>
                </w14:textFill>
              </w:rPr>
              <w:t>具体需求</w:t>
            </w:r>
          </w:p>
        </w:tc>
        <w:tc>
          <w:tcPr>
            <w:tcW w:w="7413" w:type="dxa"/>
            <w:gridSpan w:val="3"/>
            <w:tcBorders>
              <w:top w:val="single" w:color="auto" w:sz="4" w:space="0"/>
              <w:left w:val="single" w:color="auto" w:sz="4" w:space="0"/>
              <w:bottom w:val="single" w:color="auto" w:sz="4" w:space="0"/>
              <w:right w:val="single" w:color="auto" w:sz="4" w:space="0"/>
            </w:tcBorders>
          </w:tcPr>
          <w:p>
            <w:pPr>
              <w:spacing w:line="240" w:lineRule="auto"/>
              <w:rPr>
                <w:rFonts w:hint="eastAsia" w:ascii="Times New Roman" w:hAnsi="Times New Roman" w:eastAsia="仿宋_GB2312" w:cs="Times New Roman"/>
                <w:color w:val="000000" w:themeColor="text1"/>
                <w:kern w:val="0"/>
                <w:sz w:val="24"/>
                <w:szCs w:val="24"/>
                <w:highlight w:val="none"/>
                <w14:textFill>
                  <w14:solidFill>
                    <w14:schemeClr w14:val="tx1"/>
                  </w14:solidFill>
                </w14:textFill>
              </w:rPr>
            </w:pPr>
            <w:r>
              <w:rPr>
                <w:rFonts w:hint="eastAsia" w:ascii="Times New Roman" w:hAnsi="Times New Roman" w:eastAsia="仿宋_GB2312" w:cs="Times New Roman"/>
                <w:color w:val="000000" w:themeColor="text1"/>
                <w:kern w:val="0"/>
                <w:sz w:val="24"/>
                <w:szCs w:val="24"/>
                <w:highlight w:val="none"/>
                <w14:textFill>
                  <w14:solidFill>
                    <w14:schemeClr w14:val="tx1"/>
                  </w14:solidFill>
                </w14:textFill>
              </w:rPr>
              <w:t>一、应用需求：</w:t>
            </w:r>
          </w:p>
          <w:p>
            <w:pPr>
              <w:spacing w:line="240" w:lineRule="auto"/>
              <w:ind w:firstLine="480" w:firstLineChars="200"/>
              <w:rPr>
                <w:rFonts w:hint="default" w:ascii="Times New Roman" w:hAnsi="Times New Roman" w:eastAsia="仿宋_GB2312" w:cs="Times New Roman"/>
                <w:color w:val="000000" w:themeColor="text1"/>
                <w:kern w:val="0"/>
                <w:sz w:val="24"/>
                <w:szCs w:val="24"/>
                <w:highlight w:val="none"/>
                <w:lang w:val="en-US" w:eastAsia="zh-CN"/>
                <w14:textFill>
                  <w14:solidFill>
                    <w14:schemeClr w14:val="tx1"/>
                  </w14:solidFill>
                </w14:textFill>
              </w:rPr>
            </w:pPr>
            <w:r>
              <w:rPr>
                <w:rFonts w:hint="eastAsia" w:ascii="Times New Roman" w:hAnsi="Times New Roman" w:eastAsia="仿宋_GB2312" w:cs="Times New Roman"/>
                <w:color w:val="000000" w:themeColor="text1"/>
                <w:kern w:val="0"/>
                <w:sz w:val="24"/>
                <w:szCs w:val="24"/>
                <w:highlight w:val="none"/>
                <w14:textFill>
                  <w14:solidFill>
                    <w14:schemeClr w14:val="tx1"/>
                  </w14:solidFill>
                </w14:textFill>
              </w:rPr>
              <w:t>面向智能终端智能制造场景，开发适用于柔性产线作业的机器人，解决“精密装配、物料分拣、柔性打包”等场景任务</w:t>
            </w:r>
            <w:r>
              <w:rPr>
                <w:rFonts w:hint="eastAsia" w:ascii="Times New Roman" w:hAnsi="Times New Roman" w:eastAsia="仿宋_GB2312" w:cs="Times New Roman"/>
                <w:color w:val="000000" w:themeColor="text1"/>
                <w:kern w:val="0"/>
                <w:sz w:val="24"/>
                <w:szCs w:val="24"/>
                <w:highlight w:val="none"/>
                <w:lang w:eastAsia="zh-CN"/>
                <w14:textFill>
                  <w14:solidFill>
                    <w14:schemeClr w14:val="tx1"/>
                  </w14:solidFill>
                </w14:textFill>
              </w:rPr>
              <w:t>。</w:t>
            </w:r>
            <w:r>
              <w:rPr>
                <w:rFonts w:hint="eastAsia" w:ascii="Times New Roman" w:hAnsi="Times New Roman" w:eastAsia="仿宋_GB2312" w:cs="Times New Roman"/>
                <w:color w:val="000000" w:themeColor="text1"/>
                <w:kern w:val="0"/>
                <w:sz w:val="24"/>
                <w:szCs w:val="24"/>
                <w:highlight w:val="none"/>
                <w:lang w:val="en-US" w:eastAsia="zh-CN"/>
                <w14:textFill>
                  <w14:solidFill>
                    <w14:schemeClr w14:val="tx1"/>
                  </w14:solidFill>
                </w14:textFill>
              </w:rPr>
              <w:t>计划每条产线布局至少3台机器人。</w:t>
            </w:r>
          </w:p>
          <w:p>
            <w:pPr>
              <w:spacing w:line="240" w:lineRule="auto"/>
              <w:rPr>
                <w:rFonts w:hint="eastAsia" w:ascii="Times New Roman" w:hAnsi="Times New Roman" w:eastAsia="仿宋_GB2312" w:cs="Times New Roman"/>
                <w:color w:val="000000" w:themeColor="text1"/>
                <w:kern w:val="0"/>
                <w:sz w:val="24"/>
                <w:szCs w:val="24"/>
                <w:highlight w:val="none"/>
                <w14:textFill>
                  <w14:solidFill>
                    <w14:schemeClr w14:val="tx1"/>
                  </w14:solidFill>
                </w14:textFill>
              </w:rPr>
            </w:pPr>
            <w:r>
              <w:rPr>
                <w:rFonts w:hint="eastAsia" w:ascii="Times New Roman" w:hAnsi="Times New Roman" w:eastAsia="仿宋_GB2312" w:cs="Times New Roman"/>
                <w:color w:val="000000" w:themeColor="text1"/>
                <w:kern w:val="0"/>
                <w:sz w:val="24"/>
                <w:szCs w:val="24"/>
                <w:highlight w:val="none"/>
                <w14:textFill>
                  <w14:solidFill>
                    <w14:schemeClr w14:val="tx1"/>
                  </w14:solidFill>
                </w14:textFill>
              </w:rPr>
              <w:t>二、硬件要求：</w:t>
            </w:r>
          </w:p>
          <w:p>
            <w:pPr>
              <w:spacing w:line="240" w:lineRule="auto"/>
              <w:ind w:firstLine="480" w:firstLineChars="200"/>
              <w:rPr>
                <w:rFonts w:hint="eastAsia" w:ascii="Times New Roman" w:hAnsi="Times New Roman" w:eastAsia="仿宋_GB2312" w:cs="Times New Roman"/>
                <w:color w:val="000000" w:themeColor="text1"/>
                <w:kern w:val="0"/>
                <w:sz w:val="24"/>
                <w:szCs w:val="24"/>
                <w:highlight w:val="none"/>
                <w14:textFill>
                  <w14:solidFill>
                    <w14:schemeClr w14:val="tx1"/>
                  </w14:solidFill>
                </w14:textFill>
              </w:rPr>
            </w:pPr>
            <w:r>
              <w:rPr>
                <w:rFonts w:hint="eastAsia" w:ascii="Times New Roman" w:hAnsi="Times New Roman" w:eastAsia="仿宋_GB2312" w:cs="Times New Roman"/>
                <w:color w:val="000000" w:themeColor="text1"/>
                <w:kern w:val="0"/>
                <w:sz w:val="24"/>
                <w:szCs w:val="24"/>
                <w:highlight w:val="none"/>
                <w14:textFill>
                  <w14:solidFill>
                    <w14:schemeClr w14:val="tx1"/>
                  </w14:solidFill>
                </w14:textFill>
              </w:rPr>
              <w:t>1.</w:t>
            </w:r>
            <w:r>
              <w:rPr>
                <w:rFonts w:hint="eastAsia" w:ascii="Times New Roman" w:hAnsi="Times New Roman" w:eastAsia="仿宋_GB2312" w:cs="Times New Roman"/>
                <w:color w:val="000000" w:themeColor="text1"/>
                <w:kern w:val="0"/>
                <w:sz w:val="24"/>
                <w:szCs w:val="24"/>
                <w:highlight w:val="none"/>
                <w:lang w:val="en-US" w:eastAsia="zh-CN"/>
                <w14:textFill>
                  <w14:solidFill>
                    <w14:schemeClr w14:val="tx1"/>
                  </w14:solidFill>
                </w14:textFill>
              </w:rPr>
              <w:t xml:space="preserve"> </w:t>
            </w:r>
            <w:r>
              <w:rPr>
                <w:rFonts w:hint="eastAsia" w:ascii="Times New Roman" w:hAnsi="Times New Roman" w:eastAsia="仿宋_GB2312" w:cs="Times New Roman"/>
                <w:color w:val="000000" w:themeColor="text1"/>
                <w:kern w:val="0"/>
                <w:sz w:val="24"/>
                <w:szCs w:val="24"/>
                <w:highlight w:val="none"/>
                <w14:textFill>
                  <w14:solidFill>
                    <w14:schemeClr w14:val="tx1"/>
                  </w14:solidFill>
                </w14:textFill>
              </w:rPr>
              <w:t>不少于30自由度，单臂负载5kg以上。工作空间覆盖0-2米空间。工作时间不低于4小时；</w:t>
            </w:r>
          </w:p>
          <w:p>
            <w:pPr>
              <w:spacing w:line="240" w:lineRule="auto"/>
              <w:ind w:firstLine="480" w:firstLineChars="200"/>
              <w:rPr>
                <w:rFonts w:hint="eastAsia" w:ascii="Times New Roman" w:hAnsi="Times New Roman" w:eastAsia="仿宋_GB2312" w:cs="Times New Roman"/>
                <w:color w:val="000000" w:themeColor="text1"/>
                <w:kern w:val="0"/>
                <w:sz w:val="24"/>
                <w:szCs w:val="24"/>
                <w:highlight w:val="none"/>
                <w14:textFill>
                  <w14:solidFill>
                    <w14:schemeClr w14:val="tx1"/>
                  </w14:solidFill>
                </w14:textFill>
              </w:rPr>
            </w:pPr>
            <w:r>
              <w:rPr>
                <w:rFonts w:hint="eastAsia" w:ascii="Times New Roman" w:hAnsi="Times New Roman" w:eastAsia="仿宋_GB2312" w:cs="Times New Roman"/>
                <w:color w:val="000000" w:themeColor="text1"/>
                <w:kern w:val="0"/>
                <w:sz w:val="24"/>
                <w:szCs w:val="24"/>
                <w:highlight w:val="none"/>
                <w14:textFill>
                  <w14:solidFill>
                    <w14:schemeClr w14:val="tx1"/>
                  </w14:solidFill>
                </w14:textFill>
              </w:rPr>
              <w:t>2. 移动：能够全向自主移动。支持20万平方米的自主导航</w:t>
            </w:r>
          </w:p>
          <w:p>
            <w:pPr>
              <w:spacing w:line="240" w:lineRule="auto"/>
              <w:ind w:firstLine="480" w:firstLineChars="200"/>
              <w:rPr>
                <w:rFonts w:hint="eastAsia" w:ascii="Times New Roman" w:hAnsi="Times New Roman" w:eastAsia="仿宋_GB2312" w:cs="Times New Roman"/>
                <w:color w:val="000000" w:themeColor="text1"/>
                <w:kern w:val="0"/>
                <w:sz w:val="24"/>
                <w:szCs w:val="24"/>
                <w:highlight w:val="none"/>
                <w14:textFill>
                  <w14:solidFill>
                    <w14:schemeClr w14:val="tx1"/>
                  </w14:solidFill>
                </w14:textFill>
              </w:rPr>
            </w:pPr>
            <w:r>
              <w:rPr>
                <w:rFonts w:hint="eastAsia" w:ascii="Times New Roman" w:hAnsi="Times New Roman" w:eastAsia="仿宋_GB2312" w:cs="Times New Roman"/>
                <w:color w:val="000000" w:themeColor="text1"/>
                <w:kern w:val="0"/>
                <w:sz w:val="24"/>
                <w:szCs w:val="24"/>
                <w:highlight w:val="none"/>
                <w14:textFill>
                  <w14:solidFill>
                    <w14:schemeClr w14:val="tx1"/>
                  </w14:solidFill>
                </w14:textFill>
              </w:rPr>
              <w:t>3. 支持自主换电或者自主充电</w:t>
            </w:r>
          </w:p>
          <w:p>
            <w:pPr>
              <w:spacing w:line="240" w:lineRule="auto"/>
              <w:ind w:firstLine="480" w:firstLineChars="200"/>
              <w:rPr>
                <w:rFonts w:hint="eastAsia" w:ascii="Times New Roman" w:hAnsi="Times New Roman" w:eastAsia="仿宋_GB2312" w:cs="Times New Roman"/>
                <w:color w:val="000000" w:themeColor="text1"/>
                <w:kern w:val="0"/>
                <w:sz w:val="24"/>
                <w:szCs w:val="24"/>
                <w:highlight w:val="none"/>
                <w14:textFill>
                  <w14:solidFill>
                    <w14:schemeClr w14:val="tx1"/>
                  </w14:solidFill>
                </w14:textFill>
              </w:rPr>
            </w:pPr>
            <w:r>
              <w:rPr>
                <w:rFonts w:hint="eastAsia" w:ascii="Times New Roman" w:hAnsi="Times New Roman" w:eastAsia="仿宋_GB2312" w:cs="Times New Roman"/>
                <w:color w:val="000000" w:themeColor="text1"/>
                <w:kern w:val="0"/>
                <w:sz w:val="24"/>
                <w:szCs w:val="24"/>
                <w:highlight w:val="none"/>
                <w14:textFill>
                  <w14:solidFill>
                    <w14:schemeClr w14:val="tx1"/>
                  </w14:solidFill>
                </w14:textFill>
              </w:rPr>
              <w:t>4. 末端灵巧手不少于7个自由度，全驱，能够实时反馈指尖位置。手指位置控制精度1mm。手掌握力不低于25N，自锁负载大于40kg。末端力控精度不低于0.1N</w:t>
            </w:r>
          </w:p>
          <w:p>
            <w:pPr>
              <w:spacing w:line="240" w:lineRule="auto"/>
              <w:ind w:firstLine="480" w:firstLineChars="200"/>
              <w:rPr>
                <w:rFonts w:hint="eastAsia" w:ascii="Times New Roman" w:hAnsi="Times New Roman" w:eastAsia="仿宋_GB2312" w:cs="Times New Roman"/>
                <w:color w:val="000000" w:themeColor="text1"/>
                <w:kern w:val="0"/>
                <w:sz w:val="24"/>
                <w:szCs w:val="24"/>
                <w:highlight w:val="none"/>
                <w14:textFill>
                  <w14:solidFill>
                    <w14:schemeClr w14:val="tx1"/>
                  </w14:solidFill>
                </w14:textFill>
              </w:rPr>
            </w:pPr>
            <w:r>
              <w:rPr>
                <w:rFonts w:hint="eastAsia" w:ascii="Times New Roman" w:hAnsi="Times New Roman" w:eastAsia="仿宋_GB2312" w:cs="Times New Roman"/>
                <w:color w:val="000000" w:themeColor="text1"/>
                <w:kern w:val="0"/>
                <w:sz w:val="24"/>
                <w:szCs w:val="24"/>
                <w:highlight w:val="none"/>
                <w14:textFill>
                  <w14:solidFill>
                    <w14:schemeClr w14:val="tx1"/>
                  </w14:solidFill>
                </w14:textFill>
              </w:rPr>
              <w:t>5. 具备触觉、RGBD、激光等多种传感器</w:t>
            </w:r>
          </w:p>
          <w:p>
            <w:pPr>
              <w:spacing w:line="240" w:lineRule="auto"/>
              <w:rPr>
                <w:rFonts w:hint="eastAsia" w:ascii="Times New Roman" w:hAnsi="Times New Roman" w:eastAsia="仿宋_GB2312" w:cs="Times New Roman"/>
                <w:color w:val="000000" w:themeColor="text1"/>
                <w:kern w:val="0"/>
                <w:sz w:val="24"/>
                <w:szCs w:val="24"/>
                <w:highlight w:val="none"/>
                <w14:textFill>
                  <w14:solidFill>
                    <w14:schemeClr w14:val="tx1"/>
                  </w14:solidFill>
                </w14:textFill>
              </w:rPr>
            </w:pPr>
            <w:r>
              <w:rPr>
                <w:rFonts w:hint="eastAsia" w:ascii="Times New Roman" w:hAnsi="Times New Roman" w:eastAsia="仿宋_GB2312" w:cs="Times New Roman"/>
                <w:color w:val="000000" w:themeColor="text1"/>
                <w:kern w:val="0"/>
                <w:sz w:val="24"/>
                <w:szCs w:val="24"/>
                <w:highlight w:val="none"/>
                <w14:textFill>
                  <w14:solidFill>
                    <w14:schemeClr w14:val="tx1"/>
                  </w14:solidFill>
                </w14:textFill>
              </w:rPr>
              <w:t>三、功能要求：</w:t>
            </w:r>
          </w:p>
          <w:p>
            <w:pPr>
              <w:spacing w:line="240" w:lineRule="auto"/>
              <w:ind w:firstLine="480" w:firstLineChars="200"/>
              <w:rPr>
                <w:rFonts w:hint="eastAsia" w:ascii="Times New Roman" w:hAnsi="Times New Roman" w:eastAsia="仿宋_GB2312" w:cs="Times New Roman"/>
                <w:color w:val="000000" w:themeColor="text1"/>
                <w:kern w:val="0"/>
                <w:sz w:val="24"/>
                <w:szCs w:val="24"/>
                <w:highlight w:val="none"/>
                <w14:textFill>
                  <w14:solidFill>
                    <w14:schemeClr w14:val="tx1"/>
                  </w14:solidFill>
                </w14:textFill>
              </w:rPr>
            </w:pPr>
            <w:r>
              <w:rPr>
                <w:rFonts w:hint="eastAsia" w:ascii="Times New Roman" w:hAnsi="Times New Roman" w:eastAsia="仿宋_GB2312" w:cs="Times New Roman"/>
                <w:color w:val="000000" w:themeColor="text1"/>
                <w:kern w:val="0"/>
                <w:sz w:val="24"/>
                <w:szCs w:val="24"/>
                <w:highlight w:val="none"/>
                <w14:textFill>
                  <w14:solidFill>
                    <w14:schemeClr w14:val="tx1"/>
                  </w14:solidFill>
                </w14:textFill>
              </w:rPr>
              <w:t>1. 能自主导航，导航停靠精度不低于5cm</w:t>
            </w:r>
          </w:p>
          <w:p>
            <w:pPr>
              <w:spacing w:line="240" w:lineRule="auto"/>
              <w:ind w:firstLine="480" w:firstLineChars="200"/>
              <w:rPr>
                <w:rFonts w:hint="eastAsia" w:ascii="Times New Roman" w:hAnsi="Times New Roman" w:eastAsia="仿宋_GB2312" w:cs="Times New Roman"/>
                <w:color w:val="000000" w:themeColor="text1"/>
                <w:kern w:val="0"/>
                <w:sz w:val="24"/>
                <w:szCs w:val="24"/>
                <w:highlight w:val="none"/>
                <w14:textFill>
                  <w14:solidFill>
                    <w14:schemeClr w14:val="tx1"/>
                  </w14:solidFill>
                </w14:textFill>
              </w:rPr>
            </w:pPr>
            <w:r>
              <w:rPr>
                <w:rFonts w:hint="eastAsia" w:ascii="Times New Roman" w:hAnsi="Times New Roman" w:eastAsia="仿宋_GB2312" w:cs="Times New Roman"/>
                <w:color w:val="000000" w:themeColor="text1"/>
                <w:kern w:val="0"/>
                <w:sz w:val="24"/>
                <w:szCs w:val="24"/>
                <w:highlight w:val="none"/>
                <w14:textFill>
                  <w14:solidFill>
                    <w14:schemeClr w14:val="tx1"/>
                  </w14:solidFill>
                </w14:textFill>
              </w:rPr>
              <w:t>2. 具备语音问答、手势交互等功能</w:t>
            </w:r>
          </w:p>
          <w:p>
            <w:pPr>
              <w:spacing w:line="240" w:lineRule="auto"/>
              <w:ind w:firstLine="480" w:firstLineChars="200"/>
              <w:rPr>
                <w:rFonts w:hint="eastAsia" w:ascii="Times New Roman" w:hAnsi="Times New Roman" w:eastAsia="仿宋_GB2312" w:cs="Times New Roman"/>
                <w:color w:val="000000" w:themeColor="text1"/>
                <w:kern w:val="0"/>
                <w:sz w:val="24"/>
                <w:szCs w:val="24"/>
                <w:highlight w:val="none"/>
                <w14:textFill>
                  <w14:solidFill>
                    <w14:schemeClr w14:val="tx1"/>
                  </w14:solidFill>
                </w14:textFill>
              </w:rPr>
            </w:pPr>
            <w:r>
              <w:rPr>
                <w:rFonts w:hint="eastAsia" w:ascii="Times New Roman" w:hAnsi="Times New Roman" w:eastAsia="仿宋_GB2312" w:cs="Times New Roman"/>
                <w:color w:val="000000" w:themeColor="text1"/>
                <w:kern w:val="0"/>
                <w:sz w:val="24"/>
                <w:szCs w:val="24"/>
                <w:highlight w:val="none"/>
                <w14:textFill>
                  <w14:solidFill>
                    <w14:schemeClr w14:val="tx1"/>
                  </w14:solidFill>
                </w14:textFill>
              </w:rPr>
              <w:t>3. 具备自主决策推理能力，可完成长序工位自主操作，完成装配精度1mm的作业。具备至少10种技能。换线的任务适配时间小于2小时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1857" w:type="dxa"/>
            <w:tcBorders>
              <w:top w:val="single" w:color="auto" w:sz="4" w:space="0"/>
              <w:left w:val="single" w:color="auto" w:sz="4" w:space="0"/>
              <w:bottom w:val="single" w:color="auto" w:sz="4" w:space="0"/>
              <w:right w:val="single" w:color="auto" w:sz="4" w:space="0"/>
            </w:tcBorders>
            <w:vAlign w:val="center"/>
          </w:tcPr>
          <w:p>
            <w:pPr>
              <w:spacing w:line="240" w:lineRule="auto"/>
              <w:rPr>
                <w:rFonts w:hint="eastAsia" w:ascii="Times New Roman" w:hAnsi="Times New Roman" w:eastAsia="仿宋_GB2312" w:cs="Times New Roman"/>
                <w:b/>
                <w:bCs/>
                <w:color w:val="000000" w:themeColor="text1"/>
                <w:kern w:val="0"/>
                <w:sz w:val="24"/>
                <w:szCs w:val="24"/>
                <w14:textFill>
                  <w14:solidFill>
                    <w14:schemeClr w14:val="tx1"/>
                  </w14:solidFill>
                </w14:textFill>
              </w:rPr>
            </w:pPr>
            <w:r>
              <w:rPr>
                <w:rFonts w:hint="eastAsia" w:ascii="Times New Roman" w:hAnsi="Times New Roman" w:eastAsia="仿宋_GB2312" w:cs="Times New Roman"/>
                <w:b/>
                <w:bCs/>
                <w:color w:val="000000" w:themeColor="text1"/>
                <w:kern w:val="0"/>
                <w:sz w:val="24"/>
                <w:szCs w:val="24"/>
                <w14:textFill>
                  <w14:solidFill>
                    <w14:schemeClr w14:val="tx1"/>
                  </w14:solidFill>
                </w14:textFill>
              </w:rPr>
              <w:t>拟投入资金</w:t>
            </w:r>
          </w:p>
          <w:p>
            <w:pPr>
              <w:spacing w:line="240" w:lineRule="auto"/>
              <w:rPr>
                <w:rFonts w:ascii="Times New Roman" w:hAnsi="Times New Roman" w:eastAsia="仿宋_GB2312" w:cs="Times New Roman"/>
                <w:color w:val="000000" w:themeColor="text1"/>
                <w:kern w:val="0"/>
                <w:sz w:val="24"/>
                <w:szCs w:val="24"/>
                <w14:textFill>
                  <w14:solidFill>
                    <w14:schemeClr w14:val="tx1"/>
                  </w14:solidFill>
                </w14:textFill>
              </w:rPr>
            </w:pPr>
            <w:r>
              <w:rPr>
                <w:rFonts w:hint="eastAsia" w:ascii="Times New Roman" w:hAnsi="Times New Roman" w:eastAsia="仿宋_GB2312" w:cs="Times New Roman"/>
                <w:b/>
                <w:bCs/>
                <w:color w:val="000000" w:themeColor="text1"/>
                <w:kern w:val="0"/>
                <w:sz w:val="24"/>
                <w:szCs w:val="24"/>
                <w14:textFill>
                  <w14:solidFill>
                    <w14:schemeClr w14:val="tx1"/>
                  </w14:solidFill>
                </w14:textFill>
              </w:rPr>
              <w:t>（万元）</w:t>
            </w:r>
          </w:p>
        </w:tc>
        <w:tc>
          <w:tcPr>
            <w:tcW w:w="2657" w:type="dxa"/>
            <w:tcBorders>
              <w:top w:val="single" w:color="auto" w:sz="4" w:space="0"/>
              <w:left w:val="single" w:color="auto" w:sz="4" w:space="0"/>
              <w:bottom w:val="single" w:color="auto" w:sz="4" w:space="0"/>
              <w:right w:val="single" w:color="auto" w:sz="4" w:space="0"/>
            </w:tcBorders>
          </w:tcPr>
          <w:p>
            <w:pPr>
              <w:spacing w:line="240" w:lineRule="auto"/>
              <w:rPr>
                <w:rFonts w:hint="default" w:ascii="Times New Roman" w:hAnsi="Times New Roman" w:eastAsia="仿宋_GB2312" w:cs="Times New Roman"/>
                <w:color w:val="000000" w:themeColor="text1"/>
                <w:kern w:val="0"/>
                <w:sz w:val="24"/>
                <w:szCs w:val="24"/>
                <w:lang w:val="en-US" w:eastAsia="zh-CN"/>
                <w14:textFill>
                  <w14:solidFill>
                    <w14:schemeClr w14:val="tx1"/>
                  </w14:solidFill>
                </w14:textFill>
              </w:rPr>
            </w:pPr>
            <w:bookmarkStart w:id="0" w:name="_GoBack"/>
            <w:bookmarkEnd w:id="0"/>
          </w:p>
        </w:tc>
        <w:tc>
          <w:tcPr>
            <w:tcW w:w="2377" w:type="dxa"/>
            <w:tcBorders>
              <w:top w:val="single" w:color="auto" w:sz="4" w:space="0"/>
              <w:left w:val="single" w:color="auto" w:sz="4" w:space="0"/>
              <w:bottom w:val="single" w:color="auto" w:sz="4" w:space="0"/>
              <w:right w:val="single" w:color="auto" w:sz="4" w:space="0"/>
            </w:tcBorders>
            <w:vAlign w:val="center"/>
          </w:tcPr>
          <w:p>
            <w:pPr>
              <w:spacing w:line="240" w:lineRule="auto"/>
              <w:jc w:val="center"/>
              <w:rPr>
                <w:rFonts w:ascii="Times New Roman" w:hAnsi="Times New Roman" w:eastAsia="仿宋_GB2312" w:cs="Times New Roman"/>
                <w:color w:val="000000" w:themeColor="text1"/>
                <w:kern w:val="0"/>
                <w:sz w:val="24"/>
                <w:szCs w:val="24"/>
                <w14:textFill>
                  <w14:solidFill>
                    <w14:schemeClr w14:val="tx1"/>
                  </w14:solidFill>
                </w14:textFill>
              </w:rPr>
            </w:pPr>
            <w:r>
              <w:rPr>
                <w:rFonts w:hint="eastAsia" w:ascii="Times New Roman" w:hAnsi="Times New Roman" w:eastAsia="仿宋_GB2312" w:cs="Times New Roman"/>
                <w:b/>
                <w:bCs/>
                <w:color w:val="000000" w:themeColor="text1"/>
                <w:kern w:val="0"/>
                <w:sz w:val="24"/>
                <w:szCs w:val="24"/>
                <w14:textFill>
                  <w14:solidFill>
                    <w14:schemeClr w14:val="tx1"/>
                  </w14:solidFill>
                </w14:textFill>
              </w:rPr>
              <w:t>拟建设周期</w:t>
            </w:r>
          </w:p>
        </w:tc>
        <w:tc>
          <w:tcPr>
            <w:tcW w:w="2379" w:type="dxa"/>
            <w:tcBorders>
              <w:top w:val="single" w:color="auto" w:sz="4" w:space="0"/>
              <w:left w:val="single" w:color="auto" w:sz="4" w:space="0"/>
              <w:bottom w:val="single" w:color="auto" w:sz="4" w:space="0"/>
              <w:right w:val="single" w:color="auto" w:sz="4" w:space="0"/>
            </w:tcBorders>
            <w:vAlign w:val="center"/>
          </w:tcPr>
          <w:p>
            <w:pPr>
              <w:spacing w:line="240" w:lineRule="auto"/>
              <w:ind w:firstLine="480" w:firstLineChars="200"/>
              <w:rPr>
                <w:rFonts w:ascii="Times New Roman" w:hAnsi="Times New Roman" w:eastAsia="仿宋_GB2312" w:cs="Times New Roman"/>
                <w:color w:val="000000" w:themeColor="text1"/>
                <w:kern w:val="0"/>
                <w:sz w:val="24"/>
                <w:szCs w:val="24"/>
                <w14:textFill>
                  <w14:solidFill>
                    <w14:schemeClr w14:val="tx1"/>
                  </w14:solidFill>
                </w14:textFill>
              </w:rPr>
            </w:pPr>
            <w:r>
              <w:rPr>
                <w:rFonts w:hint="eastAsia" w:ascii="Times New Roman" w:hAnsi="Times New Roman" w:eastAsia="仿宋_GB2312" w:cs="Times New Roman"/>
                <w:color w:val="000000" w:themeColor="text1"/>
                <w:kern w:val="0"/>
                <w:sz w:val="24"/>
                <w:szCs w:val="24"/>
                <w14:textFill>
                  <w14:solidFill>
                    <w14:schemeClr w14:val="tx1"/>
                  </w14:solidFill>
                </w14:textFill>
              </w:rPr>
              <w:t>12个月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901" w:hRule="atLeast"/>
          <w:jc w:val="center"/>
        </w:trPr>
        <w:tc>
          <w:tcPr>
            <w:tcW w:w="1857" w:type="dxa"/>
            <w:tcBorders>
              <w:top w:val="single" w:color="auto" w:sz="4" w:space="0"/>
              <w:left w:val="single" w:color="auto" w:sz="4" w:space="0"/>
              <w:bottom w:val="single" w:color="auto" w:sz="4" w:space="0"/>
              <w:right w:val="single" w:color="auto" w:sz="4" w:space="0"/>
            </w:tcBorders>
            <w:vAlign w:val="center"/>
          </w:tcPr>
          <w:p>
            <w:pPr>
              <w:snapToGrid w:val="0"/>
              <w:spacing w:line="240" w:lineRule="auto"/>
              <w:jc w:val="center"/>
              <w:rPr>
                <w:rFonts w:ascii="Times New Roman" w:hAnsi="Times New Roman" w:eastAsia="仿宋_GB2312" w:cs="Times New Roman"/>
                <w:color w:val="000000" w:themeColor="text1"/>
                <w:kern w:val="0"/>
                <w:sz w:val="24"/>
                <w:szCs w:val="24"/>
                <w14:textFill>
                  <w14:solidFill>
                    <w14:schemeClr w14:val="tx1"/>
                  </w14:solidFill>
                </w14:textFill>
              </w:rPr>
            </w:pPr>
            <w:r>
              <w:rPr>
                <w:rFonts w:hint="eastAsia" w:ascii="Times New Roman" w:hAnsi="Times New Roman" w:eastAsia="仿宋_GB2312" w:cs="Times New Roman"/>
                <w:b/>
                <w:bCs/>
                <w:color w:val="000000" w:themeColor="text1"/>
                <w:kern w:val="0"/>
                <w:sz w:val="24"/>
                <w:szCs w:val="24"/>
                <w14:textFill>
                  <w14:solidFill>
                    <w14:schemeClr w14:val="tx1"/>
                  </w14:solidFill>
                </w14:textFill>
              </w:rPr>
              <w:t>应用现状</w:t>
            </w:r>
          </w:p>
        </w:tc>
        <w:tc>
          <w:tcPr>
            <w:tcW w:w="7413" w:type="dxa"/>
            <w:gridSpan w:val="3"/>
            <w:tcBorders>
              <w:top w:val="single" w:color="auto" w:sz="4" w:space="0"/>
              <w:left w:val="single" w:color="auto" w:sz="4" w:space="0"/>
              <w:bottom w:val="single" w:color="auto" w:sz="4" w:space="0"/>
              <w:right w:val="single" w:color="auto" w:sz="4" w:space="0"/>
            </w:tcBorders>
          </w:tcPr>
          <w:p>
            <w:pPr>
              <w:spacing w:line="240" w:lineRule="auto"/>
              <w:rPr>
                <w:rFonts w:ascii="仿宋_GB2312" w:hAnsi="Times New Roman" w:eastAsia="仿宋_GB2312" w:cs="方正仿宋简体"/>
                <w:b/>
                <w:bCs/>
                <w:sz w:val="24"/>
                <w:szCs w:val="20"/>
              </w:rPr>
            </w:pPr>
            <w:r>
              <w:rPr>
                <w:rFonts w:hint="eastAsia" w:ascii="仿宋_GB2312" w:hAnsi="Times New Roman" w:eastAsia="仿宋_GB2312" w:cs="方正仿宋简体"/>
                <w:b/>
                <w:bCs/>
                <w:sz w:val="24"/>
                <w:szCs w:val="20"/>
              </w:rPr>
              <w:t>一、当前国内外应用情况</w:t>
            </w:r>
          </w:p>
          <w:p>
            <w:pPr>
              <w:pStyle w:val="18"/>
              <w:spacing w:line="240" w:lineRule="auto"/>
              <w:ind w:firstLine="480"/>
              <w:rPr>
                <w:rFonts w:hint="eastAsia"/>
              </w:rPr>
            </w:pPr>
            <w:r>
              <w:t>特斯拉Optimus人形机器人展示了惊人的迭代速度，其灵巧手采用仿生肌腱设计，配合视觉-触觉融合算法，已能完成电线插接等精细操作；Google DeepMind的RT系列模型基于视觉-语言-动作(VLA)端到端架构，大幅提升了机械臂与灵巧手的泛化能力。值得关注的是，美国形成了从基础研究到商业化的完整链条，OpenAI对Figure AI的战略投资、英伟达构建的具身智能生态，加速了技术转化进程。</w:t>
            </w:r>
          </w:p>
          <w:p>
            <w:pPr>
              <w:pStyle w:val="18"/>
              <w:spacing w:line="240" w:lineRule="auto"/>
              <w:ind w:firstLine="480"/>
              <w:rPr>
                <w:rFonts w:ascii="仿宋_GB2312" w:hAnsi="Times New Roman" w:eastAsia="仿宋_GB2312" w:cs="方正仿宋简体"/>
                <w:sz w:val="24"/>
                <w:szCs w:val="20"/>
              </w:rPr>
            </w:pPr>
            <w:r>
              <w:t>日本发那科(FANUC)的绿色灵巧手采用全封闭设计，适应汽车行业的洁净车间需求，其专利的力矩控制算法实现人机近距离安全协作；川田工业的“Nextage”系列将双臂协作机器人与多指灵巧手结合，在电子组装线上实现98%的工序替代率。韩国KAIST开发的Hubo机器人灵巧手集成触觉与温度传感，在核电站拆除等危险作业中表现优异。日韩企业特别注重技术实用性，本田ASIMO虽已停止开发，但其积累的伺服控制技术转化为了现售产品的竞争优势。</w:t>
            </w:r>
          </w:p>
          <w:p>
            <w:pPr>
              <w:spacing w:line="240" w:lineRule="auto"/>
              <w:ind w:left="720" w:hanging="723" w:hangingChars="300"/>
              <w:rPr>
                <w:rFonts w:ascii="仿宋_GB2312" w:hAnsi="Times New Roman" w:eastAsia="仿宋_GB2312" w:cs="方正仿宋简体"/>
                <w:b/>
                <w:bCs/>
                <w:sz w:val="24"/>
                <w:szCs w:val="20"/>
              </w:rPr>
            </w:pPr>
            <w:r>
              <w:rPr>
                <w:rFonts w:hint="eastAsia" w:ascii="仿宋_GB2312" w:hAnsi="Times New Roman" w:eastAsia="仿宋_GB2312" w:cs="方正仿宋简体"/>
                <w:b/>
                <w:bCs/>
                <w:sz w:val="24"/>
                <w:szCs w:val="20"/>
              </w:rPr>
              <w:t>二、关键问题，或技术难点</w:t>
            </w:r>
          </w:p>
          <w:p>
            <w:pPr>
              <w:pStyle w:val="18"/>
              <w:spacing w:line="240" w:lineRule="auto"/>
              <w:ind w:firstLine="480"/>
              <w:rPr>
                <w:rFonts w:hint="eastAsia"/>
              </w:rPr>
            </w:pPr>
            <w:r>
              <w:t>在智能终端柔性产线场景中，开发此类高性能机器人的核心挑战在于如何实现高精度操作与大范围移动的协同：需攻克</w:t>
            </w:r>
            <w:r>
              <w:rPr>
                <w:rFonts w:hint="eastAsia"/>
              </w:rPr>
              <w:t>高</w:t>
            </w:r>
            <w:r>
              <w:t>自由度在动态环境中的实时运动规划与防碰撞控制，并确保7自由度灵巧手同时达到毫米级定位与0.1牛顿级力控精度；在覆盖20万平方米的复杂工厂内，需解决动态障碍物环境下厘米级停靠精度导航与大规模SLAM长期一致性问题；同时，机器人需具备长序列任务的自主推理与异常处理能力，并能将至少10种技能快速适配新产线（＜2小时）；此外，高功耗系统续航与自主换电、多模态感知融合、人机共融安全以及高成本硬件系统的工程化可靠性，均是实现规模化落地必须突破的技术瓶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421" w:hRule="atLeast"/>
          <w:jc w:val="center"/>
        </w:trPr>
        <w:tc>
          <w:tcPr>
            <w:tcW w:w="1857" w:type="dxa"/>
            <w:tcBorders>
              <w:top w:val="single" w:color="auto" w:sz="4" w:space="0"/>
              <w:left w:val="single" w:color="auto" w:sz="4" w:space="0"/>
              <w:bottom w:val="single" w:color="auto" w:sz="4" w:space="0"/>
              <w:right w:val="single" w:color="auto" w:sz="4" w:space="0"/>
            </w:tcBorders>
            <w:vAlign w:val="center"/>
          </w:tcPr>
          <w:p>
            <w:pPr>
              <w:snapToGrid w:val="0"/>
              <w:spacing w:line="240" w:lineRule="auto"/>
              <w:jc w:val="center"/>
              <w:rPr>
                <w:rFonts w:ascii="Times New Roman" w:hAnsi="Times New Roman" w:eastAsia="仿宋_GB2312" w:cs="Times New Roman"/>
                <w:color w:val="000000" w:themeColor="text1"/>
                <w:kern w:val="0"/>
                <w:sz w:val="24"/>
                <w:szCs w:val="24"/>
                <w14:textFill>
                  <w14:solidFill>
                    <w14:schemeClr w14:val="tx1"/>
                  </w14:solidFill>
                </w14:textFill>
              </w:rPr>
            </w:pPr>
            <w:r>
              <w:rPr>
                <w:rFonts w:hint="eastAsia" w:ascii="Times New Roman" w:hAnsi="Times New Roman" w:eastAsia="仿宋_GB2312" w:cs="Times New Roman"/>
                <w:b/>
                <w:bCs/>
                <w:color w:val="000000" w:themeColor="text1"/>
                <w:kern w:val="0"/>
                <w:sz w:val="24"/>
                <w:szCs w:val="24"/>
                <w14:textFill>
                  <w14:solidFill>
                    <w14:schemeClr w14:val="tx1"/>
                  </w14:solidFill>
                </w14:textFill>
              </w:rPr>
              <w:t>潜在规模</w:t>
            </w:r>
          </w:p>
        </w:tc>
        <w:tc>
          <w:tcPr>
            <w:tcW w:w="7413" w:type="dxa"/>
            <w:gridSpan w:val="3"/>
            <w:tcBorders>
              <w:top w:val="single" w:color="auto" w:sz="4" w:space="0"/>
              <w:left w:val="single" w:color="auto" w:sz="4" w:space="0"/>
              <w:bottom w:val="single" w:color="auto" w:sz="4" w:space="0"/>
              <w:right w:val="single" w:color="auto" w:sz="4" w:space="0"/>
            </w:tcBorders>
          </w:tcPr>
          <w:p>
            <w:pPr>
              <w:spacing w:line="240" w:lineRule="auto"/>
              <w:ind w:firstLine="480" w:firstLineChars="200"/>
              <w:rPr>
                <w:rFonts w:hint="eastAsia" w:ascii="仿宋_GB2312" w:hAnsi="Times New Roman" w:eastAsia="仿宋_GB2312" w:cs="方正仿宋简体"/>
                <w:sz w:val="24"/>
                <w:szCs w:val="20"/>
                <w:lang w:val="en-US" w:eastAsia="zh-CN"/>
              </w:rPr>
            </w:pPr>
            <w:r>
              <w:rPr>
                <w:rFonts w:hint="eastAsia" w:ascii="仿宋_GB2312" w:hAnsi="Times New Roman" w:eastAsia="仿宋_GB2312" w:cs="方正仿宋简体"/>
                <w:sz w:val="24"/>
                <w:szCs w:val="20"/>
                <w:lang w:val="en-US" w:eastAsia="zh-CN"/>
              </w:rPr>
              <w:t>深圳天珑无线科技有限公司是深圳市天珑移动技术有限公司旗下全资子公司，天珑移动注册资本20亿元，总部位于深圳南山区，立足移动通讯终端产业，深耕通讯行业20年，业务囊括移动智能终端、智能硬件（AIoT)、5G毫米波技术应用以及汽车电子产品等领域。产品及服务惠及全球80多个国家和地区，截止2025上半年统计，手机ODM出货量排名全球前三。公司连续多年入选中国电子信息百强企业、中国制造业民营500强企业、广东省民营百强企业、广东省制造业百强企业、深圳市工业百强企业、南山区工业增加值10强企业。天珑拥有广东河源、江西南昌、四川宜宾及越南海防四大智能制造基地，年产能超1亿台，产线自动化率超80%。</w:t>
            </w:r>
          </w:p>
          <w:p>
            <w:pPr>
              <w:spacing w:line="240" w:lineRule="auto"/>
              <w:ind w:firstLine="480" w:firstLineChars="200"/>
              <w:rPr>
                <w:rFonts w:ascii="仿宋_GB2312" w:hAnsi="Times New Roman" w:eastAsia="仿宋_GB2312" w:cs="方正仿宋简体"/>
                <w:sz w:val="24"/>
                <w:szCs w:val="20"/>
              </w:rPr>
            </w:pPr>
            <w:r>
              <w:rPr>
                <w:rFonts w:hint="eastAsia" w:ascii="仿宋_GB2312" w:hAnsi="Times New Roman" w:eastAsia="仿宋_GB2312" w:cs="方正仿宋简体"/>
                <w:sz w:val="24"/>
                <w:szCs w:val="20"/>
              </w:rPr>
              <w:t>从长期来看，本项目需求的技术和产品将具有显著的成本优势。一方面，智能终端柔性组装的自动化和智能化将大幅减少人工成本。据统计，目前智能终端制造企业中，人工组装成本占总成本的30% - 40%，通过本项目技术的应用，预计可将人工成本降低50%以上。另一方面，由于产品良品率的提高和生产效率的提升，将减少原材料的浪费和生产周期，进一步降低生产成本。以智能手机组装为例，良品率提高20%，每年可为企业节省数百万元的原材料成本；生产效率提升30%，则意味着在相同的时间内可以生产更多的产品，增加企业的销售收入。随着5G、物联网、人工智能等技术的快速发展，智能终端产品的市场需求持续增长。据市场研究机构预测，未来五年全球智能终端市场规模将以每年8% - 10%的速度增长。而柔性组装作为智能终端制造的关键环节，对先进技术和设备的需求更为迫切。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531" w:hRule="atLeast"/>
          <w:jc w:val="center"/>
        </w:trPr>
        <w:tc>
          <w:tcPr>
            <w:tcW w:w="1857" w:type="dxa"/>
            <w:tcBorders>
              <w:top w:val="single" w:color="auto" w:sz="4" w:space="0"/>
              <w:left w:val="single" w:color="auto" w:sz="4" w:space="0"/>
              <w:bottom w:val="single" w:color="auto" w:sz="4" w:space="0"/>
              <w:right w:val="single" w:color="auto" w:sz="4" w:space="0"/>
            </w:tcBorders>
            <w:vAlign w:val="center"/>
          </w:tcPr>
          <w:p>
            <w:pPr>
              <w:snapToGrid w:val="0"/>
              <w:spacing w:line="240" w:lineRule="auto"/>
              <w:jc w:val="center"/>
              <w:rPr>
                <w:rFonts w:ascii="Times New Roman" w:hAnsi="Times New Roman" w:eastAsia="仿宋_GB2312" w:cs="Times New Roman"/>
                <w:color w:val="000000" w:themeColor="text1"/>
                <w:kern w:val="0"/>
                <w:sz w:val="24"/>
                <w:szCs w:val="24"/>
                <w14:textFill>
                  <w14:solidFill>
                    <w14:schemeClr w14:val="tx1"/>
                  </w14:solidFill>
                </w14:textFill>
              </w:rPr>
            </w:pPr>
            <w:r>
              <w:rPr>
                <w:rFonts w:hint="eastAsia" w:ascii="Times New Roman" w:hAnsi="Times New Roman" w:eastAsia="仿宋_GB2312" w:cs="Times New Roman"/>
                <w:b/>
                <w:bCs/>
                <w:color w:val="000000" w:themeColor="text1"/>
                <w:kern w:val="0"/>
                <w:sz w:val="24"/>
                <w:szCs w:val="24"/>
                <w:highlight w:val="none"/>
                <w14:textFill>
                  <w14:solidFill>
                    <w14:schemeClr w14:val="tx1"/>
                  </w14:solidFill>
                </w14:textFill>
              </w:rPr>
              <w:t>建设基础</w:t>
            </w:r>
          </w:p>
        </w:tc>
        <w:tc>
          <w:tcPr>
            <w:tcW w:w="7413" w:type="dxa"/>
            <w:gridSpan w:val="3"/>
            <w:tcBorders>
              <w:top w:val="single" w:color="auto" w:sz="4" w:space="0"/>
              <w:left w:val="single" w:color="auto" w:sz="4" w:space="0"/>
              <w:bottom w:val="single" w:color="auto" w:sz="4" w:space="0"/>
              <w:right w:val="single" w:color="auto" w:sz="4" w:space="0"/>
            </w:tcBorders>
          </w:tcPr>
          <w:p>
            <w:pPr>
              <w:numPr>
                <w:ilvl w:val="0"/>
                <w:numId w:val="3"/>
              </w:numPr>
              <w:spacing w:line="240" w:lineRule="auto"/>
              <w:ind w:firstLine="480" w:firstLineChars="200"/>
              <w:rPr>
                <w:rFonts w:hint="eastAsia" w:ascii="仿宋_GB2312" w:hAnsi="Times New Roman" w:eastAsia="仿宋_GB2312" w:cs="方正仿宋简体"/>
                <w:sz w:val="24"/>
                <w:szCs w:val="20"/>
                <w:highlight w:val="none"/>
                <w:lang w:val="en-US" w:eastAsia="zh-CN"/>
              </w:rPr>
            </w:pPr>
            <w:r>
              <w:rPr>
                <w:rFonts w:hint="eastAsia" w:ascii="仿宋_GB2312" w:hAnsi="Times New Roman" w:eastAsia="仿宋_GB2312" w:cs="方正仿宋简体"/>
                <w:sz w:val="24"/>
                <w:szCs w:val="20"/>
                <w:highlight w:val="none"/>
                <w:lang w:val="en-US" w:eastAsia="zh-CN"/>
              </w:rPr>
              <w:t>厂房与布局：现有产线布局是一字长线，天花板高度4米，地面为环氧树脂，能承2吨/平米以上设备，为机器人预留了足够的扩展空间。</w:t>
            </w:r>
          </w:p>
          <w:p>
            <w:pPr>
              <w:numPr>
                <w:ilvl w:val="0"/>
                <w:numId w:val="3"/>
              </w:numPr>
              <w:spacing w:line="240" w:lineRule="auto"/>
              <w:ind w:left="0" w:leftChars="0" w:firstLine="480" w:firstLineChars="200"/>
              <w:rPr>
                <w:rFonts w:hint="eastAsia" w:ascii="仿宋_GB2312" w:hAnsi="Times New Roman" w:eastAsia="仿宋_GB2312" w:cs="方正仿宋简体"/>
                <w:sz w:val="24"/>
                <w:szCs w:val="20"/>
                <w:highlight w:val="none"/>
                <w:lang w:val="en-US" w:eastAsia="zh-CN"/>
              </w:rPr>
            </w:pPr>
            <w:r>
              <w:rPr>
                <w:rFonts w:hint="eastAsia" w:ascii="仿宋_GB2312" w:hAnsi="Times New Roman" w:eastAsia="仿宋_GB2312" w:cs="方正仿宋简体"/>
                <w:sz w:val="24"/>
                <w:szCs w:val="20"/>
                <w:highlight w:val="none"/>
                <w:lang w:val="en-US" w:eastAsia="zh-CN"/>
              </w:rPr>
              <w:t>基础设施：电力容量（380V/220V）、每个工站都可以提供稳定的压缩空气管路。</w:t>
            </w:r>
          </w:p>
          <w:p>
            <w:pPr>
              <w:numPr>
                <w:ilvl w:val="0"/>
                <w:numId w:val="3"/>
              </w:numPr>
              <w:spacing w:line="240" w:lineRule="auto"/>
              <w:ind w:left="0" w:leftChars="0" w:firstLine="480" w:firstLineChars="200"/>
              <w:rPr>
                <w:rFonts w:hint="eastAsia" w:ascii="仿宋_GB2312" w:hAnsi="Times New Roman" w:eastAsia="仿宋_GB2312" w:cs="方正仿宋简体"/>
                <w:sz w:val="24"/>
                <w:szCs w:val="20"/>
                <w:highlight w:val="none"/>
                <w:lang w:val="en-US" w:eastAsia="zh-CN"/>
              </w:rPr>
            </w:pPr>
            <w:r>
              <w:rPr>
                <w:rFonts w:hint="eastAsia" w:ascii="仿宋_GB2312" w:hAnsi="Times New Roman" w:eastAsia="仿宋_GB2312" w:cs="方正仿宋简体"/>
                <w:sz w:val="24"/>
                <w:szCs w:val="20"/>
                <w:highlight w:val="none"/>
                <w:lang w:val="en-US" w:eastAsia="zh-CN"/>
              </w:rPr>
              <w:t>现有自动化水平：产线上已有多种自动化设备，包括SCARA机器手，现场工程师有一定的设备维护经验。</w:t>
            </w:r>
          </w:p>
          <w:p>
            <w:pPr>
              <w:numPr>
                <w:ilvl w:val="0"/>
                <w:numId w:val="3"/>
              </w:numPr>
              <w:spacing w:line="240" w:lineRule="auto"/>
              <w:ind w:left="0" w:leftChars="0" w:firstLine="480" w:firstLineChars="200"/>
              <w:rPr>
                <w:rFonts w:hint="eastAsia" w:ascii="仿宋_GB2312" w:hAnsi="Times New Roman" w:eastAsia="仿宋_GB2312" w:cs="方正仿宋简体"/>
                <w:sz w:val="24"/>
                <w:szCs w:val="20"/>
                <w:highlight w:val="none"/>
                <w:lang w:val="en-US" w:eastAsia="zh-CN"/>
              </w:rPr>
            </w:pPr>
            <w:r>
              <w:rPr>
                <w:rFonts w:hint="eastAsia" w:ascii="仿宋_GB2312" w:hAnsi="Times New Roman" w:eastAsia="仿宋_GB2312" w:cs="方正仿宋简体"/>
                <w:sz w:val="24"/>
                <w:szCs w:val="20"/>
                <w:highlight w:val="none"/>
                <w:lang w:val="en-US" w:eastAsia="zh-CN"/>
              </w:rPr>
              <w:t>工厂有稳定的企业级千兆有线网络和WIFI无线网络，能够接入各种设备。</w:t>
            </w:r>
          </w:p>
          <w:p>
            <w:pPr>
              <w:numPr>
                <w:ilvl w:val="0"/>
                <w:numId w:val="3"/>
              </w:numPr>
              <w:spacing w:line="240" w:lineRule="auto"/>
              <w:ind w:left="0" w:leftChars="0" w:firstLine="480" w:firstLineChars="200"/>
              <w:rPr>
                <w:rFonts w:hint="eastAsia" w:ascii="仿宋_GB2312" w:hAnsi="Times New Roman" w:eastAsia="仿宋_GB2312" w:cs="方正仿宋简体"/>
                <w:sz w:val="24"/>
                <w:szCs w:val="20"/>
                <w:highlight w:val="none"/>
                <w:lang w:val="en-US" w:eastAsia="zh-CN"/>
              </w:rPr>
            </w:pPr>
            <w:r>
              <w:rPr>
                <w:rFonts w:hint="eastAsia" w:ascii="仿宋_GB2312" w:hAnsi="Times New Roman" w:eastAsia="仿宋_GB2312" w:cs="方正仿宋简体"/>
                <w:sz w:val="24"/>
                <w:szCs w:val="20"/>
                <w:highlight w:val="none"/>
                <w:lang w:val="en-US" w:eastAsia="zh-CN"/>
              </w:rPr>
              <w:t>目标产线主要生产手机和平板，不同机型工艺相似，智能化设备需要满足不同尺寸的要求。</w:t>
            </w:r>
          </w:p>
          <w:p>
            <w:pPr>
              <w:numPr>
                <w:ilvl w:val="0"/>
                <w:numId w:val="3"/>
              </w:numPr>
              <w:spacing w:line="240" w:lineRule="auto"/>
              <w:ind w:left="0" w:leftChars="0" w:firstLine="480" w:firstLineChars="200"/>
              <w:rPr>
                <w:rFonts w:hint="eastAsia" w:ascii="仿宋_GB2312" w:hAnsi="Times New Roman" w:eastAsia="仿宋_GB2312" w:cs="方正仿宋简体"/>
                <w:sz w:val="24"/>
                <w:szCs w:val="20"/>
                <w:highlight w:val="none"/>
                <w:lang w:val="en-US" w:eastAsia="zh-CN"/>
              </w:rPr>
            </w:pPr>
            <w:r>
              <w:rPr>
                <w:rFonts w:hint="eastAsia" w:ascii="仿宋_GB2312" w:hAnsi="Times New Roman" w:eastAsia="仿宋_GB2312" w:cs="方正仿宋简体"/>
                <w:sz w:val="24"/>
                <w:szCs w:val="20"/>
                <w:highlight w:val="none"/>
                <w:lang w:val="en-US" w:eastAsia="zh-CN"/>
              </w:rPr>
              <w:t>已与解决方案商沟通，可引入用于柔性产线作业的机器人，解决“精密装配、物料分拣、柔性打包”等场景任务。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411" w:hRule="atLeast"/>
          <w:jc w:val="center"/>
        </w:trPr>
        <w:tc>
          <w:tcPr>
            <w:tcW w:w="1857" w:type="dxa"/>
            <w:tcBorders>
              <w:top w:val="single" w:color="auto" w:sz="4" w:space="0"/>
              <w:left w:val="single" w:color="auto" w:sz="4" w:space="0"/>
              <w:bottom w:val="single" w:color="auto" w:sz="4" w:space="0"/>
              <w:right w:val="single" w:color="auto" w:sz="4" w:space="0"/>
            </w:tcBorders>
            <w:vAlign w:val="center"/>
          </w:tcPr>
          <w:p>
            <w:pPr>
              <w:snapToGrid w:val="0"/>
              <w:spacing w:line="240" w:lineRule="auto"/>
              <w:jc w:val="center"/>
              <w:rPr>
                <w:rFonts w:ascii="Times New Roman" w:hAnsi="Times New Roman" w:eastAsia="仿宋_GB2312" w:cs="Times New Roman"/>
                <w:color w:val="000000" w:themeColor="text1"/>
                <w:kern w:val="0"/>
                <w:sz w:val="24"/>
                <w:szCs w:val="24"/>
                <w14:textFill>
                  <w14:solidFill>
                    <w14:schemeClr w14:val="tx1"/>
                  </w14:solidFill>
                </w14:textFill>
              </w:rPr>
            </w:pPr>
            <w:r>
              <w:rPr>
                <w:rFonts w:hint="eastAsia" w:ascii="Times New Roman" w:hAnsi="Times New Roman" w:eastAsia="仿宋_GB2312" w:cs="Times New Roman"/>
                <w:b/>
                <w:bCs/>
                <w:color w:val="000000" w:themeColor="text1"/>
                <w:kern w:val="0"/>
                <w:sz w:val="24"/>
                <w:szCs w:val="24"/>
                <w14:textFill>
                  <w14:solidFill>
                    <w14:schemeClr w14:val="tx1"/>
                  </w14:solidFill>
                </w14:textFill>
              </w:rPr>
              <w:t>实施成效</w:t>
            </w:r>
          </w:p>
        </w:tc>
        <w:tc>
          <w:tcPr>
            <w:tcW w:w="7413" w:type="dxa"/>
            <w:gridSpan w:val="3"/>
            <w:tcBorders>
              <w:top w:val="single" w:color="auto" w:sz="4" w:space="0"/>
              <w:left w:val="single" w:color="auto" w:sz="4" w:space="0"/>
              <w:bottom w:val="single" w:color="auto" w:sz="4" w:space="0"/>
              <w:right w:val="single" w:color="auto" w:sz="4" w:space="0"/>
            </w:tcBorders>
          </w:tcPr>
          <w:p>
            <w:pPr>
              <w:numPr>
                <w:ilvl w:val="0"/>
                <w:numId w:val="4"/>
              </w:numPr>
              <w:spacing w:line="240" w:lineRule="auto"/>
              <w:ind w:firstLine="482" w:firstLineChars="200"/>
              <w:rPr>
                <w:rFonts w:ascii="仿宋_GB2312" w:hAnsi="Times New Roman" w:eastAsia="仿宋_GB2312" w:cs="方正仿宋简体"/>
                <w:sz w:val="24"/>
                <w:szCs w:val="20"/>
              </w:rPr>
            </w:pPr>
            <w:r>
              <w:rPr>
                <w:rFonts w:hint="eastAsia" w:ascii="仿宋_GB2312" w:hAnsi="Times New Roman" w:eastAsia="仿宋_GB2312" w:cs="方正仿宋简体"/>
                <w:b/>
                <w:bCs/>
                <w:sz w:val="24"/>
                <w:szCs w:val="20"/>
              </w:rPr>
              <w:t>经济效益：</w:t>
            </w:r>
            <w:r>
              <w:rPr>
                <w:rFonts w:hint="eastAsia" w:ascii="仿宋_GB2312" w:hAnsi="Times New Roman" w:eastAsia="仿宋_GB2312" w:cs="方正仿宋简体"/>
                <w:sz w:val="24"/>
                <w:szCs w:val="20"/>
              </w:rPr>
              <w:t>从企业内部生产运营的角度来看，项目的实施将带来显著的成本降低效应。通过引入先进的多模态具身智能技术和灵巧手控制技术，智能终端制造企业的生产效率将大幅提升30%以上，产品良品率提高20%以上。这意味着企业在原材料采购、生产加工、质量检测等各个环节都能够实现资源的优化配置和高效利用，从而每年节省大量的生产成本。</w:t>
            </w:r>
            <w:r>
              <w:rPr>
                <w:rFonts w:hint="eastAsia" w:ascii="仿宋_GB2312" w:hAnsi="Times New Roman" w:eastAsia="仿宋_GB2312" w:cs="方正仿宋简体"/>
                <w:sz w:val="24"/>
                <w:szCs w:val="20"/>
                <w:lang w:val="en-US" w:eastAsia="zh-CN"/>
              </w:rPr>
              <w:t>天珑年</w:t>
            </w:r>
            <w:r>
              <w:rPr>
                <w:rFonts w:hint="eastAsia" w:ascii="仿宋_GB2312" w:hAnsi="Times New Roman" w:eastAsia="仿宋_GB2312" w:cs="方正仿宋简体"/>
                <w:sz w:val="24"/>
                <w:szCs w:val="20"/>
              </w:rPr>
              <w:t>产值</w:t>
            </w:r>
            <w:r>
              <w:rPr>
                <w:rFonts w:hint="eastAsia" w:ascii="仿宋_GB2312" w:hAnsi="Times New Roman" w:eastAsia="仿宋_GB2312" w:cs="方正仿宋简体"/>
                <w:sz w:val="24"/>
                <w:szCs w:val="20"/>
                <w:lang w:val="en-US" w:eastAsia="zh-CN"/>
              </w:rPr>
              <w:t>超200亿，</w:t>
            </w:r>
            <w:r>
              <w:rPr>
                <w:rFonts w:hint="eastAsia" w:ascii="仿宋_GB2312" w:hAnsi="Times New Roman" w:eastAsia="仿宋_GB2312" w:cs="方正仿宋简体"/>
                <w:sz w:val="24"/>
                <w:szCs w:val="20"/>
              </w:rPr>
              <w:t>生产效率的提升和良品率的提高可使其每年节省成本约</w:t>
            </w:r>
            <w:r>
              <w:rPr>
                <w:rFonts w:hint="eastAsia" w:ascii="仿宋_GB2312" w:hAnsi="Times New Roman" w:eastAsia="仿宋_GB2312" w:cs="方正仿宋简体"/>
                <w:sz w:val="24"/>
                <w:szCs w:val="20"/>
                <w:lang w:val="en-US" w:eastAsia="zh-CN"/>
              </w:rPr>
              <w:t>6</w:t>
            </w:r>
            <w:r>
              <w:rPr>
                <w:rFonts w:hint="eastAsia" w:ascii="仿宋_GB2312" w:hAnsi="Times New Roman" w:eastAsia="仿宋_GB2312" w:cs="方正仿宋简体"/>
                <w:sz w:val="24"/>
                <w:szCs w:val="20"/>
              </w:rPr>
              <w:t>000万元。此外，项目团队还将通过技术许可、合作生产等多种灵活的方式，与相关企业分享这部分成本降低带来的收益，实现互利共赢的局面。从产业链的角度来看，项目的实施将产生强大的产业带动效应。上游的传感器、芯片、材料等零部件供应商将因市场需求的急剧增加而迎来新的发展机遇，纷纷扩大生产规模、加大研发投入，提高产品的质量和性能，从而推动整个上游产业的升级和发展。下游的物流、销售等企业也将受益于产品产量的增长和市场份额的扩大，进一步完善物流配送体系和销售渠道网络，提升服务质量和效率。预计项目将带动产业链上下游企业新增产值不低于20亿元，形成显著的产业集聚效应和规模经济效应，为区域经济的发展注入强大的动力。</w:t>
            </w:r>
          </w:p>
          <w:p>
            <w:pPr>
              <w:numPr>
                <w:ilvl w:val="0"/>
                <w:numId w:val="4"/>
              </w:numPr>
              <w:spacing w:line="240" w:lineRule="auto"/>
              <w:ind w:left="0" w:leftChars="0" w:firstLine="482" w:firstLineChars="200"/>
              <w:rPr>
                <w:rFonts w:ascii="仿宋_GB2312" w:hAnsi="Times New Roman" w:eastAsia="仿宋_GB2312" w:cs="方正仿宋简体"/>
                <w:sz w:val="24"/>
                <w:szCs w:val="20"/>
              </w:rPr>
            </w:pPr>
            <w:r>
              <w:rPr>
                <w:rFonts w:hint="eastAsia" w:ascii="仿宋_GB2312" w:hAnsi="Times New Roman" w:eastAsia="仿宋_GB2312" w:cs="方正仿宋简体"/>
                <w:b/>
                <w:bCs/>
                <w:sz w:val="24"/>
                <w:szCs w:val="20"/>
              </w:rPr>
              <w:t>推动智能终端产业创新发展：</w:t>
            </w:r>
            <w:r>
              <w:rPr>
                <w:rFonts w:hint="eastAsia" w:ascii="仿宋_GB2312" w:hAnsi="Times New Roman" w:eastAsia="仿宋_GB2312" w:cs="方正仿宋简体"/>
                <w:sz w:val="24"/>
                <w:szCs w:val="20"/>
              </w:rPr>
              <w:t>本项目的研究成果将为智能终端产业提供核心技术支撑，推动智能终端产品向高端化、智能化方向发展。通过实现柔性组装技术的突破，提高生产效率和产品质量，降低生产成本，增强我国智能终端产业的市场竞争力。同时，本项目还将促进智能终端产业与其他相关产业的融合发展，形成新的产业生态和经济增长点。例如，智能终端产业的发展将带动人工智能、物联网、大数据等相关产业的协同发展，推动深圳市乃至全国的产业升级和转型。</w:t>
            </w:r>
          </w:p>
          <w:p>
            <w:pPr>
              <w:numPr>
                <w:ilvl w:val="0"/>
                <w:numId w:val="4"/>
              </w:numPr>
              <w:spacing w:line="240" w:lineRule="auto"/>
              <w:ind w:left="0" w:leftChars="0" w:firstLine="482" w:firstLineChars="200"/>
              <w:rPr>
                <w:rFonts w:hint="eastAsia" w:ascii="仿宋_GB2312" w:hAnsi="Times New Roman" w:eastAsia="仿宋_GB2312" w:cs="方正仿宋简体"/>
                <w:sz w:val="24"/>
                <w:szCs w:val="20"/>
              </w:rPr>
            </w:pPr>
            <w:r>
              <w:rPr>
                <w:rFonts w:hint="eastAsia" w:ascii="仿宋_GB2312" w:hAnsi="Times New Roman" w:eastAsia="仿宋_GB2312" w:cs="方正仿宋简体"/>
                <w:b/>
                <w:bCs/>
                <w:sz w:val="24"/>
                <w:szCs w:val="20"/>
              </w:rPr>
              <w:t>促进社会经济发展和就业：</w:t>
            </w:r>
            <w:r>
              <w:rPr>
                <w:rFonts w:hint="eastAsia" w:ascii="仿宋_GB2312" w:hAnsi="Times New Roman" w:eastAsia="仿宋_GB2312" w:cs="方正仿宋简体"/>
                <w:sz w:val="24"/>
                <w:szCs w:val="20"/>
              </w:rPr>
              <w:t>本项目的实施将带动相关产业的发展，创造更多的就业机会和经济效益。通过推动智能终端产业的创新发展，提高产业的附加值和利润率，增加企业的收入和利润。同时，本项目的实施还将促进人才培养和技术创新，为深圳市乃至全国的经济社会发展提供强有力的人才保障和技术支持。例如，本项目将培养一批掌握先进智能终端制造技术和智能制造理论的高素质人才，为相关产业的发展提供人才储备。</w:t>
            </w:r>
          </w:p>
        </w:tc>
      </w:tr>
    </w:tbl>
    <w:p>
      <w:pPr>
        <w:rPr>
          <w:rFonts w:ascii="Times New Roman" w:hAnsi="Times New Roman" w:eastAsia="仿宋_GB2312"/>
          <w:sz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00" w:usb3="00000000" w:csb0="00040000" w:csb1="00000000"/>
  </w:font>
  <w:font w:name="方正仿宋简体">
    <w:altName w:val="微软雅黑"/>
    <w:panose1 w:val="00000000000000000000"/>
    <w:charset w:val="86"/>
    <w:family w:val="roman"/>
    <w:pitch w:val="default"/>
    <w:sig w:usb0="00000000" w:usb1="00000000" w:usb2="00000012"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13D50ED"/>
    <w:multiLevelType w:val="singleLevel"/>
    <w:tmpl w:val="913D50ED"/>
    <w:lvl w:ilvl="0" w:tentative="0">
      <w:start w:val="1"/>
      <w:numFmt w:val="decimal"/>
      <w:suff w:val="space"/>
      <w:lvlText w:val="%1."/>
      <w:lvlJc w:val="left"/>
    </w:lvl>
  </w:abstractNum>
  <w:abstractNum w:abstractNumId="1">
    <w:nsid w:val="9D15BF55"/>
    <w:multiLevelType w:val="singleLevel"/>
    <w:tmpl w:val="9D15BF55"/>
    <w:lvl w:ilvl="0" w:tentative="0">
      <w:start w:val="1"/>
      <w:numFmt w:val="decimal"/>
      <w:suff w:val="space"/>
      <w:lvlText w:val="%1."/>
      <w:lvlJc w:val="left"/>
    </w:lvl>
  </w:abstractNum>
  <w:abstractNum w:abstractNumId="2">
    <w:nsid w:val="E2214FBD"/>
    <w:multiLevelType w:val="singleLevel"/>
    <w:tmpl w:val="E2214FBD"/>
    <w:lvl w:ilvl="0" w:tentative="0">
      <w:start w:val="4"/>
      <w:numFmt w:val="decimal"/>
      <w:suff w:val="space"/>
      <w:lvlText w:val="%1."/>
      <w:lvlJc w:val="left"/>
    </w:lvl>
  </w:abstractNum>
  <w:abstractNum w:abstractNumId="3">
    <w:nsid w:val="F5C0869E"/>
    <w:multiLevelType w:val="singleLevel"/>
    <w:tmpl w:val="F5C0869E"/>
    <w:lvl w:ilvl="0" w:tentative="0">
      <w:start w:val="1"/>
      <w:numFmt w:val="decimal"/>
      <w:suff w:val="space"/>
      <w:lvlText w:val="%1."/>
      <w:lvlJc w:val="left"/>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zg3OTczNzI0ZWJiZjRjNDQ5ZjMxYzE5NzFmNzE4MjMifQ=="/>
  </w:docVars>
  <w:rsids>
    <w:rsidRoot w:val="006C343B"/>
    <w:rsid w:val="000A3374"/>
    <w:rsid w:val="000A3922"/>
    <w:rsid w:val="000A4A4B"/>
    <w:rsid w:val="000F4C66"/>
    <w:rsid w:val="001242F7"/>
    <w:rsid w:val="00185040"/>
    <w:rsid w:val="00197CEC"/>
    <w:rsid w:val="001E5EAA"/>
    <w:rsid w:val="00205DBC"/>
    <w:rsid w:val="00222ADC"/>
    <w:rsid w:val="002265FE"/>
    <w:rsid w:val="00292980"/>
    <w:rsid w:val="002A3203"/>
    <w:rsid w:val="002F78B7"/>
    <w:rsid w:val="00311965"/>
    <w:rsid w:val="00372057"/>
    <w:rsid w:val="004063FD"/>
    <w:rsid w:val="00452DDD"/>
    <w:rsid w:val="00457E50"/>
    <w:rsid w:val="004814C2"/>
    <w:rsid w:val="004C7EB3"/>
    <w:rsid w:val="004E0182"/>
    <w:rsid w:val="004E0553"/>
    <w:rsid w:val="004F4487"/>
    <w:rsid w:val="00512D71"/>
    <w:rsid w:val="005153B7"/>
    <w:rsid w:val="00552DA0"/>
    <w:rsid w:val="0056248C"/>
    <w:rsid w:val="005A32C2"/>
    <w:rsid w:val="005A38BE"/>
    <w:rsid w:val="005B7FBF"/>
    <w:rsid w:val="005F1C89"/>
    <w:rsid w:val="005F7413"/>
    <w:rsid w:val="006163A2"/>
    <w:rsid w:val="006322CA"/>
    <w:rsid w:val="00665FDC"/>
    <w:rsid w:val="00684032"/>
    <w:rsid w:val="006C343B"/>
    <w:rsid w:val="006D112F"/>
    <w:rsid w:val="007168B5"/>
    <w:rsid w:val="00751207"/>
    <w:rsid w:val="007807BE"/>
    <w:rsid w:val="007830CB"/>
    <w:rsid w:val="007B6657"/>
    <w:rsid w:val="007D3ADA"/>
    <w:rsid w:val="00893BD5"/>
    <w:rsid w:val="008B7AAB"/>
    <w:rsid w:val="008D6FE9"/>
    <w:rsid w:val="00936F90"/>
    <w:rsid w:val="009A4411"/>
    <w:rsid w:val="009E7641"/>
    <w:rsid w:val="00A00B41"/>
    <w:rsid w:val="00A07B12"/>
    <w:rsid w:val="00A321DC"/>
    <w:rsid w:val="00A413AF"/>
    <w:rsid w:val="00A44CFF"/>
    <w:rsid w:val="00A464B4"/>
    <w:rsid w:val="00A95634"/>
    <w:rsid w:val="00AD5859"/>
    <w:rsid w:val="00B1112F"/>
    <w:rsid w:val="00B17A10"/>
    <w:rsid w:val="00B40814"/>
    <w:rsid w:val="00B76C08"/>
    <w:rsid w:val="00C15A05"/>
    <w:rsid w:val="00C418C9"/>
    <w:rsid w:val="00C53D1F"/>
    <w:rsid w:val="00C950F2"/>
    <w:rsid w:val="00CA1A59"/>
    <w:rsid w:val="00CA333D"/>
    <w:rsid w:val="00CB269D"/>
    <w:rsid w:val="00D15730"/>
    <w:rsid w:val="00D40CCD"/>
    <w:rsid w:val="00D43935"/>
    <w:rsid w:val="00D57E8E"/>
    <w:rsid w:val="00D85099"/>
    <w:rsid w:val="00DA7D29"/>
    <w:rsid w:val="00DF63D5"/>
    <w:rsid w:val="00E33726"/>
    <w:rsid w:val="00E65A14"/>
    <w:rsid w:val="00E75083"/>
    <w:rsid w:val="00F30842"/>
    <w:rsid w:val="00F57A7F"/>
    <w:rsid w:val="00F601B2"/>
    <w:rsid w:val="00F934E7"/>
    <w:rsid w:val="00FA4A3D"/>
    <w:rsid w:val="00FE290B"/>
    <w:rsid w:val="01F0403A"/>
    <w:rsid w:val="06C8202F"/>
    <w:rsid w:val="0D1242B5"/>
    <w:rsid w:val="1660547D"/>
    <w:rsid w:val="17D23921"/>
    <w:rsid w:val="19921729"/>
    <w:rsid w:val="1A876515"/>
    <w:rsid w:val="1C882FDB"/>
    <w:rsid w:val="1DD06378"/>
    <w:rsid w:val="1E8C2D66"/>
    <w:rsid w:val="231132FF"/>
    <w:rsid w:val="23384D2F"/>
    <w:rsid w:val="234D738C"/>
    <w:rsid w:val="2C6B7F24"/>
    <w:rsid w:val="2CC76418"/>
    <w:rsid w:val="2E117847"/>
    <w:rsid w:val="388B5DCB"/>
    <w:rsid w:val="39A474B2"/>
    <w:rsid w:val="3DFE37C3"/>
    <w:rsid w:val="45AE54CB"/>
    <w:rsid w:val="4DDFF696"/>
    <w:rsid w:val="4F151527"/>
    <w:rsid w:val="50506965"/>
    <w:rsid w:val="53E53868"/>
    <w:rsid w:val="55482C14"/>
    <w:rsid w:val="554C11A0"/>
    <w:rsid w:val="56E34B30"/>
    <w:rsid w:val="59082AD6"/>
    <w:rsid w:val="5E776CE7"/>
    <w:rsid w:val="65D43361"/>
    <w:rsid w:val="66EE3B95"/>
    <w:rsid w:val="67495B4D"/>
    <w:rsid w:val="6EFF7A7C"/>
    <w:rsid w:val="6F5E79DE"/>
    <w:rsid w:val="73CE4A02"/>
    <w:rsid w:val="74F55BA9"/>
    <w:rsid w:val="75AB6268"/>
    <w:rsid w:val="7B39F76B"/>
    <w:rsid w:val="BBDF3A71"/>
    <w:rsid w:val="BBFF52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unhideWhenUsed="0" w:uiPriority="99" w:semiHidden="0" w:name="heading 1"/>
    <w:lsdException w:qFormat="1" w:uiPriority="0" w:semiHidden="0" w:name="heading 2"/>
    <w:lsdException w:uiPriority="99" w:name="heading 3"/>
    <w:lsdException w:uiPriority="99" w:name="heading 4"/>
    <w:lsdException w:uiPriority="99" w:name="heading 5"/>
    <w:lsdException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99" w:name="toc 1"/>
    <w:lsdException w:uiPriority="99" w:name="toc 2"/>
    <w:lsdException w:uiPriority="99"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99"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semiHidden="0" w:name="Default Paragraph Font"/>
    <w:lsdException w:qFormat="1"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iPriority="99" w:semiHidden="0"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99" w:semiHidden="0" w:name="Strong"/>
    <w:lsdException w:unhideWhenUsed="0" w:uiPriority="99"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link w:val="20"/>
    <w:unhideWhenUsed/>
    <w:qFormat/>
    <w:uiPriority w:val="0"/>
    <w:pPr>
      <w:keepNext/>
      <w:keepLines/>
      <w:widowControl/>
      <w:spacing w:line="360" w:lineRule="auto"/>
      <w:jc w:val="left"/>
      <w:outlineLvl w:val="1"/>
    </w:pPr>
    <w:rPr>
      <w:rFonts w:eastAsia="仿宋" w:asciiTheme="majorHAnsi" w:hAnsiTheme="majorHAnsi" w:cstheme="majorBidi"/>
      <w:b/>
      <w:color w:val="000000" w:themeColor="text1"/>
      <w:kern w:val="0"/>
      <w:sz w:val="30"/>
      <w:szCs w:val="40"/>
      <w14:textFill>
        <w14:solidFill>
          <w14:schemeClr w14:val="tx1"/>
        </w14:solidFill>
      </w14:textFill>
      <w14:ligatures w14:val="standardContextual"/>
    </w:rPr>
  </w:style>
  <w:style w:type="character" w:default="1" w:styleId="10">
    <w:name w:val="Default Paragraph Font"/>
    <w:unhideWhenUsed/>
    <w:qFormat/>
    <w:uiPriority w:val="1"/>
  </w:style>
  <w:style w:type="table" w:default="1" w:styleId="8">
    <w:name w:val="Normal Table"/>
    <w:autoRedefine/>
    <w:semiHidden/>
    <w:unhideWhenUsed/>
    <w:qFormat/>
    <w:uiPriority w:val="99"/>
    <w:tblPr>
      <w:tblCellMar>
        <w:top w:w="0" w:type="dxa"/>
        <w:left w:w="108" w:type="dxa"/>
        <w:bottom w:w="0" w:type="dxa"/>
        <w:right w:w="108" w:type="dxa"/>
      </w:tblCellMar>
    </w:tblPr>
  </w:style>
  <w:style w:type="paragraph" w:styleId="3">
    <w:name w:val="Body Text"/>
    <w:basedOn w:val="1"/>
    <w:link w:val="16"/>
    <w:autoRedefine/>
    <w:semiHidden/>
    <w:unhideWhenUsed/>
    <w:qFormat/>
    <w:uiPriority w:val="99"/>
    <w:pPr>
      <w:spacing w:after="120"/>
    </w:pPr>
  </w:style>
  <w:style w:type="paragraph" w:styleId="4">
    <w:name w:val="Body Text Indent 2"/>
    <w:basedOn w:val="1"/>
    <w:link w:val="17"/>
    <w:autoRedefine/>
    <w:unhideWhenUsed/>
    <w:qFormat/>
    <w:uiPriority w:val="99"/>
    <w:pPr>
      <w:spacing w:after="120" w:line="480" w:lineRule="auto"/>
      <w:ind w:left="420" w:leftChars="200"/>
    </w:pPr>
  </w:style>
  <w:style w:type="paragraph" w:styleId="5">
    <w:name w:val="footer"/>
    <w:basedOn w:val="1"/>
    <w:link w:val="14"/>
    <w:autoRedefine/>
    <w:unhideWhenUsed/>
    <w:qFormat/>
    <w:uiPriority w:val="99"/>
    <w:pPr>
      <w:tabs>
        <w:tab w:val="center" w:pos="4153"/>
        <w:tab w:val="right" w:pos="8306"/>
      </w:tabs>
      <w:snapToGrid w:val="0"/>
      <w:jc w:val="left"/>
    </w:pPr>
    <w:rPr>
      <w:sz w:val="18"/>
      <w:szCs w:val="18"/>
    </w:rPr>
  </w:style>
  <w:style w:type="paragraph" w:styleId="6">
    <w:name w:val="header"/>
    <w:basedOn w:val="1"/>
    <w:link w:val="13"/>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Normal (Web)"/>
    <w:basedOn w:val="1"/>
    <w:autoRedefine/>
    <w:semiHidden/>
    <w:unhideWhenUsed/>
    <w:qFormat/>
    <w:uiPriority w:val="99"/>
    <w:rPr>
      <w:sz w:val="24"/>
    </w:rPr>
  </w:style>
  <w:style w:type="table" w:styleId="9">
    <w:name w:val="Table Grid"/>
    <w:basedOn w:val="8"/>
    <w:unhideWhenUsed/>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Strong"/>
    <w:basedOn w:val="10"/>
    <w:qFormat/>
    <w:uiPriority w:val="99"/>
    <w:rPr>
      <w:b/>
    </w:rPr>
  </w:style>
  <w:style w:type="character" w:styleId="12">
    <w:name w:val="Hyperlink"/>
    <w:basedOn w:val="10"/>
    <w:autoRedefine/>
    <w:unhideWhenUsed/>
    <w:qFormat/>
    <w:uiPriority w:val="99"/>
    <w:rPr>
      <w:color w:val="0000FF" w:themeColor="hyperlink"/>
      <w:u w:val="single"/>
      <w14:textFill>
        <w14:solidFill>
          <w14:schemeClr w14:val="hlink"/>
        </w14:solidFill>
      </w14:textFill>
    </w:rPr>
  </w:style>
  <w:style w:type="character" w:customStyle="1" w:styleId="13">
    <w:name w:val="页眉 字符"/>
    <w:basedOn w:val="10"/>
    <w:link w:val="6"/>
    <w:autoRedefine/>
    <w:qFormat/>
    <w:uiPriority w:val="99"/>
    <w:rPr>
      <w:sz w:val="18"/>
      <w:szCs w:val="18"/>
    </w:rPr>
  </w:style>
  <w:style w:type="character" w:customStyle="1" w:styleId="14">
    <w:name w:val="页脚 字符"/>
    <w:basedOn w:val="10"/>
    <w:link w:val="5"/>
    <w:autoRedefine/>
    <w:qFormat/>
    <w:uiPriority w:val="99"/>
    <w:rPr>
      <w:sz w:val="18"/>
      <w:szCs w:val="18"/>
    </w:rPr>
  </w:style>
  <w:style w:type="paragraph" w:customStyle="1" w:styleId="15">
    <w:name w:val="样式1"/>
    <w:basedOn w:val="3"/>
    <w:qFormat/>
    <w:uiPriority w:val="0"/>
    <w:pPr>
      <w:widowControl/>
      <w:spacing w:after="0"/>
      <w:ind w:firstLine="640" w:firstLineChars="200"/>
    </w:pPr>
    <w:rPr>
      <w:rFonts w:ascii="仿宋_GB2312" w:hAnsi="仿宋_GB2312" w:eastAsia="仿宋_GB2312" w:cs="Times New Roman"/>
      <w:kern w:val="0"/>
      <w:sz w:val="32"/>
      <w:szCs w:val="24"/>
    </w:rPr>
  </w:style>
  <w:style w:type="character" w:customStyle="1" w:styleId="16">
    <w:name w:val="正文文本 字符"/>
    <w:basedOn w:val="10"/>
    <w:link w:val="3"/>
    <w:autoRedefine/>
    <w:semiHidden/>
    <w:qFormat/>
    <w:uiPriority w:val="99"/>
  </w:style>
  <w:style w:type="character" w:customStyle="1" w:styleId="17">
    <w:name w:val="正文文本缩进 2 字符"/>
    <w:basedOn w:val="10"/>
    <w:link w:val="4"/>
    <w:autoRedefine/>
    <w:qFormat/>
    <w:uiPriority w:val="99"/>
  </w:style>
  <w:style w:type="paragraph" w:customStyle="1" w:styleId="18">
    <w:name w:val="报告正文"/>
    <w:basedOn w:val="1"/>
    <w:link w:val="19"/>
    <w:qFormat/>
    <w:uiPriority w:val="0"/>
    <w:pPr>
      <w:widowControl/>
      <w:spacing w:line="360" w:lineRule="auto"/>
      <w:ind w:firstLine="200" w:firstLineChars="200"/>
      <w:jc w:val="left"/>
    </w:pPr>
    <w:rPr>
      <w:rFonts w:ascii="宋体" w:hAnsi="宋体" w:eastAsia="仿宋" w:cs="宋体"/>
      <w:kern w:val="0"/>
      <w:sz w:val="24"/>
      <w:szCs w:val="24"/>
      <w14:ligatures w14:val="standardContextual"/>
    </w:rPr>
  </w:style>
  <w:style w:type="character" w:customStyle="1" w:styleId="19">
    <w:name w:val="报告正文 字符"/>
    <w:basedOn w:val="10"/>
    <w:link w:val="18"/>
    <w:autoRedefine/>
    <w:qFormat/>
    <w:uiPriority w:val="0"/>
    <w:rPr>
      <w:rFonts w:ascii="宋体" w:hAnsi="宋体" w:eastAsia="仿宋" w:cs="宋体"/>
      <w:sz w:val="24"/>
      <w:szCs w:val="24"/>
      <w14:ligatures w14:val="standardContextual"/>
    </w:rPr>
  </w:style>
  <w:style w:type="character" w:customStyle="1" w:styleId="20">
    <w:name w:val="标题 2 字符"/>
    <w:basedOn w:val="10"/>
    <w:link w:val="2"/>
    <w:qFormat/>
    <w:uiPriority w:val="0"/>
    <w:rPr>
      <w:rFonts w:eastAsia="仿宋" w:asciiTheme="majorHAnsi" w:hAnsiTheme="majorHAnsi" w:cstheme="majorBidi"/>
      <w:b/>
      <w:color w:val="000000" w:themeColor="text1"/>
      <w:sz w:val="30"/>
      <w:szCs w:val="40"/>
      <w14:textFill>
        <w14:solidFill>
          <w14:schemeClr w14:val="tx1"/>
        </w14:solidFill>
      </w14:textFill>
      <w14:ligatures w14:val="standardContextual"/>
    </w:rPr>
  </w:style>
  <w:style w:type="paragraph" w:styleId="21">
    <w:name w:val="List Paragraph"/>
    <w:basedOn w:val="1"/>
    <w:autoRedefine/>
    <w:unhideWhenUsed/>
    <w:qFormat/>
    <w:uiPriority w:val="99"/>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satMod val="300000"/>
                <a:tint val="50000"/>
              </a:schemeClr>
            </a:gs>
            <a:gs pos="35000">
              <a:schemeClr val="phClr">
                <a:satMod val="300000"/>
                <a:tint val="37000"/>
              </a:schemeClr>
            </a:gs>
            <a:gs pos="100000">
              <a:schemeClr val="phClr">
                <a:satMod val="350000"/>
                <a:tint val="15000"/>
              </a:schemeClr>
            </a:gs>
          </a:gsLst>
          <a:lin ang="16200000" scaled="1"/>
        </a:gradFill>
        <a:gradFill rotWithShape="1">
          <a:gsLst>
            <a:gs pos="0">
              <a:schemeClr val="phClr">
                <a:satMod val="130000"/>
                <a:shade val="51000"/>
              </a:schemeClr>
            </a:gs>
            <a:gs pos="80000">
              <a:schemeClr val="phClr">
                <a:satMod val="130000"/>
                <a:shade val="93000"/>
              </a:schemeClr>
            </a:gs>
            <a:gs pos="100000">
              <a:schemeClr val="phClr">
                <a:satMod val="135000"/>
                <a:shade val="94000"/>
              </a:schemeClr>
            </a:gs>
          </a:gsLst>
          <a:lin ang="16200000" scaled="0"/>
        </a:gradFill>
      </a:fillStyleLst>
      <a:lnStyleLst>
        <a:ln w="9525" cap="flat" cmpd="sng" algn="ctr">
          <a:solidFill>
            <a:schemeClr val="phClr">
              <a:satMod val="105000"/>
              <a:shade val="9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satMod val="350000"/>
                <a:tint val="40000"/>
              </a:schemeClr>
            </a:gs>
            <a:gs pos="40000">
              <a:schemeClr val="phClr">
                <a:satMod val="350000"/>
                <a:shade val="99000"/>
                <a:tint val="45000"/>
              </a:schemeClr>
            </a:gs>
            <a:gs pos="100000">
              <a:schemeClr val="phClr">
                <a:satMod val="255000"/>
                <a:shade val="20000"/>
              </a:schemeClr>
            </a:gs>
          </a:gsLst>
          <a:path path="circle">
            <a:fillToRect l="50000" t="-80000" r="50000" b="180000"/>
          </a:path>
        </a:gradFill>
        <a:gradFill rotWithShape="1">
          <a:gsLst>
            <a:gs pos="0">
              <a:schemeClr val="phClr">
                <a:satMod val="300000"/>
                <a:tint val="80000"/>
              </a:schemeClr>
            </a:gs>
            <a:gs pos="100000">
              <a:schemeClr val="phClr">
                <a:satMod val="200000"/>
                <a:shade val="3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4011</Words>
  <Characters>4261</Characters>
  <Lines>27</Lines>
  <Paragraphs>7</Paragraphs>
  <TotalTime>7588</TotalTime>
  <ScaleCrop>false</ScaleCrop>
  <LinksUpToDate>false</LinksUpToDate>
  <CharactersWithSpaces>4300</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2024-06-18T09:15:00Z</dcterms:created>
  <dc:creator>张平</dc:creator>
  <cp:lastModifiedBy>SRA小助手</cp:lastModifiedBy>
  <dcterms:modified xsi:type="dcterms:W3CDTF">2026-03-04T06:48:19Z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7A4A283326A747FF98AE89DEED19FEAC_13</vt:lpwstr>
  </property>
  <property fmtid="{D5CDD505-2E9C-101B-9397-08002B2CF9AE}" pid="4" name="KSOTemplateDocerSaveRecord">
    <vt:lpwstr>eyJoZGlkIjoiODVjYzhiY2MyZTQ4ZWY4OWYwOTE2ZTMxMTdmNzlkZjAiLCJ1c2VySWQiOiIzNTcxMDQ2MTYifQ==</vt:lpwstr>
  </property>
</Properties>
</file>