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20" w:lineRule="exact"/>
        <w:jc w:val="center"/>
        <w:textAlignment w:val="auto"/>
        <w:rPr>
          <w:rFonts w:hint="eastAsia" w:ascii="楷体_GB2312" w:hAnsi="楷体_GB2312" w:eastAsia="楷体_GB2312" w:cs="楷体_GB2312"/>
          <w:sz w:val="32"/>
          <w:lang w:val="en-US"/>
        </w:rPr>
      </w:pPr>
      <w:r>
        <w:rPr>
          <w:rFonts w:hint="eastAsia" w:ascii="黑体" w:hAnsi="黑体" w:eastAsia="黑体"/>
          <w:sz w:val="32"/>
          <w:lang w:eastAsia="zh-CN"/>
        </w:rPr>
        <w:t>深圳市南山区</w:t>
      </w:r>
      <w:r>
        <w:rPr>
          <w:rFonts w:hint="eastAsia" w:ascii="黑体" w:hAnsi="黑体" w:eastAsia="黑体"/>
          <w:sz w:val="32"/>
        </w:rPr>
        <w:t>机器人应用场景征集表</w:t>
      </w:r>
      <w:bookmarkStart w:id="1" w:name="_GoBack"/>
      <w:bookmarkEnd w:id="1"/>
    </w:p>
    <w:tbl>
      <w:tblPr>
        <w:tblStyle w:val="4"/>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imes New Roman" w:hAnsi="Times New Roman" w:eastAsia="仿宋_GB2312" w:cs="Times New Roman"/>
                <w:color w:val="000000" w:themeColor="text1"/>
                <w:kern w:val="0"/>
                <w:sz w:val="24"/>
                <w:szCs w:val="24"/>
                <w:lang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面向学校科创课程建设的交互式机器人需求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1.学校基本情况</w:t>
            </w:r>
          </w:p>
          <w:p>
            <w:pPr>
              <w:spacing w:line="320" w:lineRule="exact"/>
              <w:ind w:firstLine="480"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学校位于前海自贸区桂湾片区，北连基金小镇，南接桂湾河，占地面积约2.84万平方米，建筑面积约3.56万平方米，于2019年9月开学，是自贸区内开办的第一所九年一贯制公办学校，现已开设一至九年级共70个教学班，在校学生3072名，专任教师203人，平均年龄31岁，其中研究生学历109人（含博士学位2人），占比54%。</w:t>
            </w:r>
          </w:p>
          <w:p>
            <w:pPr>
              <w:spacing w:line="320" w:lineRule="exact"/>
              <w:ind w:firstLine="480"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学校以“立足前海，对话国际，传承与创新，打造一所具有国际影响力的未来学校，努力成为社会主义先行示范区新优质学校的标杆”为愿景，以“培养适应未来的创新人才”为使命，以“育之以爱，学以成人”为核心办学理念，以“做有根的现代特区小公民”为本校培养目标，导入创客文化，重构利于创新人才培养的学习生态，落实“目标导向、课程定位”的策略，着力构建九年一贯5I（Informational信息化、International国际化、Integrated综合化、Intelligent智慧型、Innovative创新型）综合化课程体系，设计与开发《基于未来人才培养的财经素养教育》《科学与技术创新》《STEP综合素养》《难忘的中国节》等课程，并通过变革学习方式、变革评价方式、打造学习新社群、重构学习空间、聚集学生综合素养与关键能力的培养，力求体现“创新与传统相融、科技与人文互进”的办学特征。</w:t>
            </w:r>
          </w:p>
          <w:p>
            <w:pPr>
              <w:spacing w:line="320" w:lineRule="exact"/>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2.学校科学与技术创新课程建设情况</w:t>
            </w:r>
          </w:p>
          <w:p>
            <w:pPr>
              <w:spacing w:line="320" w:lineRule="exact"/>
              <w:ind w:firstLine="480" w:firstLineChars="200"/>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2015年至今，学校以培养未来创新人才为使命，以“创新是核心竞争力；人人需要创新意识和创新思维；不同的人有不同的创新，人人皆可创新”为创新理念，制定《基于未来人才培养的综合化课程指引》，在厘定学习生态概念、剖析未来创新人才内涵后，基于“为什么学”“学什么”“怎么学”“学得如何”“在哪学”五个维度构建了指向未来科技创新人才培养的学习新生态的理论框架。</w:t>
            </w:r>
          </w:p>
          <w:p>
            <w:pPr>
              <w:pStyle w:val="2"/>
              <w:spacing w:line="360" w:lineRule="auto"/>
              <w:jc w:val="center"/>
              <w:rPr>
                <w:rFonts w:hint="default" w:ascii="Times New Roman" w:hAnsi="Times New Roman" w:eastAsia="仿宋" w:cs="Times New Roman"/>
                <w:spacing w:val="21"/>
                <w:position w:val="18"/>
                <w:sz w:val="31"/>
                <w:szCs w:val="31"/>
                <w:lang w:eastAsia="zh-CN"/>
              </w:rPr>
            </w:pPr>
            <w:r>
              <w:rPr>
                <w:rFonts w:hint="default" w:ascii="Times New Roman" w:hAnsi="Times New Roman" w:eastAsia="仿宋" w:cs="Times New Roman"/>
                <w:spacing w:val="21"/>
                <w:position w:val="18"/>
                <w:sz w:val="31"/>
                <w:szCs w:val="31"/>
                <w:lang w:eastAsia="zh-CN"/>
              </w:rPr>
              <w:drawing>
                <wp:inline distT="0" distB="0" distL="114300" distR="114300">
                  <wp:extent cx="2326005" cy="2325370"/>
                  <wp:effectExtent l="0" t="0" r="1714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326005" cy="2325370"/>
                          </a:xfrm>
                          <a:prstGeom prst="rect">
                            <a:avLst/>
                          </a:prstGeom>
                          <a:noFill/>
                          <a:ln>
                            <a:noFill/>
                          </a:ln>
                        </pic:spPr>
                      </pic:pic>
                    </a:graphicData>
                  </a:graphic>
                </wp:inline>
              </w:drawing>
            </w:r>
            <w:bookmarkStart w:id="0" w:name="_Toc154760428"/>
          </w:p>
          <w:bookmarkEnd w:id="0"/>
          <w:p>
            <w:pPr>
              <w:spacing w:line="320" w:lineRule="exact"/>
              <w:ind w:firstLine="480" w:firstLineChars="200"/>
              <w:rPr>
                <w:rFonts w:hint="eastAsia" w:cs="仿宋" w:asciiTheme="minorEastAsia" w:hAnsiTheme="minorEastAsia"/>
                <w:bCs/>
                <w:sz w:val="28"/>
                <w:szCs w:val="28"/>
                <w:highlight w:val="none"/>
                <w:lang w:val="en-US" w:eastAsia="zh-CN"/>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以国家新课程标准为基准，导入新型教育技术理论，结合学生科学素养导航图的认知框架，积极融合“科学”“信息科技”等学科，创编科学与技术创新课程，简称科创课。从一年级开始开设科创课。课程内容设置严格按照学生学习发展特点递进，编排合理。</w:t>
            </w:r>
          </w:p>
          <w:p>
            <w:pPr>
              <w:spacing w:line="360" w:lineRule="auto"/>
              <w:jc w:val="center"/>
              <w:rPr>
                <w:rFonts w:hint="eastAsia" w:cs="仿宋" w:asciiTheme="minorEastAsia" w:hAnsiTheme="minorEastAsia"/>
                <w:bCs/>
                <w:sz w:val="28"/>
                <w:szCs w:val="28"/>
                <w:highlight w:val="none"/>
                <w:lang w:val="en-US" w:eastAsia="zh-CN"/>
              </w:rPr>
            </w:pPr>
            <w:r>
              <w:rPr>
                <w:rFonts w:hint="eastAsia" w:cs="仿宋" w:asciiTheme="minorEastAsia" w:hAnsiTheme="minorEastAsia"/>
                <w:bCs/>
                <w:sz w:val="28"/>
                <w:szCs w:val="28"/>
                <w:highlight w:val="none"/>
                <w:lang w:val="en-US" w:eastAsia="zh-CN"/>
              </w:rPr>
              <w:drawing>
                <wp:inline distT="0" distB="0" distL="114300" distR="114300">
                  <wp:extent cx="3382645" cy="1838960"/>
                  <wp:effectExtent l="0" t="0" r="8255" b="8890"/>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5"/>
                          <a:stretch>
                            <a:fillRect/>
                          </a:stretch>
                        </pic:blipFill>
                        <pic:spPr>
                          <a:xfrm>
                            <a:off x="0" y="0"/>
                            <a:ext cx="3382645" cy="1838960"/>
                          </a:xfrm>
                          <a:prstGeom prst="rect">
                            <a:avLst/>
                          </a:prstGeom>
                        </pic:spPr>
                      </pic:pic>
                    </a:graphicData>
                  </a:graphic>
                </wp:inline>
              </w:drawing>
            </w:r>
          </w:p>
          <w:p>
            <w:pPr>
              <w:spacing w:line="320" w:lineRule="exact"/>
              <w:ind w:firstLine="480"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严格落实和强化科学与技术创新课程，将科技创新真正融入学校的教与学之中，形成学校独具特色的“创客文化”教育。秉持“创新和传统相融，科技与人文互进”的办学特征，并将国际化与信息化贯穿于学校整体的全方位教育教学之中。</w:t>
            </w:r>
          </w:p>
          <w:p>
            <w:pPr>
              <w:spacing w:line="240" w:lineRule="auto"/>
              <w:jc w:val="center"/>
              <w:rPr>
                <w:rFonts w:hint="default" w:ascii="Times New Roman" w:hAnsi="Times New Roman" w:cs="Times New Roman"/>
              </w:rPr>
            </w:pPr>
            <w:r>
              <w:rPr>
                <w:rFonts w:hint="default" w:ascii="Times New Roman" w:hAnsi="Times New Roman" w:cs="Times New Roman"/>
              </w:rPr>
              <w:drawing>
                <wp:inline distT="0" distB="0" distL="114300" distR="114300">
                  <wp:extent cx="3139440" cy="2045970"/>
                  <wp:effectExtent l="0" t="0" r="381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rcRect l="2959" r="2161"/>
                          <a:stretch>
                            <a:fillRect/>
                          </a:stretch>
                        </pic:blipFill>
                        <pic:spPr>
                          <a:xfrm>
                            <a:off x="0" y="0"/>
                            <a:ext cx="3139440" cy="2045970"/>
                          </a:xfrm>
                          <a:prstGeom prst="rect">
                            <a:avLst/>
                          </a:prstGeom>
                          <a:noFill/>
                          <a:ln>
                            <a:noFill/>
                          </a:ln>
                        </pic:spPr>
                      </pic:pic>
                    </a:graphicData>
                  </a:graphic>
                </wp:inline>
              </w:drawing>
            </w:r>
          </w:p>
          <w:p>
            <w:pPr>
              <w:spacing w:line="320" w:lineRule="exact"/>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3.现有场景实施情况及痛点</w:t>
            </w:r>
          </w:p>
          <w:p>
            <w:pPr>
              <w:spacing w:line="320" w:lineRule="exact"/>
              <w:rPr>
                <w:rFonts w:hint="default" w:ascii="Times New Roman" w:hAnsi="Times New Roman" w:eastAsia="仿宋_GB2312"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（1）现有实施情况</w:t>
            </w:r>
          </w:p>
          <w:p>
            <w:pPr>
              <w:spacing w:line="320" w:lineRule="exact"/>
              <w:ind w:firstLine="481"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24"/>
                <w:szCs w:val="24"/>
                <w:lang w:val="en-US" w:eastAsia="zh-CN"/>
                <w14:textFill>
                  <w14:solidFill>
                    <w14:schemeClr w14:val="tx1"/>
                  </w14:solidFill>
                </w14:textFill>
              </w:rPr>
              <w:t>教育场景：</w:t>
            </w: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现有机器人教育以课堂理论教学和简单编程实验为主，仅配备少量基础教学机器人，学生实操多</w:t>
            </w: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较少</w:t>
            </w: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，缺乏与真实校园场景的联动实践，需教师全程手动指导设备调试与场景模拟。</w:t>
            </w:r>
          </w:p>
          <w:p>
            <w:pPr>
              <w:spacing w:line="320" w:lineRule="exact"/>
              <w:rPr>
                <w:rFonts w:hint="default" w:ascii="Times New Roman" w:hAnsi="Times New Roman" w:eastAsia="仿宋_GB2312"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（2）现实痛点</w:t>
            </w:r>
          </w:p>
          <w:p>
            <w:pPr>
              <w:spacing w:line="320" w:lineRule="exact"/>
              <w:ind w:firstLine="481"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教育层面：</w:t>
            </w: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教学机器人数量不足、功能单一，缺乏“教学-实践-应用”闭环，学生难以将编程知识转化为实际操作能力，与智慧教育发展需求存在差距。</w:t>
            </w:r>
          </w:p>
          <w:p>
            <w:pPr>
              <w:spacing w:line="320" w:lineRule="exact"/>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4.引入机器人的必要性</w:t>
            </w:r>
          </w:p>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24"/>
                <w:szCs w:val="24"/>
                <w:lang w:val="en-US" w:eastAsia="zh-CN"/>
                <w14:textFill>
                  <w14:solidFill>
                    <w14:schemeClr w14:val="tx1"/>
                  </w14:solidFill>
                </w14:textFill>
              </w:rPr>
              <w:t>赋能</w:t>
            </w: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科技</w:t>
            </w:r>
            <w:r>
              <w:rPr>
                <w:rFonts w:hint="default" w:ascii="Times New Roman" w:hAnsi="Times New Roman" w:eastAsia="仿宋_GB2312" w:cs="Times New Roman"/>
                <w:b/>
                <w:bCs/>
                <w:color w:val="000000" w:themeColor="text1"/>
                <w:kern w:val="0"/>
                <w:sz w:val="24"/>
                <w:szCs w:val="24"/>
                <w:lang w:val="en-US" w:eastAsia="zh-CN"/>
                <w14:textFill>
                  <w14:solidFill>
                    <w14:schemeClr w14:val="tx1"/>
                  </w14:solidFill>
                </w14:textFill>
              </w:rPr>
              <w:t>特色教育：</w:t>
            </w: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机器人作为具象化教学载体，可构建“课堂编程-校园实操”一体化教学模式，契合中小学机器人教学规范，提升学生AI素养与实践能力，打造学校科技教育亮点。</w:t>
            </w:r>
          </w:p>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1.需要机器人的基本情况</w:t>
            </w:r>
          </w:p>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24"/>
                <w:szCs w:val="24"/>
                <w:lang w:val="en-US" w:eastAsia="zh-CN"/>
                <w14:textFill>
                  <w14:solidFill>
                    <w14:schemeClr w14:val="tx1"/>
                  </w14:solidFill>
                </w14:textFill>
              </w:rPr>
              <w:t>教育机器人</w:t>
            </w: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：计划配置15台，含轮式教学机器人10台、人形教学机器人5台；轮式机器人用于低年级编程入门、寻迹避障实验，人形机器人用于高年级动作编程、多模态交互实践，配套图形化编程软件及教学资源包。</w:t>
            </w:r>
          </w:p>
          <w:p>
            <w:pPr>
              <w:spacing w:line="320" w:lineRule="exact"/>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2.需要实现的具体效果</w:t>
            </w:r>
          </w:p>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24"/>
                <w:szCs w:val="24"/>
                <w:lang w:val="en-US" w:eastAsia="zh-CN"/>
                <w14:textFill>
                  <w14:solidFill>
                    <w14:schemeClr w14:val="tx1"/>
                  </w14:solidFill>
                </w14:textFill>
              </w:rPr>
              <w:t>教育效果：</w:t>
            </w: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支持从基础编程到复杂任务设计的阶梯式教学，学生可通过编程控制机器人完成校园巡线、环境检测、互动展示等任务；机器人开放二次开发接口，适配学校社团活动与竞赛需求。</w:t>
            </w:r>
          </w:p>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p>
          <w:p>
            <w:pPr>
              <w:spacing w:line="320" w:lineRule="exact"/>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3.性能参数需求</w:t>
            </w:r>
          </w:p>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24"/>
                <w:szCs w:val="24"/>
                <w:lang w:val="en-US" w:eastAsia="zh-CN"/>
                <w14:textFill>
                  <w14:solidFill>
                    <w14:schemeClr w14:val="tx1"/>
                  </w14:solidFill>
                </w14:textFill>
              </w:rPr>
              <w:t>教育机器人：</w:t>
            </w: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符合《中小学教学机器人技术规范》，轮式机器人运行速度10-500mm/s，配备触碰、红外、超声波等传感器，单次续航≥100分钟；人形机器人具备≥15°爬坡能力，支持抓取、跳舞等动作编程，续航≥20分钟，噪音≤50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tcPr>
          <w:p>
            <w:pPr>
              <w:spacing w:line="320" w:lineRule="exact"/>
              <w:jc w:val="center"/>
              <w:rPr>
                <w:rFonts w:hint="default" w:ascii="仿宋_GB2312" w:hAnsi="Times New Roman" w:eastAsia="仿宋_GB2312" w:cs="方正仿宋简体"/>
                <w:sz w:val="24"/>
                <w:szCs w:val="20"/>
                <w:lang w:val="en-US" w:eastAsia="zh-CN"/>
              </w:rPr>
            </w:pPr>
          </w:p>
        </w:tc>
        <w:tc>
          <w:tcPr>
            <w:tcW w:w="23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b w:val="0"/>
                <w:bCs w:val="0"/>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val="0"/>
                <w:bCs w:val="0"/>
                <w:color w:val="000000" w:themeColor="text1"/>
                <w:kern w:val="0"/>
                <w:sz w:val="24"/>
                <w:szCs w:val="24"/>
                <w:lang w:val="en-US" w:eastAsia="zh-CN"/>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default" w:ascii="仿宋_GB2312" w:hAnsi="Times New Roman" w:eastAsia="仿宋_GB2312" w:cs="方正仿宋简体"/>
                <w:b/>
                <w:bCs/>
                <w:sz w:val="24"/>
                <w:szCs w:val="20"/>
                <w:lang w:val="en-US" w:eastAsia="zh-CN"/>
              </w:rPr>
            </w:pPr>
            <w:r>
              <w:rPr>
                <w:rFonts w:hint="eastAsia" w:ascii="仿宋_GB2312" w:hAnsi="Times New Roman" w:eastAsia="仿宋_GB2312" w:cs="方正仿宋简体"/>
                <w:b/>
                <w:bCs/>
                <w:sz w:val="24"/>
                <w:szCs w:val="20"/>
                <w:lang w:val="en-US" w:eastAsia="zh-CN"/>
              </w:rPr>
              <w:t>1.国内外相关应用情况</w:t>
            </w:r>
          </w:p>
          <w:p>
            <w:pPr>
              <w:spacing w:line="320" w:lineRule="exact"/>
              <w:ind w:firstLine="481" w:firstLineChars="200"/>
              <w:rPr>
                <w:rFonts w:hint="default" w:ascii="仿宋_GB2312" w:hAnsi="Times New Roman" w:eastAsia="仿宋_GB2312" w:cs="方正仿宋简体"/>
                <w:b w:val="0"/>
                <w:bCs w:val="0"/>
                <w:sz w:val="24"/>
                <w:szCs w:val="20"/>
                <w:lang w:val="en-US" w:eastAsia="zh-CN"/>
              </w:rPr>
            </w:pPr>
            <w:r>
              <w:rPr>
                <w:rFonts w:hint="eastAsia" w:ascii="仿宋_GB2312" w:hAnsi="Times New Roman" w:eastAsia="仿宋_GB2312" w:cs="方正仿宋简体"/>
                <w:b/>
                <w:bCs/>
                <w:sz w:val="24"/>
                <w:szCs w:val="20"/>
                <w:lang w:val="en-US" w:eastAsia="zh-CN"/>
              </w:rPr>
              <w:t>（1）</w:t>
            </w:r>
            <w:r>
              <w:rPr>
                <w:rFonts w:hint="default" w:ascii="仿宋_GB2312" w:hAnsi="Times New Roman" w:eastAsia="仿宋_GB2312" w:cs="方正仿宋简体"/>
                <w:b/>
                <w:bCs/>
                <w:sz w:val="24"/>
                <w:szCs w:val="20"/>
                <w:lang w:val="en-US" w:eastAsia="zh-CN"/>
              </w:rPr>
              <w:t>国内应用：</w:t>
            </w:r>
            <w:r>
              <w:rPr>
                <w:rFonts w:hint="default" w:ascii="仿宋_GB2312" w:hAnsi="Times New Roman" w:eastAsia="仿宋_GB2312" w:cs="方正仿宋简体"/>
                <w:b w:val="0"/>
                <w:bCs w:val="0"/>
                <w:sz w:val="24"/>
                <w:szCs w:val="20"/>
                <w:lang w:val="en-US" w:eastAsia="zh-CN"/>
              </w:rPr>
              <w:t>教育领域，应用探索呈现多元化趋势。杭州市保俶塔实验学校作为全国机器人教学实践基地，采购四足机器狗融入劳动、信息科技课程，开发《智能伙伴：四足机器人创新实践》校本课程，引导学生通过编程实现机器狗校园巡逻、物资配送等功能，将技术操作与人文关怀、实际问题解决相结合，其机器人社团已培养出多名深耕工程领域的拔尖人才，形成“技术赋能成长、创新反哺社会”的育人模式。三亚九小开展具身机器人科普课堂，通过互动演示激发学生兴趣；山东信息职业学院搭建机器人“4S”服务中心，实现产教融合育人。此外，国内已引入韩国清州教育大学机器人课程体系，经本土化改良后形成适配中小学的培训课程，推动机器人教育标准化发展。</w:t>
            </w:r>
          </w:p>
          <w:p>
            <w:pPr>
              <w:spacing w:line="320" w:lineRule="exact"/>
              <w:ind w:firstLine="481" w:firstLineChars="200"/>
              <w:rPr>
                <w:rFonts w:hint="default" w:ascii="仿宋_GB2312" w:hAnsi="Times New Roman" w:eastAsia="仿宋_GB2312" w:cs="方正仿宋简体"/>
                <w:b w:val="0"/>
                <w:bCs w:val="0"/>
                <w:sz w:val="24"/>
                <w:szCs w:val="20"/>
                <w:lang w:val="en-US" w:eastAsia="zh-CN"/>
              </w:rPr>
            </w:pPr>
            <w:r>
              <w:rPr>
                <w:rFonts w:hint="eastAsia" w:ascii="仿宋_GB2312" w:hAnsi="Times New Roman" w:eastAsia="仿宋_GB2312" w:cs="方正仿宋简体"/>
                <w:b/>
                <w:bCs/>
                <w:sz w:val="24"/>
                <w:szCs w:val="20"/>
                <w:lang w:val="en-US" w:eastAsia="zh-CN"/>
              </w:rPr>
              <w:t>（2）</w:t>
            </w:r>
            <w:r>
              <w:rPr>
                <w:rFonts w:hint="default" w:ascii="仿宋_GB2312" w:hAnsi="Times New Roman" w:eastAsia="仿宋_GB2312" w:cs="方正仿宋简体"/>
                <w:b/>
                <w:bCs/>
                <w:sz w:val="24"/>
                <w:szCs w:val="20"/>
                <w:lang w:val="en-US" w:eastAsia="zh-CN"/>
              </w:rPr>
              <w:t>国外应用：</w:t>
            </w:r>
            <w:r>
              <w:rPr>
                <w:rFonts w:hint="default" w:ascii="仿宋_GB2312" w:hAnsi="Times New Roman" w:eastAsia="仿宋_GB2312" w:cs="方正仿宋简体"/>
                <w:b w:val="0"/>
                <w:bCs w:val="0"/>
                <w:sz w:val="24"/>
                <w:szCs w:val="20"/>
                <w:lang w:val="en-US" w:eastAsia="zh-CN"/>
              </w:rPr>
              <w:t>欧美及日韩形成各具特色的发展路径，整体产业化与课程融合度更高。欧美地区以STEAM教育为核心，美国、德国中小学将机器人深度融入跨学科教学，学生通过编程控制机器人完成环境监测、工程搭建等探究性任务，注重培养逻辑思维与创新能力；部分国际学校采用软银Pepper教育版机器人，实现多语言交互、情感陪伴与教学辅助一体化，其多模态交互技术与课程内容的适配性较强。日韩地区侧重标准化与场景精细化，韩国依托科学技术院与清州教育大学的合作，构建了覆盖中小学及幼儿园的机器人教育课程体系，普及率与认知度位居亚洲前列，课程内容涵盖机器人组装、编程及实际场景应用，形成成熟的产业链闭环。</w:t>
            </w:r>
          </w:p>
          <w:p>
            <w:pPr>
              <w:spacing w:line="320" w:lineRule="exact"/>
              <w:ind w:firstLine="480" w:firstLineChars="200"/>
              <w:rPr>
                <w:rFonts w:hint="default" w:ascii="仿宋_GB2312" w:hAnsi="Times New Roman" w:eastAsia="仿宋_GB2312" w:cs="方正仿宋简体"/>
                <w:b w:val="0"/>
                <w:bCs w:val="0"/>
                <w:sz w:val="24"/>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b/>
                <w:bCs/>
                <w:sz w:val="24"/>
                <w:szCs w:val="20"/>
                <w:lang w:val="en-US" w:eastAsia="zh-CN"/>
              </w:rPr>
              <w:t>1.</w:t>
            </w:r>
            <w:r>
              <w:rPr>
                <w:rFonts w:hint="eastAsia" w:ascii="仿宋_GB2312" w:hAnsi="Times New Roman" w:eastAsia="仿宋_GB2312" w:cs="方正仿宋简体"/>
                <w:b/>
                <w:bCs/>
                <w:sz w:val="24"/>
                <w:szCs w:val="20"/>
                <w:lang w:eastAsia="zh-CN"/>
              </w:rPr>
              <w:t>前期已开展工作进展</w:t>
            </w:r>
          </w:p>
          <w:p>
            <w:pPr>
              <w:spacing w:line="320" w:lineRule="exact"/>
              <w:ind w:firstLine="481" w:firstLineChars="200"/>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b/>
                <w:bCs/>
                <w:sz w:val="24"/>
                <w:szCs w:val="20"/>
                <w:lang w:eastAsia="zh-CN"/>
              </w:rPr>
              <w:t>教学体系对接：</w:t>
            </w:r>
            <w:r>
              <w:rPr>
                <w:rFonts w:hint="eastAsia" w:ascii="仿宋_GB2312" w:hAnsi="Times New Roman" w:eastAsia="仿宋_GB2312" w:cs="方正仿宋简体"/>
                <w:sz w:val="24"/>
                <w:szCs w:val="20"/>
                <w:lang w:eastAsia="zh-CN"/>
              </w:rPr>
              <w:t>已梳理1-8年级信息技术课程大纲，结合机器人教学规范，初步设计“编程基础-设备实操-场景应用-竞赛提升”的阶梯式课程模块，预留机器人实践教学课时。</w:t>
            </w:r>
          </w:p>
          <w:p>
            <w:pPr>
              <w:spacing w:line="320" w:lineRule="exact"/>
              <w:rPr>
                <w:rFonts w:hint="eastAsia" w:ascii="仿宋_GB2312" w:hAnsi="Times New Roman" w:eastAsia="仿宋_GB2312" w:cs="方正仿宋简体"/>
                <w:b/>
                <w:bCs/>
                <w:sz w:val="24"/>
                <w:szCs w:val="20"/>
                <w:lang w:eastAsia="zh-CN"/>
              </w:rPr>
            </w:pPr>
            <w:r>
              <w:rPr>
                <w:rFonts w:hint="eastAsia" w:ascii="仿宋_GB2312" w:hAnsi="Times New Roman" w:eastAsia="仿宋_GB2312" w:cs="方正仿宋简体"/>
                <w:b/>
                <w:bCs/>
                <w:sz w:val="24"/>
                <w:szCs w:val="20"/>
                <w:lang w:val="en-US" w:eastAsia="zh-CN"/>
              </w:rPr>
              <w:t>2.</w:t>
            </w:r>
            <w:r>
              <w:rPr>
                <w:rFonts w:hint="eastAsia" w:ascii="仿宋_GB2312" w:hAnsi="Times New Roman" w:eastAsia="仿宋_GB2312" w:cs="方正仿宋简体"/>
                <w:b/>
                <w:bCs/>
                <w:sz w:val="24"/>
                <w:szCs w:val="20"/>
                <w:lang w:eastAsia="zh-CN"/>
              </w:rPr>
              <w:t>相关要素储备情况</w:t>
            </w:r>
          </w:p>
          <w:p>
            <w:pPr>
              <w:spacing w:line="320" w:lineRule="exact"/>
              <w:ind w:firstLine="481" w:firstLineChars="200"/>
              <w:rPr>
                <w:rFonts w:hint="eastAsia" w:ascii="仿宋_GB2312" w:hAnsi="Times New Roman" w:eastAsia="仿宋_GB2312" w:cs="方正仿宋简体"/>
                <w:sz w:val="24"/>
                <w:szCs w:val="20"/>
                <w:lang w:eastAsia="zh-CN"/>
              </w:rPr>
            </w:pPr>
            <w:r>
              <w:rPr>
                <w:rFonts w:hint="eastAsia" w:ascii="仿宋_GB2312" w:hAnsi="Times New Roman" w:eastAsia="仿宋_GB2312" w:cs="方正仿宋简体"/>
                <w:b/>
                <w:bCs/>
                <w:sz w:val="24"/>
                <w:szCs w:val="20"/>
                <w:lang w:eastAsia="zh-CN"/>
              </w:rPr>
              <w:t>数据储备：</w:t>
            </w:r>
            <w:r>
              <w:rPr>
                <w:rFonts w:hint="eastAsia" w:ascii="仿宋_GB2312" w:hAnsi="Times New Roman" w:eastAsia="仿宋_GB2312" w:cs="方正仿宋简体"/>
                <w:sz w:val="24"/>
                <w:szCs w:val="20"/>
                <w:lang w:eastAsia="zh-CN"/>
              </w:rPr>
              <w:t>收集国内外中小学机器人教学案例与课程资源，形成教学素材库。</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2000000000000000000"/>
    <w:charset w:val="86"/>
    <w:family w:val="roman"/>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3OTczNzI0ZWJiZjRjNDQ5ZjMxYzE5NzFmNzE4MjMifQ=="/>
  </w:docVars>
  <w:rsids>
    <w:rsidRoot w:val="2F5E0A37"/>
    <w:rsid w:val="2EA90636"/>
    <w:rsid w:val="2F5E0A37"/>
    <w:rsid w:val="7F8F5F33"/>
    <w:rsid w:val="ABFC2055"/>
    <w:rsid w:val="E1C9E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caption"/>
    <w:basedOn w:val="1"/>
    <w:next w:val="1"/>
    <w:unhideWhenUsed/>
    <w:qFormat/>
    <w:uiPriority w:val="0"/>
    <w:pPr>
      <w:widowControl w:val="0"/>
      <w:kinsoku/>
      <w:autoSpaceDE/>
      <w:autoSpaceDN/>
      <w:adjustRightInd/>
      <w:snapToGrid/>
      <w:jc w:val="both"/>
      <w:textAlignment w:val="auto"/>
    </w:pPr>
    <w:rPr>
      <w:rFonts w:eastAsia="黑体" w:cs="Times New Roman"/>
      <w:snapToGrid/>
      <w:color w:val="auto"/>
      <w:kern w:val="2"/>
      <w:sz w:val="20"/>
      <w:szCs w:val="24"/>
      <w:lang w:eastAsia="zh-CN"/>
    </w:rPr>
  </w:style>
  <w:style w:type="paragraph" w:styleId="3">
    <w:name w:val="index 9"/>
    <w:basedOn w:val="1"/>
    <w:next w:val="1"/>
    <w:qFormat/>
    <w:uiPriority w:val="0"/>
    <w:pPr>
      <w:ind w:left="1600" w:leftChars="16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2026-03-04T23:15:00Z</dcterms:created>
  <dc:creator>SRA小助手</dc:creator>
  <cp:lastModifiedBy>区工业和信息化局帐户</cp:lastModifiedBy>
  <dcterms:modified xsi:type="dcterms:W3CDTF">2026-03-09T09:32:09Z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B5236AD90649419CBFD2B3EC0D9183EB_11</vt:lpwstr>
  </property>
</Properties>
</file>