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rPr>
      </w:pPr>
      <w:r>
        <w:rPr>
          <w:rFonts w:hint="eastAsia" w:ascii="黑体" w:hAnsi="黑体" w:eastAsia="黑体"/>
          <w:sz w:val="32"/>
        </w:rPr>
        <w:t>深圳市南山区机器人应用场景征集表</w:t>
      </w:r>
    </w:p>
    <w:tbl>
      <w:tblPr>
        <w:tblStyle w:val="7"/>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公园面向游客提供智能人</w:t>
            </w:r>
            <w:r>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t>形</w:t>
            </w:r>
            <w:bookmarkStart w:id="0" w:name="_GoBack"/>
            <w:bookmarkEnd w:id="0"/>
            <w:r>
              <w:rPr>
                <w:rFonts w:hint="eastAsia" w:ascii="Times New Roman" w:hAnsi="Times New Roman" w:eastAsia="仿宋_GB2312" w:cs="Times New Roman"/>
                <w:color w:val="000000" w:themeColor="text1"/>
                <w:kern w:val="0"/>
                <w:sz w:val="24"/>
                <w:szCs w:val="24"/>
                <w14:textFill>
                  <w14:solidFill>
                    <w14:schemeClr w14:val="tx1"/>
                  </w14:solidFill>
                </w14:textFill>
              </w:rPr>
              <w:t>机器人售卖、问询等服务需求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公园占地24万平方，人流量日均5000余人，作为面积及人流量均较大的市内公园引入人形机器人可解决如下痛点：</w:t>
            </w:r>
          </w:p>
          <w:p>
            <w:pPr>
              <w:snapToGrid w:val="0"/>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ascii="Times New Roman" w:hAnsi="Times New Roman" w:eastAsia="仿宋_GB2312" w:cs="Times New Roman"/>
                <w:b/>
                <w:bCs/>
                <w:color w:val="000000" w:themeColor="text1"/>
                <w:kern w:val="0"/>
                <w:sz w:val="24"/>
                <w:szCs w:val="24"/>
                <w14:textFill>
                  <w14:solidFill>
                    <w14:schemeClr w14:val="tx1"/>
                  </w14:solidFill>
                </w14:textFill>
              </w:rPr>
              <w:t>一、无人售卖场景</w:t>
            </w:r>
          </w:p>
          <w:p>
            <w:pPr>
              <w:snapToGrid w:val="0"/>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现有模式高度依赖人力值守售货点</w:t>
            </w:r>
            <w:r>
              <w:rPr>
                <w:rFonts w:hint="eastAsia" w:ascii="Times New Roman" w:hAnsi="Times New Roman" w:eastAsia="仿宋_GB2312" w:cs="Times New Roman"/>
                <w:color w:val="000000" w:themeColor="text1"/>
                <w:kern w:val="0"/>
                <w:sz w:val="24"/>
                <w:szCs w:val="24"/>
                <w14:textFill>
                  <w14:solidFill>
                    <w14:schemeClr w14:val="tx1"/>
                  </w14:solidFill>
                </w14:textFill>
              </w:rPr>
              <w:t>或通过</w:t>
            </w:r>
            <w:r>
              <w:rPr>
                <w:rFonts w:ascii="Times New Roman" w:hAnsi="Times New Roman" w:eastAsia="仿宋_GB2312" w:cs="Times New Roman"/>
                <w:color w:val="000000" w:themeColor="text1"/>
                <w:kern w:val="0"/>
                <w:sz w:val="24"/>
                <w:szCs w:val="24"/>
                <w14:textFill>
                  <w14:solidFill>
                    <w14:schemeClr w14:val="tx1"/>
                  </w14:solidFill>
                </w14:textFill>
              </w:rPr>
              <w:t>传统自动售货机，</w:t>
            </w:r>
            <w:r>
              <w:rPr>
                <w:rFonts w:hint="eastAsia" w:ascii="Times New Roman" w:hAnsi="Times New Roman" w:eastAsia="仿宋_GB2312" w:cs="Times New Roman"/>
                <w:color w:val="000000" w:themeColor="text1"/>
                <w:kern w:val="0"/>
                <w:sz w:val="24"/>
                <w:szCs w:val="24"/>
                <w14:textFill>
                  <w14:solidFill>
                    <w14:schemeClr w14:val="tx1"/>
                  </w14:solidFill>
                </w14:textFill>
              </w:rPr>
              <w:t>两种零售方式均存在一定短板</w:t>
            </w:r>
            <w:r>
              <w:rPr>
                <w:rFonts w:ascii="Times New Roman" w:hAnsi="Times New Roman" w:eastAsia="仿宋_GB2312" w:cs="Times New Roman"/>
                <w:color w:val="000000" w:themeColor="text1"/>
                <w:kern w:val="0"/>
                <w:sz w:val="24"/>
                <w:szCs w:val="24"/>
                <w14:textFill>
                  <w14:solidFill>
                    <w14:schemeClr w14:val="tx1"/>
                  </w14:solidFill>
                </w14:textFill>
              </w:rPr>
              <w:t>：一是人力售卖长期占用固定岗位人员（日均人力成本占比达35%），导致运营成本居高不下，与“降本增效”政策导向严重脱节；二是自动售货机引流能力薄弱，无法有效激活消费潜力，商业价值释放率偏低，制约公园“数字惠民”中“提升服务效能”目标的实现。</w:t>
            </w:r>
          </w:p>
          <w:p>
            <w:pPr>
              <w:snapToGrid w:val="0"/>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ascii="Times New Roman" w:hAnsi="Times New Roman" w:eastAsia="仿宋_GB2312" w:cs="Times New Roman"/>
                <w:b/>
                <w:bCs/>
                <w:color w:val="000000" w:themeColor="text1"/>
                <w:kern w:val="0"/>
                <w:sz w:val="24"/>
                <w:szCs w:val="24"/>
                <w14:textFill>
                  <w14:solidFill>
                    <w14:schemeClr w14:val="tx1"/>
                  </w14:solidFill>
                </w14:textFill>
              </w:rPr>
              <w:t>二、</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问询</w:t>
            </w:r>
            <w:r>
              <w:rPr>
                <w:rFonts w:ascii="Times New Roman" w:hAnsi="Times New Roman" w:eastAsia="仿宋_GB2312" w:cs="Times New Roman"/>
                <w:b/>
                <w:bCs/>
                <w:color w:val="000000" w:themeColor="text1"/>
                <w:kern w:val="0"/>
                <w:sz w:val="24"/>
                <w:szCs w:val="24"/>
                <w14:textFill>
                  <w14:solidFill>
                    <w14:schemeClr w14:val="tx1"/>
                  </w14:solidFill>
                </w14:textFill>
              </w:rPr>
              <w:t>导览场景</w:t>
            </w:r>
          </w:p>
          <w:p>
            <w:pPr>
              <w:snapToGrid w:val="0"/>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现有导览服务以静态标识牌与基础扫码讲解为主，导致游客体验痛点突出：一是目的地寻找困难（如景点、卫生间、应急出口等关键位置标识不清晰），游客平均寻路时间超8分钟，大幅降低游览效率；二是游园注意事项（如安全须知、开放时段、环保要求）获取渠道分散、响应滞后，</w:t>
            </w:r>
            <w:r>
              <w:rPr>
                <w:rFonts w:hint="eastAsia" w:ascii="Times New Roman" w:hAnsi="Times New Roman" w:eastAsia="仿宋_GB2312" w:cs="Times New Roman"/>
                <w:color w:val="000000" w:themeColor="text1"/>
                <w:kern w:val="0"/>
                <w:sz w:val="24"/>
                <w:szCs w:val="24"/>
                <w14:textFill>
                  <w14:solidFill>
                    <w14:schemeClr w14:val="tx1"/>
                  </w14:solidFill>
                </w14:textFill>
              </w:rPr>
              <w:t>相当部分</w:t>
            </w:r>
            <w:r>
              <w:rPr>
                <w:rFonts w:ascii="Times New Roman" w:hAnsi="Times New Roman" w:eastAsia="仿宋_GB2312" w:cs="Times New Roman"/>
                <w:color w:val="000000" w:themeColor="text1"/>
                <w:kern w:val="0"/>
                <w:sz w:val="24"/>
                <w:szCs w:val="24"/>
                <w14:textFill>
                  <w14:solidFill>
                    <w14:schemeClr w14:val="tx1"/>
                  </w14:solidFill>
                </w14:textFill>
              </w:rPr>
              <w:t>游客因信息缺失产生安全风险或服务投诉，与“智慧文旅”战略中“便捷化、精准化服务”要求存在显著差距。</w:t>
            </w:r>
          </w:p>
          <w:p>
            <w:pPr>
              <w:snapToGrid w:val="0"/>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三、基础设施智能化升级</w:t>
            </w:r>
          </w:p>
          <w:p>
            <w:pPr>
              <w:snapToGrid w:val="0"/>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公园基础设施仍以传统模式为主（如固定导览牌、人工售货点），与深圳"科技创新之城"的全球城市定位存在一定差异。通过部署人形机器人，打造集智能售卖、全息导览于一体的科技服务终端，系统性提升公园科技智能化水平，直接推动《深圳市智慧城市发展规划》中"智慧公园示范场景"建设目标落地，为深圳塑造具有全球影响力的公共服务新标杆提供核心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53"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pStyle w:val="17"/>
              <w:spacing w:line="280" w:lineRule="exact"/>
              <w:ind w:firstLine="48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一、无人售卖场景需求</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在公园无人售卖场景创新部署人形机器人系统，构建全流程智能化零售服务体系。该系统通过触控点单界面支持游客自主完成商品选择与无感支付（支持扫码、刷脸及数字人民币），实现瓶装饮料、零食及文创商品的高效交易；机器人精准识别用户指令，自动从货架抓取指定商品并递送至取货区，全程无需人工介入，显著提升服务响应速度与操作流畅度。</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1、商品点单功能</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支持游客通过高清触控界面自主完成商品选择与支付，覆盖扫码、刷脸及数字人民币等多元化支付方式，实现无接触式交易，显著提升消费便捷性与服务响应效率。</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2、商品取货功能</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机器人精准识别用户指定商品，自动从货架抓取并递送至取货台，全程无需人工介入，确保商品交付高效、准确，减少游客等待时间。</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3、交互互动功能</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（1）基于顾客与机器人距离感知（远距招揽、中距推销+产品介绍、近距指引下单），自动触发差异化服务行为；</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（2）在推销及下单交互阶段，机器人头部动态跟随人脸，实现自然眼神交流与拟人化互动；</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（3）收到订单后，自动触发语音提示（如“订单已确认”）及配套动作（如挥手示意）；</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（4）拿取商品过程中，实时触发语音提示（如“商品为您取好”）；</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（5）商品交付后，自动触发语音致意（如“请取走商品”）及动作（如轻点台面），营造沉浸式、人性化服务体验。</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4、库存管理功能</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运营人员通过后台管理系统实时监控商品库存余量，系统在库存低于阈值时自动推送补货提醒，实现“数据驱动补货”的精细化运维，降低人工巡检成本35%以上，有效支撑公园商业服务智能化升级。</w:t>
            </w:r>
          </w:p>
          <w:p>
            <w:pPr>
              <w:pStyle w:val="17"/>
              <w:spacing w:line="280" w:lineRule="exact"/>
              <w:ind w:firstLine="48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二、问询导览场景需求</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在</w:t>
            </w:r>
            <w:r>
              <w:rPr>
                <w:rFonts w:hint="eastAsia" w:ascii="Times New Roman" w:hAnsi="Times New Roman" w:eastAsia="仿宋_GB2312" w:cs="Times New Roman"/>
                <w:color w:val="000000" w:themeColor="text1"/>
                <w:kern w:val="0"/>
                <w:sz w:val="24"/>
                <w:szCs w:val="24"/>
                <w14:textFill>
                  <w14:solidFill>
                    <w14:schemeClr w14:val="tx1"/>
                  </w14:solidFill>
                </w14:textFill>
              </w:rPr>
              <w:t>公园问询</w:t>
            </w:r>
            <w:r>
              <w:rPr>
                <w:rFonts w:ascii="Times New Roman" w:hAnsi="Times New Roman" w:eastAsia="仿宋_GB2312" w:cs="Times New Roman"/>
                <w:color w:val="000000" w:themeColor="text1"/>
                <w:kern w:val="0"/>
                <w:sz w:val="24"/>
                <w:szCs w:val="24"/>
                <w14:textFill>
                  <w14:solidFill>
                    <w14:schemeClr w14:val="tx1"/>
                  </w14:solidFill>
                </w14:textFill>
              </w:rPr>
              <w:t>导览场景创新部署人形机器人系统，重点打造以游客需求为核心的智能导览服务模式。系统集成自然语言交互技术，支持游客通过语音或触控方式实时咨询公园开放时间、景点特色、游园须知及活动安排等高频问题</w:t>
            </w:r>
            <w:r>
              <w:rPr>
                <w:rFonts w:hint="eastAsia" w:ascii="Times New Roman" w:hAnsi="Times New Roman" w:eastAsia="仿宋_GB2312" w:cs="Times New Roman"/>
                <w:color w:val="000000" w:themeColor="text1"/>
                <w:kern w:val="0"/>
                <w:sz w:val="24"/>
                <w:szCs w:val="24"/>
                <w14:textFill>
                  <w14:solidFill>
                    <w14:schemeClr w14:val="tx1"/>
                  </w14:solidFill>
                </w14:textFill>
              </w:rPr>
              <w:t>；</w:t>
            </w:r>
            <w:r>
              <w:rPr>
                <w:rFonts w:ascii="Times New Roman" w:hAnsi="Times New Roman" w:eastAsia="仿宋_GB2312" w:cs="Times New Roman"/>
                <w:color w:val="000000" w:themeColor="text1"/>
                <w:kern w:val="0"/>
                <w:sz w:val="24"/>
                <w:szCs w:val="24"/>
                <w14:textFill>
                  <w14:solidFill>
                    <w14:schemeClr w14:val="tx1"/>
                  </w14:solidFill>
                </w14:textFill>
              </w:rPr>
              <w:t>同时动态同步更新</w:t>
            </w:r>
            <w:r>
              <w:rPr>
                <w:rFonts w:hint="eastAsia" w:ascii="Times New Roman" w:hAnsi="Times New Roman" w:eastAsia="仿宋_GB2312" w:cs="Times New Roman"/>
                <w:color w:val="000000" w:themeColor="text1"/>
                <w:kern w:val="0"/>
                <w:sz w:val="24"/>
                <w:szCs w:val="24"/>
                <w14:textFill>
                  <w14:solidFill>
                    <w14:schemeClr w14:val="tx1"/>
                  </w14:solidFill>
                </w14:textFill>
              </w:rPr>
              <w:t>公园</w:t>
            </w:r>
            <w:r>
              <w:rPr>
                <w:rFonts w:ascii="Times New Roman" w:hAnsi="Times New Roman" w:eastAsia="仿宋_GB2312" w:cs="Times New Roman"/>
                <w:color w:val="000000" w:themeColor="text1"/>
                <w:kern w:val="0"/>
                <w:sz w:val="24"/>
                <w:szCs w:val="24"/>
                <w14:textFill>
                  <w14:solidFill>
                    <w14:schemeClr w14:val="tx1"/>
                  </w14:solidFill>
                </w14:textFill>
              </w:rPr>
              <w:t>通知、天气预警等实时信息，通过语音播报实现信息精准触达，有效解决传统导览中"信息分散、响应滞后"的痛点，确保游客获取服务的及时性与权威性。</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1、智能问询答疑功能</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（1）支持自然语言交互，实时响应游客关于公园开放时间、景点特色、游园须知、活动安排等高频咨询；</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（2）动态更新信息推送，自动播报临时闭园通知、天气预警等实时动态，确保信息获取及时性与准确性。</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2、路线导览功能</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（1）需求精准接收：游客主动提出导览需求，机器人实时接收并确认需求内容；</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（2）定制化路径生成：基于游客输入需求，机器人即时生成个性化路线方案，结合实时人流热力图动态优化路径，避免拥堵；</w:t>
            </w:r>
          </w:p>
          <w:p>
            <w:pPr>
              <w:pStyle w:val="17"/>
              <w:spacing w:line="280" w:lineRule="exact"/>
              <w:ind w:left="420" w:leftChars="200" w:firstLine="0"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（3）安全联动导览：在导览过程中，机器人自动播报天气预警、水域安全提示等风险信息，并引导游客至最近避险点，实现"需求响应-路径规划-安全提示"全流程闭环服务。</w:t>
            </w:r>
          </w:p>
          <w:p>
            <w:pPr>
              <w:pStyle w:val="17"/>
              <w:spacing w:line="280" w:lineRule="exact"/>
              <w:ind w:firstLine="48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三、终端数量需求</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1、无人售卖场景（零售小车、零售亭等场所）1台人形机器人；</w:t>
            </w:r>
          </w:p>
          <w:p>
            <w:pPr>
              <w:pStyle w:val="17"/>
              <w:spacing w:line="280" w:lineRule="exact"/>
              <w:ind w:firstLine="48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2、问询导览场景（咨询区、导览中心等区域）1台人形机器人。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cs="Times New Roman"/>
                <w:color w:val="000000" w:themeColor="text1"/>
                <w:kern w:val="0"/>
                <w:sz w:val="24"/>
                <w:szCs w:val="24"/>
                <w14:textFill>
                  <w14:solidFill>
                    <w14:schemeClr w14:val="tx1"/>
                  </w14:solidFill>
                </w14:textFill>
              </w:rPr>
              <w:t>6</w:t>
            </w:r>
            <w:r>
              <w:rPr>
                <w:rFonts w:ascii="Times New Roman" w:hAnsi="Times New Roman" w:cs="Times New Roman"/>
                <w:color w:val="000000" w:themeColor="text1"/>
                <w:kern w:val="0"/>
                <w:sz w:val="24"/>
                <w:szCs w:val="24"/>
                <w14:textFill>
                  <w14:solidFill>
                    <w14:schemeClr w14:val="tx1"/>
                  </w14:solidFill>
                </w14:textFill>
              </w:rPr>
              <w:t>0</w:t>
            </w:r>
            <w:r>
              <w:rPr>
                <w:rFonts w:hint="eastAsia" w:ascii="Times New Roman" w:hAnsi="Times New Roman" w:cs="Times New Roman"/>
                <w:color w:val="000000" w:themeColor="text1"/>
                <w:kern w:val="0"/>
                <w:sz w:val="24"/>
                <w:szCs w:val="24"/>
                <w14:textFill>
                  <w14:solidFill>
                    <w14:schemeClr w14:val="tx1"/>
                  </w14:solidFill>
                </w14:textFill>
              </w:rPr>
              <w:t>万元</w:t>
            </w:r>
          </w:p>
        </w:tc>
        <w:tc>
          <w:tcPr>
            <w:tcW w:w="23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3"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一、当前应用进展</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人形机器人已在部分公园及商场场景实现落地应用，形成智能化服务新范式。在无人售卖领域，机器人系统已实现商品点单、自动取货与多模态交互功能的集成应用，游客可通过触控界面完成支付并获取商品，服务流程高效流畅，显著提升消费体验。在导览介绍领域，机器人已支持自然语言交互与需求响应服务，游客可直接提出个性化导览需求，机器人即时生成定制化路线并联动安全提示，实现从信息查询到路径规划的无缝衔接，初步构建了以游客需求为核心的智慧导览服务体系。</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二、优化方向与深化路径</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基于现有落地成果，将进一步强化服务生态的系统性整合。重点推进无人售卖与导览服务的深度融合，打造"需求-服务-安全"全链条响应机制，优化运营管理模式，深化科技赋能与无障碍服务设计，确保服务体验与深圳"科技创新之城"的城市形象高度契合，切实落实《无障碍智慧文旅建设指引》的政策要求。</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三、发展目标与政策支撑</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人形机器人应用将向精准化、安全化、生态化方向纵深发展。目标是构建高密度智慧服务网络，实现商品交易与导览服务的有机联动，打造"科技赋能文旅"的示范场景。通过持续优化服务体验与运营模式，彰显"数字惠民"与"智慧文旅"政策的创新成效，助力深圳在智慧公共服务领域树立全国示范标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1、地面平整无台阶、无坑洼障碍，路线坡度≤5°，路面障碍高度≤25mm；</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2、导览导航以室内环境为主，空间内路线通过宽度≤80cm，环境温度0℃-35℃，湿度20%-80%，环境照明为150-1000lx，色温 3000-6000；</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3、独立电箱供电、独立水表供水、工作范围内全域覆盖的无限WiFi网络；</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仿宋_GB2312" w:hAnsi="Times New Roman" w:eastAsia="仿宋_GB2312" w:cs="方正仿宋简体"/>
                <w:sz w:val="24"/>
                <w:szCs w:val="20"/>
              </w:rPr>
              <w:t>4、问询与导览相匹配的问答知识库、室内环境地图等数据。</w:t>
            </w:r>
          </w:p>
        </w:tc>
      </w:tr>
    </w:tbl>
    <w:p>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微软雅黑">
    <w:altName w:val="方正黑体_GBK"/>
    <w:panose1 w:val="020B0503020204020204"/>
    <w:charset w:val="86"/>
    <w:family w:val="auto"/>
    <w:pitch w:val="default"/>
    <w:sig w:usb0="00000000" w:usb1="00000000" w:usb2="00000016" w:usb3="00000000" w:csb0="0004001F" w:csb1="00000000"/>
  </w:font>
  <w:font w:name="方正仿宋简体">
    <w:altName w:val="方正仿宋_GBK"/>
    <w:panose1 w:val="00000000000000000000"/>
    <w:charset w:val="86"/>
    <w:family w:val="roman"/>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hNDhmOTg3NTAxN2NhMzc4MDgyNTNjZTZhN2E2YmIifQ=="/>
  </w:docVars>
  <w:rsids>
    <w:rsidRoot w:val="006C343B"/>
    <w:rsid w:val="000A3374"/>
    <w:rsid w:val="000A3922"/>
    <w:rsid w:val="000A4A4B"/>
    <w:rsid w:val="000F4C66"/>
    <w:rsid w:val="001242F7"/>
    <w:rsid w:val="00173568"/>
    <w:rsid w:val="00185040"/>
    <w:rsid w:val="001E5EAA"/>
    <w:rsid w:val="00205DBC"/>
    <w:rsid w:val="00222ADC"/>
    <w:rsid w:val="002265FE"/>
    <w:rsid w:val="00292980"/>
    <w:rsid w:val="002F78B7"/>
    <w:rsid w:val="00311965"/>
    <w:rsid w:val="00372057"/>
    <w:rsid w:val="004063FD"/>
    <w:rsid w:val="00452DDD"/>
    <w:rsid w:val="00457E50"/>
    <w:rsid w:val="004814C2"/>
    <w:rsid w:val="0048587D"/>
    <w:rsid w:val="004C7EB3"/>
    <w:rsid w:val="004E0182"/>
    <w:rsid w:val="004E0553"/>
    <w:rsid w:val="00512D71"/>
    <w:rsid w:val="005153B7"/>
    <w:rsid w:val="00552DA0"/>
    <w:rsid w:val="0056248C"/>
    <w:rsid w:val="005665E4"/>
    <w:rsid w:val="005A32C2"/>
    <w:rsid w:val="005A38BE"/>
    <w:rsid w:val="005B7FBF"/>
    <w:rsid w:val="005F1C89"/>
    <w:rsid w:val="005F7413"/>
    <w:rsid w:val="00665FDC"/>
    <w:rsid w:val="00684032"/>
    <w:rsid w:val="006C343B"/>
    <w:rsid w:val="006D112F"/>
    <w:rsid w:val="00751207"/>
    <w:rsid w:val="007807BE"/>
    <w:rsid w:val="007830CB"/>
    <w:rsid w:val="007B6657"/>
    <w:rsid w:val="007D14A8"/>
    <w:rsid w:val="007D3ADA"/>
    <w:rsid w:val="00816A04"/>
    <w:rsid w:val="00893BD5"/>
    <w:rsid w:val="008B7AAB"/>
    <w:rsid w:val="008D6FE9"/>
    <w:rsid w:val="00936F90"/>
    <w:rsid w:val="009A4411"/>
    <w:rsid w:val="009E7641"/>
    <w:rsid w:val="00A00B41"/>
    <w:rsid w:val="00A07B12"/>
    <w:rsid w:val="00A321DC"/>
    <w:rsid w:val="00A413AF"/>
    <w:rsid w:val="00A464B4"/>
    <w:rsid w:val="00A95634"/>
    <w:rsid w:val="00AD5859"/>
    <w:rsid w:val="00B1112F"/>
    <w:rsid w:val="00B17A10"/>
    <w:rsid w:val="00B208DC"/>
    <w:rsid w:val="00B40814"/>
    <w:rsid w:val="00B76C08"/>
    <w:rsid w:val="00BD5794"/>
    <w:rsid w:val="00BE7BDA"/>
    <w:rsid w:val="00C15A05"/>
    <w:rsid w:val="00C418C9"/>
    <w:rsid w:val="00C53D1F"/>
    <w:rsid w:val="00C566FA"/>
    <w:rsid w:val="00C950F2"/>
    <w:rsid w:val="00CA1A59"/>
    <w:rsid w:val="00CA333D"/>
    <w:rsid w:val="00CB269D"/>
    <w:rsid w:val="00CB2C6C"/>
    <w:rsid w:val="00D15730"/>
    <w:rsid w:val="00D57E8E"/>
    <w:rsid w:val="00D85099"/>
    <w:rsid w:val="00DC65A1"/>
    <w:rsid w:val="00DF63D5"/>
    <w:rsid w:val="00E33726"/>
    <w:rsid w:val="00E75083"/>
    <w:rsid w:val="00E80D87"/>
    <w:rsid w:val="00F57A7F"/>
    <w:rsid w:val="00F601B2"/>
    <w:rsid w:val="00F934E7"/>
    <w:rsid w:val="00FE290B"/>
    <w:rsid w:val="01F0403A"/>
    <w:rsid w:val="06C8202F"/>
    <w:rsid w:val="0CF60B7D"/>
    <w:rsid w:val="15C30818"/>
    <w:rsid w:val="17D23921"/>
    <w:rsid w:val="19921729"/>
    <w:rsid w:val="1A3F9425"/>
    <w:rsid w:val="1DD06378"/>
    <w:rsid w:val="1E8C2D66"/>
    <w:rsid w:val="2CC76418"/>
    <w:rsid w:val="2E117847"/>
    <w:rsid w:val="2E8F6C64"/>
    <w:rsid w:val="3EF2501B"/>
    <w:rsid w:val="3F5FBDED"/>
    <w:rsid w:val="435E094F"/>
    <w:rsid w:val="4DDFF696"/>
    <w:rsid w:val="4F151527"/>
    <w:rsid w:val="5BEDD1DA"/>
    <w:rsid w:val="5CDF8591"/>
    <w:rsid w:val="5E776CE7"/>
    <w:rsid w:val="5FDFB2AC"/>
    <w:rsid w:val="637E5FFC"/>
    <w:rsid w:val="67495B4D"/>
    <w:rsid w:val="6D5FCDDF"/>
    <w:rsid w:val="6F83BF76"/>
    <w:rsid w:val="73CE4A02"/>
    <w:rsid w:val="766BE485"/>
    <w:rsid w:val="7B39F76B"/>
    <w:rsid w:val="7B7D1AB4"/>
    <w:rsid w:val="7BCA379C"/>
    <w:rsid w:val="7BEFD86F"/>
    <w:rsid w:val="7EF6AE86"/>
    <w:rsid w:val="7EFB2101"/>
    <w:rsid w:val="7FFD80D1"/>
    <w:rsid w:val="AD6F04A7"/>
    <w:rsid w:val="BBDF3A71"/>
    <w:rsid w:val="BBFF5265"/>
    <w:rsid w:val="DCAF7B21"/>
    <w:rsid w:val="DFF574B7"/>
    <w:rsid w:val="EB9C2F6A"/>
    <w:rsid w:val="ED65CB9D"/>
    <w:rsid w:val="EFF73A96"/>
    <w:rsid w:val="F7A52FBF"/>
    <w:rsid w:val="F7FEB413"/>
    <w:rsid w:val="FB2ED0CF"/>
    <w:rsid w:val="FD1B0FBB"/>
    <w:rsid w:val="FED6C658"/>
    <w:rsid w:val="FEECC435"/>
    <w:rsid w:val="FEFE6852"/>
    <w:rsid w:val="FF6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semiHidden/>
    <w:unhideWhenUsed/>
    <w:qFormat/>
    <w:uiPriority w:val="99"/>
    <w:pPr>
      <w:spacing w:after="120"/>
    </w:pPr>
  </w:style>
  <w:style w:type="paragraph" w:styleId="3">
    <w:name w:val="Body Text Indent 2"/>
    <w:basedOn w:val="1"/>
    <w:link w:val="16"/>
    <w:unhideWhenUsed/>
    <w:qFormat/>
    <w:uiPriority w:val="99"/>
    <w:pPr>
      <w:spacing w:after="120" w:line="480" w:lineRule="auto"/>
      <w:ind w:left="420" w:leftChars="200"/>
    </w:p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table" w:styleId="8">
    <w:name w:val="Table Grid"/>
    <w:basedOn w:val="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99"/>
    <w:rPr>
      <w:b/>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5">
    <w:name w:val="正文文本 字符"/>
    <w:basedOn w:val="9"/>
    <w:link w:val="2"/>
    <w:semiHidden/>
    <w:qFormat/>
    <w:uiPriority w:val="99"/>
  </w:style>
  <w:style w:type="character" w:customStyle="1" w:styleId="16">
    <w:name w:val="正文文本缩进 2 字符"/>
    <w:basedOn w:val="9"/>
    <w:link w:val="3"/>
    <w:qFormat/>
    <w:uiPriority w:val="99"/>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2613</Words>
  <Characters>2659</Characters>
  <Lines>19</Lines>
  <Paragraphs>5</Paragraphs>
  <TotalTime>1</TotalTime>
  <ScaleCrop>false</ScaleCrop>
  <LinksUpToDate>false</LinksUpToDate>
  <CharactersWithSpaces>2682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2024-06-24T01:15:00Z</dcterms:created>
  <dc:creator>张平</dc:creator>
  <cp:lastModifiedBy>区工业和信息化局帐户</cp:lastModifiedBy>
  <dcterms:modified xsi:type="dcterms:W3CDTF">2026-03-06T18:36:08Z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4BBC760BED624E22A92E97BA53CB061A_13</vt:lpwstr>
  </property>
  <property fmtid="{D5CDD505-2E9C-101B-9397-08002B2CF9AE}" pid="4" name="KSOTemplateDocerSaveRecord">
    <vt:lpwstr>eyJoZGlkIjoiNzdhNDhmOTg3NTAxN2NhMzc4MDgyNTNjZTZhN2E2YmIiLCJ1c2VySWQiOiI1Nzk0MzYzMjUifQ==</vt:lpwstr>
  </property>
</Properties>
</file>