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楷体_GB2312" w:hAnsi="楷体_GB2312" w:eastAsia="楷体_GB2312" w:cs="楷体_GB2312"/>
          <w:sz w:val="32"/>
          <w:lang w:val="en-US"/>
        </w:rPr>
      </w:pPr>
      <w:r>
        <w:rPr>
          <w:rFonts w:hint="eastAsia" w:ascii="黑体" w:hAnsi="黑体" w:eastAsia="黑体"/>
          <w:sz w:val="32"/>
          <w:lang w:eastAsia="zh-CN"/>
        </w:rPr>
        <w:t>深圳市南山区</w:t>
      </w:r>
      <w:r>
        <w:rPr>
          <w:rFonts w:hint="eastAsia" w:ascii="黑体" w:hAnsi="黑体" w:eastAsia="黑体"/>
          <w:sz w:val="32"/>
        </w:rPr>
        <w:t>机器人应用场景征集表</w:t>
      </w:r>
      <w:bookmarkStart w:id="2" w:name="_GoBack"/>
      <w:bookmarkEnd w:id="2"/>
    </w:p>
    <w:tbl>
      <w:tblPr>
        <w:tblStyle w:val="8"/>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870"/>
        <w:gridCol w:w="2644"/>
        <w:gridCol w:w="2377"/>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70" w:type="dxa"/>
            <w:tcBorders>
              <w:tl2br w:val="nil"/>
              <w:tr2bl w:val="nil"/>
            </w:tcBorders>
            <w:shd w:val="clear" w:color="auto" w:fill="auto"/>
            <w:vAlign w:val="center"/>
          </w:tcPr>
          <w:p>
            <w:pPr>
              <w:snapToGrid w:val="0"/>
              <w:spacing w:line="320" w:lineRule="exact"/>
              <w:jc w:val="center"/>
              <w:rPr>
                <w:rFonts w:ascii="Times New Roman" w:hAnsi="Times New Roman" w:eastAsia="仿宋_GB2312" w:cs="Times New Roman"/>
                <w:color w:val="000000" w:themeColor="text1"/>
                <w:sz w:val="24"/>
                <w14:textFill>
                  <w14:solidFill>
                    <w14:schemeClr w14:val="tx1"/>
                  </w14:solidFill>
                </w14:textFill>
              </w:rPr>
            </w:pPr>
            <w:r>
              <w:rPr>
                <w:rFonts w:hint="eastAsia" w:ascii="Times New Roman" w:hAnsi="Times New Roman" w:eastAsia="仿宋_GB2312" w:cs="Times New Roman"/>
                <w:b/>
                <w:bCs/>
                <w:color w:val="000000" w:themeColor="text1"/>
                <w:sz w:val="24"/>
                <w14:textFill>
                  <w14:solidFill>
                    <w14:schemeClr w14:val="tx1"/>
                  </w14:solidFill>
                </w14:textFill>
              </w:rPr>
              <w:t>需求名称</w:t>
            </w:r>
          </w:p>
        </w:tc>
        <w:tc>
          <w:tcPr>
            <w:tcW w:w="7400" w:type="dxa"/>
            <w:gridSpan w:val="3"/>
            <w:tcBorders>
              <w:tl2br w:val="nil"/>
              <w:tr2bl w:val="nil"/>
            </w:tcBorders>
            <w:shd w:val="clear" w:color="auto" w:fill="auto"/>
            <w:vAlign w:val="center"/>
          </w:tcPr>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面向图书馆场景的智能服务机器人需求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021" w:hRule="atLeast"/>
          <w:jc w:val="center"/>
        </w:trPr>
        <w:tc>
          <w:tcPr>
            <w:tcW w:w="1870" w:type="dxa"/>
            <w:tcBorders>
              <w:tl2br w:val="nil"/>
              <w:tr2bl w:val="nil"/>
            </w:tcBorders>
            <w:shd w:val="clear" w:color="auto" w:fill="auto"/>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00" w:type="dxa"/>
            <w:gridSpan w:val="3"/>
            <w:tcBorders>
              <w:tl2br w:val="nil"/>
              <w:tr2bl w:val="nil"/>
            </w:tcBorders>
            <w:shd w:val="clear" w:color="auto" w:fill="auto"/>
          </w:tcPr>
          <w:p>
            <w:pPr>
              <w:spacing w:line="320" w:lineRule="exact"/>
              <w:rPr>
                <w:rFonts w:ascii="Times New Roman" w:hAnsi="Times New Roman" w:eastAsia="仿宋_GB2312" w:cs="Times New Roman"/>
                <w:b/>
                <w:bCs/>
                <w:color w:val="000000"/>
                <w:sz w:val="24"/>
                <w:szCs w:val="24"/>
              </w:rPr>
            </w:pPr>
            <w:r>
              <w:rPr>
                <w:rFonts w:hint="eastAsia" w:ascii="Times New Roman" w:hAnsi="Times New Roman" w:eastAsia="仿宋_GB2312" w:cs="Times New Roman"/>
                <w:b/>
                <w:bCs/>
                <w:color w:val="000000"/>
                <w:sz w:val="24"/>
                <w:szCs w:val="24"/>
              </w:rPr>
              <w:t>一、现有场景基本情况描述</w:t>
            </w:r>
          </w:p>
          <w:p>
            <w:pPr>
              <w:spacing w:line="320" w:lineRule="exact"/>
              <w:ind w:firstLine="480" w:firstLineChars="200"/>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深圳图书馆人流密集、服务多元，是知识生产传播、信息交互共享、文化交流互鉴的重要阵地，日常承载三大核心功能：1.文献借阅服务：面向广大读者提供文献借阅、信息查询等基础业务，保障市民日常文化需求；2.公共文化活动空间：定期举办讲座、展览、培训等多元文化活动，满足不同群体的精神文化需求；3.城市文化形象窗口：承担重要对外交流与参观接待职能，全面展示深圳“图书馆之城”建设成果、发展历程与亮点数据，彰显城市文化发展高度与精神文明风貌。</w:t>
            </w:r>
          </w:p>
          <w:p>
            <w:pPr>
              <w:spacing w:line="320" w:lineRule="exact"/>
              <w:ind w:firstLine="480" w:firstLineChars="200"/>
              <w:rPr>
                <w:rFonts w:ascii="Times New Roman" w:hAnsi="Times New Roman" w:eastAsia="仿宋_GB2312" w:cs="Times New Roman"/>
                <w:color w:val="000000"/>
                <w:sz w:val="24"/>
                <w:szCs w:val="24"/>
              </w:rPr>
            </w:pPr>
          </w:p>
          <w:p>
            <w:pPr>
              <w:spacing w:line="320" w:lineRule="exact"/>
              <w:rPr>
                <w:rFonts w:ascii="Times New Roman" w:hAnsi="Times New Roman" w:eastAsia="仿宋_GB2312" w:cs="Times New Roman"/>
                <w:b/>
                <w:bCs/>
                <w:color w:val="000000"/>
                <w:sz w:val="24"/>
                <w:szCs w:val="24"/>
              </w:rPr>
            </w:pPr>
            <w:r>
              <w:rPr>
                <w:rFonts w:hint="eastAsia" w:ascii="Times New Roman" w:hAnsi="Times New Roman" w:eastAsia="仿宋_GB2312" w:cs="Times New Roman"/>
                <w:b/>
                <w:bCs/>
                <w:color w:val="000000"/>
                <w:sz w:val="24"/>
                <w:szCs w:val="24"/>
              </w:rPr>
              <w:t>二、现有场景作业方式描述</w:t>
            </w:r>
          </w:p>
          <w:p>
            <w:pPr>
              <w:spacing w:line="320" w:lineRule="exact"/>
              <w:ind w:firstLine="420" w:firstLineChars="175"/>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1.信息查询服务：针对读者高频咨询的OPAC图书定位查询、取号流程、设备上机方法</w:t>
            </w:r>
            <w:r>
              <w:rPr>
                <w:rFonts w:hint="eastAsia" w:ascii="Times New Roman" w:hAnsi="Times New Roman" w:eastAsia="仿宋_GB2312" w:cs="Times New Roman"/>
                <w:color w:val="000000"/>
                <w:sz w:val="24"/>
                <w:szCs w:val="24"/>
                <w:lang w:eastAsia="zh-CN"/>
              </w:rPr>
              <w:t>、</w:t>
            </w:r>
            <w:r>
              <w:rPr>
                <w:rFonts w:hint="eastAsia" w:ascii="Times New Roman" w:hAnsi="Times New Roman" w:eastAsia="仿宋_GB2312" w:cs="Times New Roman"/>
                <w:color w:val="000000"/>
                <w:sz w:val="24"/>
                <w:szCs w:val="24"/>
              </w:rPr>
              <w:t>打印复印操作等问题，由图书馆工作人员于服务台或流动服务过程中，依托专业知识储备与实操经验，为读者提供精准解答。</w:t>
            </w:r>
          </w:p>
          <w:p>
            <w:pPr>
              <w:spacing w:line="320" w:lineRule="exact"/>
              <w:ind w:firstLine="420" w:firstLineChars="175"/>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2.活动介绍推荐：工作人员基于对读者年龄、性别等特征的观察分析，结合活动内容与受众适配性进行主观研判，向读者推荐适宜参与的活动，并在活动现场开展专业讲解与内容介绍。</w:t>
            </w:r>
          </w:p>
          <w:p>
            <w:pPr>
              <w:spacing w:line="320" w:lineRule="exact"/>
              <w:ind w:firstLine="420" w:firstLineChars="175"/>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3.来访参观接待：配备专职讲解人员，提前完成讲解内容的系统研习与熟悉，在接待来访参观人员时，遵循既定路线与规范讲解词，全面介绍场馆亮点数据、历史发展脉络等核心信息。</w:t>
            </w:r>
          </w:p>
          <w:p>
            <w:pPr>
              <w:spacing w:line="320" w:lineRule="exact"/>
              <w:ind w:firstLine="420" w:firstLineChars="175"/>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4.违规行为管理：安排专人定时开展馆内巡查工作，一经发现大声喧哗、乱扔垃圾等违规行为，工作人员需及时上前进行文明劝诫与行为制止。</w:t>
            </w:r>
          </w:p>
          <w:p>
            <w:pPr>
              <w:spacing w:line="320" w:lineRule="exact"/>
              <w:ind w:firstLine="420" w:firstLineChars="175"/>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5.路径指引服务：针对读者的路线问询需求，工作人员通过语言描述或手势指引的方式提供方向引导；对于复杂路线，可提供专人引领陪同服务。</w:t>
            </w:r>
          </w:p>
          <w:p>
            <w:pPr>
              <w:spacing w:line="320" w:lineRule="exact"/>
              <w:ind w:firstLine="420" w:firstLineChars="175"/>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6.日常提醒服务：每日在固定时段，以口头提醒的方式告知读者执行电子设备熄屏操作；部分场景下，</w:t>
            </w:r>
            <w:r>
              <w:rPr>
                <w:rFonts w:hint="eastAsia" w:ascii="Times New Roman" w:hAnsi="Times New Roman" w:eastAsia="仿宋_GB2312" w:cs="Times New Roman"/>
                <w:color w:val="000000"/>
                <w:sz w:val="24"/>
                <w:szCs w:val="24"/>
                <w:lang w:val="en-US" w:eastAsia="zh-CN"/>
              </w:rPr>
              <w:t>还</w:t>
            </w:r>
            <w:r>
              <w:rPr>
                <w:rFonts w:hint="eastAsia" w:ascii="Times New Roman" w:hAnsi="Times New Roman" w:eastAsia="仿宋_GB2312" w:cs="Times New Roman"/>
                <w:color w:val="000000"/>
                <w:sz w:val="24"/>
                <w:szCs w:val="24"/>
              </w:rPr>
              <w:t>可组织带领读者开展太极等简易集体活动。</w:t>
            </w:r>
          </w:p>
          <w:p>
            <w:pPr>
              <w:spacing w:line="320" w:lineRule="exact"/>
              <w:rPr>
                <w:rFonts w:ascii="Times New Roman" w:hAnsi="Times New Roman" w:eastAsia="仿宋_GB2312" w:cs="Times New Roman"/>
                <w:color w:val="000000"/>
                <w:sz w:val="24"/>
                <w:szCs w:val="24"/>
              </w:rPr>
            </w:pPr>
          </w:p>
          <w:p>
            <w:pPr>
              <w:spacing w:line="320" w:lineRule="exact"/>
              <w:rPr>
                <w:rFonts w:ascii="Times New Roman" w:hAnsi="Times New Roman" w:eastAsia="仿宋_GB2312" w:cs="Times New Roman"/>
                <w:b/>
                <w:bCs/>
                <w:color w:val="000000"/>
                <w:sz w:val="24"/>
                <w:szCs w:val="24"/>
              </w:rPr>
            </w:pPr>
            <w:r>
              <w:rPr>
                <w:rFonts w:hint="eastAsia" w:ascii="Times New Roman" w:hAnsi="Times New Roman" w:eastAsia="仿宋_GB2312" w:cs="Times New Roman"/>
                <w:b/>
                <w:bCs/>
                <w:color w:val="000000"/>
                <w:sz w:val="24"/>
                <w:szCs w:val="24"/>
              </w:rPr>
              <w:t>三、现有场景痛点</w:t>
            </w:r>
          </w:p>
          <w:p>
            <w:pPr>
              <w:spacing w:line="320" w:lineRule="exact"/>
              <w:ind w:left="3" w:firstLine="398" w:firstLineChars="166"/>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1.</w:t>
            </w:r>
            <w:r>
              <w:rPr>
                <w:rFonts w:hint="eastAsia" w:ascii="Times New Roman" w:hAnsi="Times New Roman" w:eastAsia="仿宋_GB2312" w:cs="Times New Roman"/>
                <w:color w:val="000000"/>
                <w:sz w:val="24"/>
                <w:szCs w:val="24"/>
              </w:rPr>
              <w:t>人力成本高昂：为满足各项服务需求，图书馆需投入大量人力，从信息咨询、活动组织到日常管理，每个环节都离不开工作人员的参与，产生较高的人力成本。</w:t>
            </w:r>
          </w:p>
          <w:p>
            <w:pPr>
              <w:spacing w:line="320" w:lineRule="exact"/>
              <w:ind w:left="3" w:firstLine="398" w:firstLineChars="166"/>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2.</w:t>
            </w:r>
            <w:r>
              <w:rPr>
                <w:rFonts w:hint="eastAsia" w:ascii="Times New Roman" w:hAnsi="Times New Roman" w:eastAsia="仿宋_GB2312" w:cs="Times New Roman"/>
                <w:color w:val="000000"/>
                <w:sz w:val="24"/>
                <w:szCs w:val="24"/>
              </w:rPr>
              <w:t>服务效率受限：人工服务受人员数量、精力阈值及专业能力的客观限制，面对大规模读者咨询与需求时，难以实现快速响应和高效处置，高峰时段易出现读者等待时间过长的问题。</w:t>
            </w:r>
          </w:p>
          <w:p>
            <w:pPr>
              <w:spacing w:line="320" w:lineRule="exact"/>
              <w:ind w:left="3" w:firstLine="398" w:firstLineChars="166"/>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3.</w:t>
            </w:r>
            <w:r>
              <w:rPr>
                <w:rFonts w:hint="eastAsia" w:ascii="Times New Roman" w:hAnsi="Times New Roman" w:eastAsia="仿宋_GB2312" w:cs="Times New Roman"/>
                <w:color w:val="000000"/>
                <w:sz w:val="24"/>
                <w:szCs w:val="24"/>
              </w:rPr>
              <w:t>服务质量不均：因工作人员在知识储备、沟通技巧、服务意识等方面存在个体差异，导致服务输出质量稳定性不足，无法确保所有读者均能获得标准化、高品质的服务体验。</w:t>
            </w:r>
          </w:p>
          <w:p>
            <w:pPr>
              <w:spacing w:line="320" w:lineRule="exact"/>
              <w:ind w:left="3" w:firstLine="398" w:firstLineChars="166"/>
              <w:rPr>
                <w:rFonts w:ascii="Times New Roman" w:hAnsi="Times New Roman" w:eastAsia="仿宋_GB2312" w:cs="Times New Roman"/>
                <w:color w:val="000000"/>
                <w:sz w:val="24"/>
                <w:szCs w:val="24"/>
              </w:rPr>
            </w:pPr>
            <w:r>
              <w:rPr>
                <w:rFonts w:ascii="Times New Roman" w:hAnsi="Times New Roman" w:eastAsia="仿宋_GB2312" w:cs="Times New Roman"/>
                <w:color w:val="000000"/>
                <w:sz w:val="24"/>
                <w:szCs w:val="24"/>
              </w:rPr>
              <w:t>4.</w:t>
            </w:r>
            <w:r>
              <w:rPr>
                <w:rFonts w:hint="eastAsia" w:ascii="Times New Roman" w:hAnsi="Times New Roman" w:eastAsia="仿宋_GB2312" w:cs="Times New Roman"/>
                <w:color w:val="000000"/>
                <w:sz w:val="24"/>
                <w:szCs w:val="24"/>
              </w:rPr>
              <w:t>信息传播滞后：图书馆的新增活动、创新服务及最新亮点数据等内容，依赖人工传播的方式难以实现信息的及时触达与全面覆盖，制约信息传播的有效性与精准性。</w:t>
            </w:r>
          </w:p>
          <w:p>
            <w:pPr>
              <w:spacing w:line="320" w:lineRule="exact"/>
              <w:ind w:left="3" w:firstLine="398" w:firstLineChars="166"/>
              <w:rPr>
                <w:rFonts w:ascii="Times New Roman" w:hAnsi="Times New Roman" w:eastAsia="仿宋_GB2312" w:cs="Times New Roman"/>
                <w:color w:val="000000"/>
                <w:sz w:val="24"/>
                <w:szCs w:val="24"/>
              </w:rPr>
            </w:pPr>
          </w:p>
          <w:p>
            <w:pPr>
              <w:spacing w:line="320" w:lineRule="exact"/>
              <w:rPr>
                <w:rFonts w:ascii="Times New Roman" w:hAnsi="Times New Roman" w:eastAsia="仿宋_GB2312" w:cs="Times New Roman"/>
                <w:b/>
                <w:bCs/>
                <w:color w:val="000000"/>
                <w:sz w:val="24"/>
                <w:szCs w:val="24"/>
              </w:rPr>
            </w:pPr>
            <w:r>
              <w:rPr>
                <w:rFonts w:hint="eastAsia" w:ascii="Times New Roman" w:hAnsi="Times New Roman" w:eastAsia="仿宋_GB2312" w:cs="Times New Roman"/>
                <w:b/>
                <w:bCs/>
                <w:color w:val="000000"/>
                <w:sz w:val="24"/>
                <w:szCs w:val="24"/>
              </w:rPr>
              <w:t>四、引入机器人的必要性</w:t>
            </w:r>
          </w:p>
          <w:p>
            <w:pPr>
              <w:spacing w:line="320" w:lineRule="exact"/>
              <w:ind w:left="3" w:firstLine="398" w:firstLineChars="166"/>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1.</w:t>
            </w:r>
            <w:r>
              <w:rPr>
                <w:rFonts w:hint="eastAsia" w:ascii="Times New Roman" w:hAnsi="Times New Roman" w:eastAsia="仿宋_GB2312" w:cs="Times New Roman"/>
                <w:color w:val="000000"/>
                <w:kern w:val="0"/>
                <w:sz w:val="24"/>
                <w:szCs w:val="24"/>
              </w:rPr>
              <w:t>优化人力投入配置：机器人可承接信息咨询解答、日常提醒、路径指引等重复性、流程化工作，有效降低对人工的依赖度，实现人力成本的合理管控与优化。</w:t>
            </w:r>
          </w:p>
          <w:p>
            <w:pPr>
              <w:spacing w:line="320" w:lineRule="exact"/>
              <w:ind w:left="3" w:firstLine="398" w:firstLineChars="166"/>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2.</w:t>
            </w:r>
            <w:r>
              <w:rPr>
                <w:rFonts w:hint="eastAsia" w:ascii="Times New Roman" w:hAnsi="Times New Roman" w:eastAsia="仿宋_GB2312" w:cs="Times New Roman"/>
                <w:color w:val="000000"/>
                <w:kern w:val="0"/>
                <w:sz w:val="24"/>
                <w:szCs w:val="24"/>
              </w:rPr>
              <w:t>提升服务响应效能：机器人具备快速响应、多任务并行处理的特性，能够在短时间内高效承接大规模读者服务需求，精准破解高峰时段读者等待时间过长的痛点，显著提升整体服务效率。</w:t>
            </w:r>
          </w:p>
          <w:p>
            <w:pPr>
              <w:spacing w:line="320" w:lineRule="exact"/>
              <w:ind w:left="3" w:firstLine="398" w:firstLineChars="166"/>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3.</w:t>
            </w:r>
            <w:r>
              <w:rPr>
                <w:rFonts w:hint="eastAsia" w:ascii="Times New Roman" w:hAnsi="Times New Roman" w:eastAsia="仿宋_GB2312" w:cs="Times New Roman"/>
                <w:color w:val="000000"/>
                <w:kern w:val="0"/>
                <w:sz w:val="24"/>
                <w:szCs w:val="24"/>
              </w:rPr>
              <w:t>保障服务质量标准化：机器人严格遵循预设程序与标准化服务流程开展工作，不受情绪波动、疲劳状态等主观因素影响，可稳定输出服务内容，确保全体读者均能获得一致、优质的标准化服务体验。</w:t>
            </w:r>
          </w:p>
          <w:p>
            <w:pPr>
              <w:spacing w:line="320" w:lineRule="exact"/>
              <w:ind w:left="3" w:firstLine="398" w:firstLineChars="166"/>
              <w:rPr>
                <w:rFonts w:ascii="Times New Roman" w:hAnsi="Times New Roman" w:eastAsia="仿宋_GB2312" w:cs="Times New Roman"/>
                <w:color w:val="000000"/>
                <w:kern w:val="0"/>
                <w:sz w:val="24"/>
                <w:szCs w:val="24"/>
              </w:rPr>
            </w:pPr>
            <w:r>
              <w:rPr>
                <w:rFonts w:hint="eastAsia" w:ascii="Times New Roman" w:hAnsi="Times New Roman" w:eastAsia="仿宋_GB2312" w:cs="Times New Roman"/>
                <w:color w:val="000000"/>
                <w:kern w:val="0"/>
                <w:sz w:val="24"/>
                <w:szCs w:val="24"/>
              </w:rPr>
              <w:t>4.实现信息精准高效传播：机器人可与“图书馆之城”中心管理系统深度对接，实时同步最新活动资讯、创新服务内容及亮点数据，通过多元传播载体精准触达读者，优化个性化图书推荐和阅读指导，提升信息传播的及时性、全面性与精准性。</w:t>
            </w:r>
          </w:p>
          <w:p>
            <w:pPr>
              <w:spacing w:line="320" w:lineRule="exact"/>
              <w:ind w:left="3" w:firstLine="398" w:firstLineChars="166"/>
              <w:rPr>
                <w:rFonts w:ascii="Times New Roman" w:hAnsi="Times New Roman" w:eastAsia="仿宋_GB2312" w:cs="Times New Roman"/>
                <w:color w:val="000000"/>
                <w:kern w:val="0"/>
                <w:sz w:val="24"/>
                <w:szCs w:val="24"/>
              </w:rPr>
            </w:pPr>
            <w:r>
              <w:rPr>
                <w:rFonts w:hint="eastAsia" w:ascii="Times New Roman" w:hAnsi="Times New Roman" w:eastAsia="仿宋_GB2312" w:cs="Times New Roman"/>
                <w:color w:val="000000"/>
                <w:kern w:val="0"/>
                <w:sz w:val="24"/>
                <w:szCs w:val="24"/>
              </w:rPr>
              <w:t>5.</w:t>
            </w:r>
            <w:bookmarkStart w:id="0" w:name="OLE_LINK2"/>
            <w:r>
              <w:rPr>
                <w:rFonts w:hint="eastAsia" w:ascii="Times New Roman" w:hAnsi="Times New Roman" w:eastAsia="仿宋_GB2312" w:cs="Times New Roman"/>
                <w:color w:val="000000"/>
                <w:kern w:val="0"/>
                <w:sz w:val="24"/>
                <w:szCs w:val="24"/>
              </w:rPr>
              <w:t>增强人机互动吸引力：机器人通过语音对话、触摸体验及智能导引等具身交互方式，以强烈的科技感与趣味性营造沉浸式阅读体验，激发读者阅读兴趣和图书馆意识，塑造图书馆前瞻性、现代化的新颖形象。</w:t>
            </w:r>
          </w:p>
          <w:bookmarkEnd w:id="0"/>
          <w:p>
            <w:pPr>
              <w:spacing w:line="320" w:lineRule="exact"/>
              <w:ind w:left="3" w:firstLine="398" w:firstLineChars="166"/>
              <w:rPr>
                <w:rFonts w:ascii="Times New Roman" w:hAnsi="Times New Roman" w:eastAsia="仿宋_GB2312" w:cs="Times New Roman"/>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021" w:hRule="atLeast"/>
          <w:jc w:val="center"/>
        </w:trPr>
        <w:tc>
          <w:tcPr>
            <w:tcW w:w="1870" w:type="dxa"/>
            <w:tcBorders>
              <w:tl2br w:val="nil"/>
              <w:tr2bl w:val="nil"/>
            </w:tcBorders>
            <w:shd w:val="clear" w:color="auto" w:fill="auto"/>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具体需求</w:t>
            </w:r>
          </w:p>
        </w:tc>
        <w:tc>
          <w:tcPr>
            <w:tcW w:w="7400" w:type="dxa"/>
            <w:gridSpan w:val="3"/>
            <w:tcBorders>
              <w:tl2br w:val="nil"/>
              <w:tr2bl w:val="nil"/>
            </w:tcBorders>
            <w:shd w:val="clear" w:color="auto" w:fill="auto"/>
          </w:tcPr>
          <w:p>
            <w:pPr>
              <w:spacing w:line="320" w:lineRule="exact"/>
              <w:rPr>
                <w:rFonts w:ascii="Times New Roman" w:hAnsi="Times New Roman" w:eastAsia="仿宋_GB2312" w:cs="Times New Roman"/>
                <w:b/>
                <w:bCs/>
                <w:color w:val="000000"/>
                <w:sz w:val="24"/>
                <w:szCs w:val="24"/>
              </w:rPr>
            </w:pPr>
            <w:r>
              <w:rPr>
                <w:rFonts w:hint="eastAsia" w:ascii="Times New Roman" w:hAnsi="Times New Roman" w:eastAsia="仿宋_GB2312" w:cs="Times New Roman"/>
                <w:b/>
                <w:bCs/>
                <w:color w:val="000000"/>
                <w:sz w:val="24"/>
                <w:szCs w:val="24"/>
              </w:rPr>
              <w:t>一、解决该场景痛点需要机器人的基本情况</w:t>
            </w:r>
          </w:p>
          <w:p>
            <w:pPr>
              <w:spacing w:line="320" w:lineRule="exact"/>
              <w:ind w:left="3" w:firstLine="398" w:firstLineChars="166"/>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1.数量：根据图书馆的规模、日均客流量以及服务区域分布等因素综合考量，初步规划配备3台机器人。在图书馆服务台附近、主要活动区域以及楼层关键位置合理分布，确保能够全面覆盖读者需求较高的区域，提供及时有效的服务。</w:t>
            </w:r>
          </w:p>
          <w:p>
            <w:pPr>
              <w:spacing w:line="320" w:lineRule="exact"/>
              <w:ind w:left="3" w:firstLine="398" w:firstLineChars="166"/>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2.类型：采用多功能综合服务型机器人，集多种功能于一体，能够适应图书馆内多样化的服务场景需求，避免因功能单一而需要配备多种不同类型机器人所造成的资源浪费和管理复杂性问题。</w:t>
            </w:r>
          </w:p>
          <w:p>
            <w:pPr>
              <w:spacing w:line="320" w:lineRule="exact"/>
              <w:ind w:left="3" w:firstLine="398" w:firstLineChars="166"/>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3.功能</w:t>
            </w:r>
          </w:p>
          <w:p>
            <w:pPr>
              <w:spacing w:line="320" w:lineRule="exact"/>
              <w:ind w:firstLine="480" w:firstLineChars="200"/>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1）语言交互功能：具备较强的自然语言处理能力，能够准确理解读者提出的各类高频问题，如OPAC查询图书位置、取号流程、上机操作、打印复印方法等，并以清晰、易懂的语言为读者提供详细解答。同时，能够通过对话为读者精准推荐适合参与的文化活动，并详细介绍活动内容、时间、地点等信息。在接待参观时，能够生动、准确地介绍全馆或全城的亮点数据、历史发展等重要信息。此外，还可以进行拟人讲课，按照预设的固定授课内容，结合丰富的语言和生动的动作，为读者开展知识讲座或培训。</w:t>
            </w:r>
          </w:p>
          <w:p>
            <w:pPr>
              <w:spacing w:line="320" w:lineRule="exact"/>
              <w:ind w:firstLine="480" w:firstLineChars="200"/>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2）行动引导功能：为读者提供路径指引服务，不仅能够通过清晰的手势和语音明确指示方向，对于复杂路线，还能以稳定速度带领读者前往目的地；当工作人员发现读者存在违规行为时，可指令机器人快速抵达现场，通过语音提示和友好沟通方式对读者进行文明劝诫，引导读者遵守图书馆规章制度，减轻馆员工作负担；还可以每天定时通过语音提醒读者执行电子设备熄屏操作，带领读者开展打太极等简易集体活动，增加服务互动性和趣味性。</w:t>
            </w:r>
          </w:p>
          <w:p>
            <w:pPr>
              <w:spacing w:line="320" w:lineRule="exact"/>
              <w:ind w:firstLine="480" w:firstLineChars="200"/>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3）数据管理与更新功能：与“图书馆之城”中心管理系统对接，能够及时获取最新的图书信息、活动安排、“图书馆之城”相关数据等，并自动更新自身的知识库，确保为读者提供的信息准确无误、及时有效。</w:t>
            </w:r>
          </w:p>
          <w:p>
            <w:pPr>
              <w:spacing w:line="320" w:lineRule="exact"/>
              <w:rPr>
                <w:rFonts w:ascii="Times New Roman" w:hAnsi="Times New Roman" w:eastAsia="仿宋_GB2312" w:cs="Times New Roman"/>
                <w:b/>
                <w:bCs/>
                <w:color w:val="000000"/>
                <w:sz w:val="24"/>
                <w:szCs w:val="24"/>
              </w:rPr>
            </w:pPr>
            <w:r>
              <w:rPr>
                <w:rFonts w:hint="eastAsia" w:ascii="Times New Roman" w:hAnsi="Times New Roman" w:eastAsia="仿宋_GB2312" w:cs="Times New Roman"/>
                <w:b/>
                <w:bCs/>
                <w:color w:val="000000"/>
                <w:sz w:val="24"/>
                <w:szCs w:val="24"/>
              </w:rPr>
              <w:t>二、需要机器人实现</w:t>
            </w:r>
            <w:r>
              <w:rPr>
                <w:rFonts w:hint="eastAsia" w:ascii="Times New Roman" w:hAnsi="Times New Roman" w:eastAsia="仿宋_GB2312" w:cs="Times New Roman"/>
                <w:b/>
                <w:bCs/>
                <w:color w:val="000000"/>
                <w:sz w:val="24"/>
                <w:szCs w:val="24"/>
                <w:lang w:val="en-US" w:eastAsia="zh-CN"/>
              </w:rPr>
              <w:t>的</w:t>
            </w:r>
            <w:r>
              <w:rPr>
                <w:rFonts w:hint="eastAsia" w:ascii="Times New Roman" w:hAnsi="Times New Roman" w:eastAsia="仿宋_GB2312" w:cs="Times New Roman"/>
                <w:b/>
                <w:bCs/>
                <w:color w:val="000000"/>
                <w:sz w:val="24"/>
                <w:szCs w:val="24"/>
              </w:rPr>
              <w:t>具体效果</w:t>
            </w:r>
          </w:p>
          <w:p>
            <w:pPr>
              <w:spacing w:line="320" w:lineRule="exact"/>
              <w:ind w:firstLine="403"/>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1.显著提升服务效率：机器人能够快速响应读者的咨询和需求，在短时间内为读者提供准确答案和有效帮助，减少读者等待时间。在活动推荐方面，能够根据读者特征瞬间筛选出合适活动并详细介绍，提高读者参与活动的积极性和满意度。</w:t>
            </w:r>
          </w:p>
          <w:p>
            <w:pPr>
              <w:spacing w:line="320" w:lineRule="exact"/>
              <w:ind w:firstLine="403"/>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2.全面保障服务质量稳定：无论面对何种读者群体和复杂情况，机器人都能始终按照预设的标准和流程提供服务，避免因人工情绪、疲劳等因素导致的服务质量波动</w:t>
            </w:r>
            <w:r>
              <w:rPr>
                <w:rFonts w:hint="eastAsia" w:ascii="Times New Roman" w:hAnsi="Times New Roman" w:eastAsia="仿宋_GB2312" w:cs="Times New Roman"/>
                <w:color w:val="000000"/>
                <w:sz w:val="24"/>
                <w:szCs w:val="24"/>
                <w:lang w:eastAsia="zh-CN"/>
              </w:rPr>
              <w:t>，</w:t>
            </w:r>
            <w:r>
              <w:rPr>
                <w:rFonts w:hint="eastAsia" w:ascii="Times New Roman" w:hAnsi="Times New Roman" w:eastAsia="仿宋_GB2312" w:cs="Times New Roman"/>
                <w:color w:val="000000"/>
                <w:sz w:val="24"/>
                <w:szCs w:val="24"/>
              </w:rPr>
              <w:t>确保每位读者都能享受到一致、优质的服务体验，提升图书馆整体服务</w:t>
            </w:r>
            <w:r>
              <w:rPr>
                <w:rFonts w:hint="eastAsia" w:ascii="Times New Roman" w:hAnsi="Times New Roman" w:eastAsia="仿宋_GB2312" w:cs="Times New Roman"/>
                <w:color w:val="000000"/>
                <w:sz w:val="24"/>
                <w:szCs w:val="24"/>
                <w:lang w:val="en-US" w:eastAsia="zh-CN"/>
              </w:rPr>
              <w:t>水平</w:t>
            </w:r>
            <w:r>
              <w:rPr>
                <w:rFonts w:hint="eastAsia" w:ascii="Times New Roman" w:hAnsi="Times New Roman" w:eastAsia="仿宋_GB2312" w:cs="Times New Roman"/>
                <w:color w:val="000000"/>
                <w:sz w:val="24"/>
                <w:szCs w:val="24"/>
              </w:rPr>
              <w:t>。</w:t>
            </w:r>
          </w:p>
          <w:p>
            <w:pPr>
              <w:spacing w:line="320" w:lineRule="exact"/>
              <w:ind w:firstLine="403"/>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3.有效降低人力成本：通过机器人承担大量重复性、规律性的工作，如信息查询解答、日常提醒、违规劝诫等</w:t>
            </w:r>
            <w:r>
              <w:rPr>
                <w:rFonts w:hint="eastAsia" w:ascii="Times New Roman" w:hAnsi="Times New Roman" w:eastAsia="仿宋_GB2312" w:cs="Times New Roman"/>
                <w:color w:val="000000"/>
                <w:sz w:val="24"/>
                <w:szCs w:val="24"/>
                <w:lang w:eastAsia="zh-CN"/>
              </w:rPr>
              <w:t>，</w:t>
            </w:r>
            <w:r>
              <w:rPr>
                <w:rFonts w:hint="eastAsia" w:ascii="Times New Roman" w:hAnsi="Times New Roman" w:eastAsia="仿宋_GB2312" w:cs="Times New Roman"/>
                <w:color w:val="000000"/>
                <w:sz w:val="24"/>
                <w:szCs w:val="24"/>
              </w:rPr>
              <w:t>减少相关前台咨询岗位人力投入，将人力资源重新分配到更具创造性和复杂性的工作中，提高人力资源利用效率。</w:t>
            </w:r>
          </w:p>
          <w:p>
            <w:pPr>
              <w:spacing w:line="320" w:lineRule="exact"/>
              <w:ind w:firstLine="403"/>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4.增强信息传播效果：机器人能够及时、全面地向读者传播图书馆的最新活动信息、服务内容以及亮点数据等，通过多种互动方式吸引读者关注，提高信息传播的覆盖面和精准度，使更多读者了解和参与图书馆的各项活动和服务。</w:t>
            </w:r>
          </w:p>
          <w:p>
            <w:pPr>
              <w:spacing w:line="320" w:lineRule="exact"/>
              <w:ind w:firstLine="480" w:firstLineChars="200"/>
              <w:rPr>
                <w:rFonts w:ascii="Times New Roman" w:hAnsi="Times New Roman" w:eastAsia="仿宋_GB2312" w:cs="Times New Roman"/>
                <w:color w:val="000000"/>
                <w:sz w:val="24"/>
                <w:szCs w:val="24"/>
              </w:rPr>
            </w:pPr>
          </w:p>
          <w:p>
            <w:pPr>
              <w:spacing w:line="320" w:lineRule="exact"/>
              <w:rPr>
                <w:rFonts w:ascii="Times New Roman" w:hAnsi="Times New Roman" w:eastAsia="仿宋_GB2312" w:cs="Times New Roman"/>
                <w:b/>
                <w:bCs/>
                <w:color w:val="000000"/>
                <w:kern w:val="0"/>
                <w:sz w:val="24"/>
                <w:szCs w:val="24"/>
              </w:rPr>
            </w:pPr>
            <w:r>
              <w:rPr>
                <w:rFonts w:hint="eastAsia" w:ascii="Times New Roman" w:hAnsi="Times New Roman" w:eastAsia="仿宋_GB2312" w:cs="Times New Roman"/>
                <w:b/>
                <w:bCs/>
                <w:color w:val="000000"/>
                <w:kern w:val="0"/>
                <w:sz w:val="24"/>
                <w:szCs w:val="24"/>
              </w:rPr>
              <w:t>三、</w:t>
            </w:r>
            <w:r>
              <w:rPr>
                <w:rFonts w:ascii="Times New Roman" w:hAnsi="Times New Roman" w:eastAsia="仿宋_GB2312" w:cs="Times New Roman"/>
                <w:b/>
                <w:bCs/>
                <w:color w:val="000000"/>
                <w:kern w:val="0"/>
                <w:sz w:val="24"/>
                <w:szCs w:val="24"/>
              </w:rPr>
              <w:t>性能参数</w:t>
            </w:r>
            <w:r>
              <w:rPr>
                <w:rFonts w:hint="eastAsia" w:ascii="Times New Roman" w:hAnsi="Times New Roman" w:eastAsia="仿宋_GB2312" w:cs="Times New Roman"/>
                <w:b/>
                <w:bCs/>
                <w:color w:val="000000"/>
                <w:kern w:val="0"/>
                <w:sz w:val="24"/>
                <w:szCs w:val="24"/>
              </w:rPr>
              <w:t>要求</w:t>
            </w:r>
            <w:r>
              <w:rPr>
                <w:rFonts w:ascii="Times New Roman" w:hAnsi="Times New Roman" w:eastAsia="仿宋_GB2312" w:cs="Times New Roman"/>
                <w:b/>
                <w:bCs/>
                <w:color w:val="000000"/>
                <w:kern w:val="0"/>
                <w:sz w:val="24"/>
                <w:szCs w:val="24"/>
              </w:rPr>
              <w:t>：</w:t>
            </w:r>
          </w:p>
          <w:p>
            <w:pPr>
              <w:spacing w:line="320" w:lineRule="exact"/>
              <w:ind w:firstLine="480" w:firstLineChars="200"/>
              <w:rPr>
                <w:rFonts w:ascii="Times New Roman" w:hAnsi="Times New Roman" w:eastAsia="仿宋_GB2312" w:cs="Times New Roman"/>
                <w:color w:val="000000"/>
                <w:kern w:val="0"/>
                <w:sz w:val="24"/>
                <w:szCs w:val="24"/>
              </w:rPr>
            </w:pPr>
            <w:r>
              <w:rPr>
                <w:rFonts w:hint="eastAsia" w:ascii="Times New Roman" w:hAnsi="Times New Roman" w:eastAsia="仿宋_GB2312" w:cs="Times New Roman"/>
                <w:color w:val="000000"/>
                <w:kern w:val="0"/>
                <w:sz w:val="24"/>
                <w:szCs w:val="24"/>
              </w:rPr>
              <w:t>1.续航时间：支持长时间作业，续航时间≥10小时。</w:t>
            </w:r>
          </w:p>
          <w:p>
            <w:pPr>
              <w:spacing w:line="320" w:lineRule="exact"/>
              <w:ind w:firstLine="480" w:firstLineChars="200"/>
              <w:rPr>
                <w:rFonts w:ascii="Times New Roman" w:hAnsi="Times New Roman" w:eastAsia="仿宋_GB2312" w:cs="Times New Roman"/>
                <w:color w:val="000000"/>
                <w:kern w:val="0"/>
                <w:sz w:val="24"/>
                <w:szCs w:val="24"/>
              </w:rPr>
            </w:pPr>
            <w:r>
              <w:rPr>
                <w:rFonts w:hint="eastAsia" w:ascii="Times New Roman" w:hAnsi="Times New Roman" w:eastAsia="仿宋_GB2312" w:cs="Times New Roman"/>
                <w:color w:val="000000"/>
                <w:kern w:val="0"/>
                <w:sz w:val="24"/>
                <w:szCs w:val="24"/>
              </w:rPr>
              <w:t>2.双行走模式</w:t>
            </w:r>
            <w:r>
              <w:rPr>
                <w:rFonts w:ascii="Times New Roman" w:hAnsi="Times New Roman" w:eastAsia="仿宋_GB2312" w:cs="Times New Roman"/>
                <w:color w:val="000000"/>
                <w:kern w:val="0"/>
                <w:sz w:val="24"/>
                <w:szCs w:val="24"/>
              </w:rPr>
              <w:t>：支持</w:t>
            </w:r>
            <w:r>
              <w:rPr>
                <w:rFonts w:hint="eastAsia" w:ascii="Times New Roman" w:hAnsi="Times New Roman" w:eastAsia="仿宋_GB2312" w:cs="Times New Roman"/>
                <w:color w:val="000000"/>
                <w:kern w:val="0"/>
                <w:sz w:val="24"/>
                <w:szCs w:val="24"/>
              </w:rPr>
              <w:t>轮式和双足行走两种模式。</w:t>
            </w:r>
          </w:p>
          <w:p>
            <w:pPr>
              <w:spacing w:line="320" w:lineRule="exact"/>
              <w:ind w:firstLine="480" w:firstLineChars="200"/>
              <w:rPr>
                <w:rFonts w:ascii="Times New Roman" w:hAnsi="Times New Roman" w:eastAsia="仿宋_GB2312" w:cs="Times New Roman"/>
                <w:color w:val="000000"/>
                <w:kern w:val="0"/>
                <w:sz w:val="24"/>
                <w:szCs w:val="24"/>
              </w:rPr>
            </w:pPr>
            <w:r>
              <w:rPr>
                <w:rFonts w:hint="eastAsia" w:ascii="Times New Roman" w:hAnsi="Times New Roman" w:eastAsia="仿宋_GB2312" w:cs="Times New Roman"/>
                <w:color w:val="000000"/>
                <w:kern w:val="0"/>
                <w:sz w:val="24"/>
                <w:szCs w:val="24"/>
              </w:rPr>
              <w:t>3.简易操作：APP一站式操作，用户可通过简单的操作界面，控制表情、语音、行走、动作等</w:t>
            </w:r>
            <w:r>
              <w:rPr>
                <w:rFonts w:ascii="Times New Roman" w:hAnsi="Times New Roman" w:eastAsia="仿宋_GB2312" w:cs="Times New Roman"/>
                <w:color w:val="000000"/>
                <w:kern w:val="0"/>
                <w:sz w:val="24"/>
                <w:szCs w:val="24"/>
              </w:rPr>
              <w:t>。</w:t>
            </w:r>
          </w:p>
          <w:p>
            <w:pPr>
              <w:spacing w:line="320" w:lineRule="exact"/>
              <w:ind w:firstLine="480" w:firstLineChars="200"/>
              <w:rPr>
                <w:rFonts w:ascii="Times New Roman" w:hAnsi="Times New Roman" w:eastAsia="仿宋_GB2312" w:cs="Times New Roman"/>
                <w:color w:val="000000"/>
                <w:kern w:val="0"/>
                <w:sz w:val="24"/>
                <w:szCs w:val="24"/>
              </w:rPr>
            </w:pPr>
            <w:r>
              <w:rPr>
                <w:rFonts w:hint="eastAsia" w:ascii="Times New Roman" w:hAnsi="Times New Roman" w:eastAsia="仿宋_GB2312" w:cs="Times New Roman"/>
                <w:color w:val="000000"/>
                <w:kern w:val="0"/>
                <w:sz w:val="24"/>
                <w:szCs w:val="24"/>
              </w:rPr>
              <w:t>4.</w:t>
            </w:r>
            <w:r>
              <w:rPr>
                <w:rFonts w:ascii="Times New Roman" w:hAnsi="Times New Roman" w:eastAsia="仿宋_GB2312" w:cs="Times New Roman"/>
                <w:color w:val="000000"/>
                <w:kern w:val="0"/>
                <w:sz w:val="24"/>
                <w:szCs w:val="24"/>
              </w:rPr>
              <w:t>动作录制</w:t>
            </w:r>
            <w:r>
              <w:rPr>
                <w:rFonts w:hint="eastAsia" w:ascii="Times New Roman" w:hAnsi="Times New Roman" w:eastAsia="仿宋_GB2312" w:cs="Times New Roman"/>
                <w:color w:val="000000"/>
                <w:kern w:val="0"/>
                <w:sz w:val="24"/>
                <w:szCs w:val="24"/>
              </w:rPr>
              <w:t>：</w:t>
            </w:r>
            <w:r>
              <w:rPr>
                <w:rFonts w:ascii="Times New Roman" w:hAnsi="Times New Roman" w:eastAsia="仿宋_GB2312" w:cs="Times New Roman"/>
                <w:color w:val="000000"/>
                <w:kern w:val="0"/>
                <w:sz w:val="24"/>
                <w:szCs w:val="24"/>
              </w:rPr>
              <w:t>支持手把手动作示教，快速录入与编排。通过APP动作录制，轻松录入想要的动作。</w:t>
            </w:r>
          </w:p>
          <w:p>
            <w:pPr>
              <w:spacing w:line="320" w:lineRule="exact"/>
              <w:ind w:firstLine="480" w:firstLineChars="200"/>
              <w:rPr>
                <w:rFonts w:ascii="Times New Roman" w:hAnsi="Times New Roman" w:eastAsia="仿宋_GB2312" w:cs="Times New Roman"/>
                <w:color w:val="000000"/>
                <w:kern w:val="0"/>
                <w:sz w:val="24"/>
                <w:szCs w:val="24"/>
              </w:rPr>
            </w:pPr>
            <w:r>
              <w:rPr>
                <w:rFonts w:hint="eastAsia" w:ascii="Times New Roman" w:hAnsi="Times New Roman" w:eastAsia="仿宋_GB2312" w:cs="Times New Roman"/>
                <w:color w:val="000000"/>
                <w:kern w:val="0"/>
                <w:sz w:val="24"/>
                <w:szCs w:val="24"/>
              </w:rPr>
              <w:t>5.语音交互：支持粤语、四川、河南等十种方言及不少于3种外语。</w:t>
            </w:r>
          </w:p>
          <w:p>
            <w:pPr>
              <w:spacing w:line="320" w:lineRule="exact"/>
              <w:ind w:firstLine="480" w:firstLineChars="200"/>
              <w:rPr>
                <w:rFonts w:ascii="Times New Roman" w:hAnsi="Times New Roman" w:eastAsia="仿宋_GB2312" w:cs="Times New Roman"/>
                <w:color w:val="000000"/>
                <w:kern w:val="0"/>
                <w:sz w:val="24"/>
                <w:szCs w:val="24"/>
              </w:rPr>
            </w:pPr>
            <w:r>
              <w:rPr>
                <w:rFonts w:hint="eastAsia" w:ascii="Times New Roman" w:hAnsi="Times New Roman" w:eastAsia="仿宋_GB2312" w:cs="Times New Roman"/>
                <w:color w:val="000000"/>
                <w:kern w:val="0"/>
                <w:sz w:val="24"/>
                <w:szCs w:val="24"/>
              </w:rPr>
              <w:t>6.拟人讲课：通过大屏联动，机器人有丰富的语言、表情、动作等，对读者进行固定授课。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061" w:hRule="atLeast"/>
          <w:jc w:val="center"/>
        </w:trPr>
        <w:tc>
          <w:tcPr>
            <w:tcW w:w="1870" w:type="dxa"/>
            <w:tcBorders>
              <w:tl2br w:val="nil"/>
              <w:tr2bl w:val="nil"/>
            </w:tcBorders>
            <w:shd w:val="clear" w:color="auto" w:fill="auto"/>
            <w:vAlign w:val="center"/>
          </w:tcPr>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拟投入资金（万元）</w:t>
            </w:r>
          </w:p>
        </w:tc>
        <w:tc>
          <w:tcPr>
            <w:tcW w:w="2644" w:type="dxa"/>
            <w:tcBorders>
              <w:tl2br w:val="nil"/>
              <w:tr2bl w:val="nil"/>
            </w:tcBorders>
            <w:shd w:val="clear" w:color="auto" w:fill="auto"/>
            <w:vAlign w:val="center"/>
          </w:tcPr>
          <w:p>
            <w:pPr>
              <w:spacing w:line="320" w:lineRule="exact"/>
              <w:jc w:val="center"/>
              <w:rPr>
                <w:rFonts w:hint="default" w:ascii="仿宋_GB2312" w:hAnsi="Times New Roman" w:eastAsia="仿宋_GB2312" w:cs="方正仿宋简体"/>
                <w:color w:val="000000"/>
                <w:sz w:val="24"/>
                <w:szCs w:val="20"/>
                <w:lang w:val="en-US" w:eastAsia="zh-CN"/>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150</w:t>
            </w:r>
          </w:p>
        </w:tc>
        <w:tc>
          <w:tcPr>
            <w:tcW w:w="2377" w:type="dxa"/>
            <w:tcBorders>
              <w:tl2br w:val="nil"/>
              <w:tr2bl w:val="nil"/>
            </w:tcBorders>
            <w:shd w:val="clear" w:color="auto" w:fill="auto"/>
            <w:vAlign w:val="center"/>
          </w:tcPr>
          <w:p>
            <w:pPr>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拟建设周期</w:t>
            </w:r>
          </w:p>
        </w:tc>
        <w:tc>
          <w:tcPr>
            <w:tcW w:w="2379" w:type="dxa"/>
            <w:tcBorders>
              <w:tl2br w:val="nil"/>
              <w:tr2bl w:val="nil"/>
            </w:tcBorders>
            <w:shd w:val="clear" w:color="auto" w:fill="auto"/>
            <w:vAlign w:val="center"/>
          </w:tcPr>
          <w:p>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2901" w:hRule="atLeast"/>
          <w:jc w:val="center"/>
        </w:trPr>
        <w:tc>
          <w:tcPr>
            <w:tcW w:w="1870" w:type="dxa"/>
            <w:tcBorders>
              <w:tl2br w:val="nil"/>
              <w:tr2bl w:val="nil"/>
            </w:tcBorders>
            <w:shd w:val="clear" w:color="auto" w:fill="auto"/>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应用现状</w:t>
            </w:r>
          </w:p>
        </w:tc>
        <w:tc>
          <w:tcPr>
            <w:tcW w:w="7400" w:type="dxa"/>
            <w:gridSpan w:val="3"/>
            <w:tcBorders>
              <w:tl2br w:val="nil"/>
              <w:tr2bl w:val="nil"/>
            </w:tcBorders>
            <w:shd w:val="clear" w:color="auto" w:fill="auto"/>
          </w:tcPr>
          <w:p>
            <w:pPr>
              <w:adjustRightInd w:val="0"/>
              <w:snapToGrid w:val="0"/>
              <w:spacing w:line="320" w:lineRule="exact"/>
              <w:rPr>
                <w:rFonts w:ascii="Times New Roman" w:hAnsi="Times New Roman" w:eastAsia="仿宋_GB2312" w:cs="Times New Roman"/>
                <w:b/>
                <w:bCs/>
                <w:color w:val="000000"/>
                <w:sz w:val="24"/>
                <w:szCs w:val="24"/>
              </w:rPr>
            </w:pPr>
            <w:r>
              <w:rPr>
                <w:rFonts w:hint="eastAsia" w:ascii="Times New Roman" w:hAnsi="Times New Roman" w:eastAsia="仿宋_GB2312" w:cs="Times New Roman"/>
                <w:b/>
                <w:bCs/>
                <w:color w:val="000000"/>
                <w:sz w:val="24"/>
                <w:szCs w:val="24"/>
              </w:rPr>
              <w:t>一、国内外应用情况</w:t>
            </w:r>
          </w:p>
          <w:p>
            <w:pPr>
              <w:adjustRightInd w:val="0"/>
              <w:snapToGrid w:val="0"/>
              <w:spacing w:line="320" w:lineRule="exact"/>
              <w:ind w:firstLine="480" w:firstLineChars="200"/>
              <w:rPr>
                <w:rFonts w:ascii="仿宋_GB2312" w:hAnsi="Times New Roman" w:eastAsia="仿宋_GB2312" w:cs="方正仿宋简体"/>
                <w:color w:val="000000"/>
                <w:sz w:val="24"/>
                <w:szCs w:val="20"/>
              </w:rPr>
            </w:pPr>
            <w:r>
              <w:rPr>
                <w:rFonts w:hint="eastAsia" w:ascii="仿宋_GB2312" w:hAnsi="Times New Roman" w:eastAsia="仿宋_GB2312" w:cs="方正仿宋简体"/>
                <w:color w:val="000000"/>
                <w:sz w:val="24"/>
                <w:szCs w:val="20"/>
              </w:rPr>
              <w:t>国内图书馆机器人应用广泛且创新不断。深圳、福田等地图书馆的线下AI馆员，实现全流程服务，日均处理大量请求。苏州图书馆北馆、深圳图书馆北馆等图书馆的智慧书库部署多种功能机器人，分拣、盘点效率远超人工。南京江北新区图书馆、深圳光明区图书馆等图书馆还引入了具备导览和自助借还功能的机器人。</w:t>
            </w:r>
          </w:p>
          <w:p>
            <w:pPr>
              <w:adjustRightInd w:val="0"/>
              <w:snapToGrid w:val="0"/>
              <w:spacing w:line="320" w:lineRule="exact"/>
              <w:ind w:firstLine="480" w:firstLineChars="200"/>
              <w:rPr>
                <w:rFonts w:ascii="仿宋_GB2312" w:hAnsi="Times New Roman" w:eastAsia="仿宋_GB2312" w:cs="方正仿宋简体"/>
                <w:color w:val="000000"/>
                <w:sz w:val="24"/>
                <w:szCs w:val="20"/>
              </w:rPr>
            </w:pPr>
            <w:r>
              <w:rPr>
                <w:rFonts w:hint="eastAsia" w:ascii="仿宋_GB2312" w:hAnsi="Times New Roman" w:eastAsia="仿宋_GB2312" w:cs="方正仿宋简体"/>
                <w:color w:val="000000"/>
                <w:sz w:val="24"/>
                <w:szCs w:val="20"/>
              </w:rPr>
              <w:t>国外则处于早期探索与具身智能并行阶段。法国的NAO和Pepper机器人，具备多自由度与模块化设计，曾用于导览教学，但因功能单一、成本高，逐渐被替代。如今，受“具身智能”影响，机器人形态拓展至轮式、模块化，如挪威EVE、逐际动力Tron1等，部分通过大模型实现任务交互，却未大规模应用于图书馆。</w:t>
            </w:r>
          </w:p>
          <w:p>
            <w:pPr>
              <w:adjustRightInd w:val="0"/>
              <w:snapToGrid w:val="0"/>
              <w:spacing w:line="320" w:lineRule="exact"/>
              <w:rPr>
                <w:rFonts w:ascii="Times New Roman" w:hAnsi="Times New Roman" w:eastAsia="仿宋_GB2312" w:cs="Times New Roman"/>
                <w:b/>
                <w:bCs/>
                <w:color w:val="000000"/>
                <w:sz w:val="24"/>
                <w:szCs w:val="24"/>
              </w:rPr>
            </w:pPr>
            <w:r>
              <w:rPr>
                <w:rFonts w:hint="eastAsia" w:ascii="Times New Roman" w:hAnsi="Times New Roman" w:eastAsia="仿宋_GB2312" w:cs="Times New Roman"/>
                <w:b/>
                <w:bCs/>
                <w:color w:val="000000"/>
                <w:sz w:val="24"/>
                <w:szCs w:val="24"/>
              </w:rPr>
              <w:t>二、需改进的关键问题</w:t>
            </w:r>
          </w:p>
          <w:p>
            <w:pPr>
              <w:spacing w:line="320" w:lineRule="exact"/>
              <w:ind w:left="3" w:firstLine="398" w:firstLineChars="166"/>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1.功能单一与场景适配性不足，早期人形机器人多用于低频场景，与核心业务融合差，需开发模块化机器人，集成多种功能。</w:t>
            </w:r>
          </w:p>
          <w:p>
            <w:pPr>
              <w:spacing w:line="320" w:lineRule="exact"/>
              <w:ind w:left="3" w:firstLine="398" w:firstLineChars="166"/>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2.成本高昂，人形机器人硬件复杂，售价和维护成本高，可采用轮式或模块化设计、租赁模式降低成本。</w:t>
            </w:r>
          </w:p>
          <w:p>
            <w:pPr>
              <w:spacing w:line="320" w:lineRule="exact"/>
              <w:ind w:left="3" w:firstLine="398" w:firstLineChars="166"/>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3.技术成熟度不够，自主导航、交互等技术有误差，需优化算法、融合多传感器、采用RAG技术。</w:t>
            </w:r>
          </w:p>
          <w:p>
            <w:pPr>
              <w:spacing w:line="320" w:lineRule="exact"/>
              <w:ind w:left="3" w:firstLine="398" w:firstLineChars="166"/>
              <w:rPr>
                <w:rFonts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rPr>
              <w:t>4.数据安全与隐私保护待加强，要建立本地知识库、匿名化处理数据。</w:t>
            </w:r>
          </w:p>
          <w:p>
            <w:pPr>
              <w:spacing w:line="320" w:lineRule="exact"/>
              <w:ind w:left="3" w:firstLine="398" w:firstLineChars="166"/>
              <w:rPr>
                <w:rFonts w:ascii="仿宋_GB2312" w:hAnsi="Times New Roman" w:eastAsia="仿宋_GB2312" w:cs="方正仿宋简体"/>
                <w:color w:val="000000"/>
                <w:sz w:val="24"/>
                <w:szCs w:val="20"/>
              </w:rPr>
            </w:pPr>
            <w:r>
              <w:rPr>
                <w:rFonts w:hint="eastAsia" w:ascii="Times New Roman" w:hAnsi="Times New Roman" w:eastAsia="仿宋_GB2312" w:cs="Times New Roman"/>
                <w:color w:val="000000"/>
                <w:sz w:val="24"/>
                <w:szCs w:val="24"/>
              </w:rPr>
              <w:t>5.用户接受度与体验需优化，部分读者对机器人服务有信任障碍，可设计多模态交互界面，提升机器人亲和力。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421" w:hRule="atLeast"/>
          <w:jc w:val="center"/>
        </w:trPr>
        <w:tc>
          <w:tcPr>
            <w:tcW w:w="1870" w:type="dxa"/>
            <w:tcBorders>
              <w:tl2br w:val="nil"/>
              <w:tr2bl w:val="nil"/>
            </w:tcBorders>
            <w:shd w:val="clear" w:color="auto" w:fill="auto"/>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潜在规模</w:t>
            </w:r>
          </w:p>
        </w:tc>
        <w:tc>
          <w:tcPr>
            <w:tcW w:w="7400" w:type="dxa"/>
            <w:gridSpan w:val="3"/>
            <w:tcBorders>
              <w:tl2br w:val="nil"/>
              <w:tr2bl w:val="nil"/>
            </w:tcBorders>
            <w:shd w:val="clear" w:color="auto" w:fill="auto"/>
          </w:tcPr>
          <w:p>
            <w:pPr>
              <w:spacing w:line="320" w:lineRule="exact"/>
              <w:ind w:firstLine="480" w:firstLineChars="200"/>
              <w:rPr>
                <w:rFonts w:ascii="仿宋_GB2312" w:hAnsi="Times New Roman" w:eastAsia="仿宋_GB2312" w:cs="方正仿宋简体"/>
                <w:color w:val="000000"/>
                <w:sz w:val="24"/>
                <w:szCs w:val="20"/>
              </w:rPr>
            </w:pPr>
            <w:r>
              <w:rPr>
                <w:rFonts w:hint="eastAsia" w:ascii="仿宋_GB2312" w:hAnsi="Times New Roman" w:eastAsia="仿宋_GB2312" w:cs="方正仿宋简体"/>
                <w:color w:val="000000"/>
                <w:sz w:val="24"/>
                <w:szCs w:val="20"/>
              </w:rPr>
              <w:t>2024年，深圳图书馆接待到馆读者685.45万人次（其中中心馆310.02万人次、北馆347.74万人次、分馆27.68万人次），同比增长100.69%；文献外借量949.36万册次，同比增长30.76%；举办线上线下读者活动3118场次，参与读者2192.3万人次，同比分别增长65.5%、92.57%；数字资源全文下载量7700.75万次，同比增长28.47%。截至2024年底，累积文献藏量1428.18万册、件，其中纸质文献695.19万册，电子文献（含音像资料）732.99万册、件。</w:t>
            </w:r>
          </w:p>
          <w:p>
            <w:pPr>
              <w:spacing w:line="320" w:lineRule="exact"/>
              <w:ind w:firstLine="480" w:firstLineChars="200"/>
              <w:rPr>
                <w:rFonts w:ascii="仿宋_GB2312" w:hAnsi="Times New Roman" w:eastAsia="仿宋_GB2312" w:cs="方正仿宋简体"/>
                <w:color w:val="000000"/>
                <w:sz w:val="24"/>
                <w:szCs w:val="20"/>
              </w:rPr>
            </w:pPr>
            <w:r>
              <w:rPr>
                <w:rFonts w:hint="eastAsia" w:ascii="仿宋_GB2312" w:hAnsi="Times New Roman" w:eastAsia="仿宋_GB2312" w:cs="方正仿宋简体"/>
                <w:color w:val="000000"/>
                <w:sz w:val="24"/>
                <w:szCs w:val="20"/>
              </w:rPr>
              <w:t>截至2024年底，全市1201家公共图书馆（包含879家公共图书馆、322台自助图书馆）实现“图书馆之城”统一服务，累积注册读者585.34万人，全市持证率32.54%。统一服务成员馆累积文献总藏量6442.75万册、件，包含实体文献藏量2804.34万册、件，电子文献藏量3638.41万册、件。2024年，“图书馆之城”统一服务成员馆进馆读者4790.93万人次，同比增长42.22%；实体文献外借量2623.08万册次，同比增长14.13%；举办线上线下阅读推广活动3.37万场、参与市民读者3116.71万人次，同比分别增长20.36%、9.73%。</w:t>
            </w:r>
          </w:p>
          <w:p>
            <w:pPr>
              <w:spacing w:line="320" w:lineRule="exact"/>
              <w:ind w:firstLine="480" w:firstLineChars="200"/>
              <w:rPr>
                <w:rFonts w:ascii="仿宋_GB2312" w:hAnsi="Times New Roman" w:eastAsia="仿宋_GB2312" w:cs="方正仿宋简体"/>
                <w:color w:val="000000"/>
                <w:sz w:val="24"/>
                <w:szCs w:val="20"/>
              </w:rPr>
            </w:pPr>
            <w:r>
              <w:rPr>
                <w:rFonts w:ascii="仿宋_GB2312" w:hAnsi="Times New Roman" w:eastAsia="仿宋_GB2312" w:cs="方正仿宋简体"/>
                <w:color w:val="000000"/>
                <w:sz w:val="24"/>
                <w:szCs w:val="20"/>
              </w:rPr>
              <w:t>深圳图书馆多项业务数据长期处于全国城市图书馆前列，其在服务模式、技术应用、资源建设</w:t>
            </w:r>
            <w:r>
              <w:rPr>
                <w:rFonts w:hint="eastAsia" w:ascii="仿宋_GB2312" w:hAnsi="Times New Roman" w:eastAsia="仿宋_GB2312" w:cs="方正仿宋简体"/>
                <w:color w:val="000000"/>
                <w:sz w:val="24"/>
                <w:szCs w:val="20"/>
              </w:rPr>
              <w:t>、阅读推广</w:t>
            </w:r>
            <w:r>
              <w:rPr>
                <w:rFonts w:ascii="仿宋_GB2312" w:hAnsi="Times New Roman" w:eastAsia="仿宋_GB2312" w:cs="方正仿宋简体"/>
                <w:color w:val="000000"/>
                <w:sz w:val="24"/>
                <w:szCs w:val="20"/>
              </w:rPr>
              <w:t>等领域推出的</w:t>
            </w:r>
            <w:r>
              <w:rPr>
                <w:rFonts w:hint="eastAsia" w:ascii="仿宋_GB2312" w:hAnsi="Times New Roman" w:eastAsia="仿宋_GB2312" w:cs="方正仿宋简体"/>
                <w:color w:val="000000"/>
                <w:sz w:val="24"/>
                <w:szCs w:val="20"/>
              </w:rPr>
              <w:t>各种</w:t>
            </w:r>
            <w:r>
              <w:rPr>
                <w:rFonts w:ascii="仿宋_GB2312" w:hAnsi="Times New Roman" w:eastAsia="仿宋_GB2312" w:cs="方正仿宋简体"/>
                <w:color w:val="000000"/>
                <w:sz w:val="24"/>
                <w:szCs w:val="20"/>
              </w:rPr>
              <w:t>创新举措，为全国图书馆行业发展提供了实践参考，发挥了积极的借鉴与示范作用。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2" w:hRule="atLeast"/>
          <w:jc w:val="center"/>
        </w:trPr>
        <w:tc>
          <w:tcPr>
            <w:tcW w:w="1870" w:type="dxa"/>
            <w:tcBorders>
              <w:tl2br w:val="nil"/>
              <w:tr2bl w:val="nil"/>
            </w:tcBorders>
            <w:shd w:val="clear" w:color="auto" w:fill="auto"/>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建设基础</w:t>
            </w:r>
          </w:p>
        </w:tc>
        <w:tc>
          <w:tcPr>
            <w:tcW w:w="7400" w:type="dxa"/>
            <w:gridSpan w:val="3"/>
            <w:tcBorders>
              <w:tl2br w:val="nil"/>
              <w:tr2bl w:val="nil"/>
            </w:tcBorders>
            <w:shd w:val="clear" w:color="auto" w:fill="auto"/>
          </w:tcPr>
          <w:p>
            <w:pPr>
              <w:spacing w:line="320" w:lineRule="exact"/>
              <w:rPr>
                <w:rFonts w:ascii="仿宋_GB2312" w:hAnsi="Times New Roman" w:eastAsia="仿宋_GB2312" w:cs="方正仿宋简体"/>
                <w:b/>
                <w:bCs/>
                <w:color w:val="000000"/>
                <w:sz w:val="24"/>
                <w:szCs w:val="20"/>
              </w:rPr>
            </w:pPr>
            <w:r>
              <w:rPr>
                <w:rFonts w:hint="eastAsia" w:ascii="仿宋_GB2312" w:hAnsi="Times New Roman" w:eastAsia="仿宋_GB2312" w:cs="方正仿宋简体"/>
                <w:b/>
                <w:bCs/>
                <w:color w:val="000000"/>
                <w:sz w:val="24"/>
                <w:szCs w:val="20"/>
              </w:rPr>
              <w:t>一、业务管理情况</w:t>
            </w:r>
          </w:p>
          <w:p>
            <w:pPr>
              <w:spacing w:line="320" w:lineRule="exact"/>
              <w:ind w:firstLine="480" w:firstLineChars="200"/>
              <w:rPr>
                <w:rFonts w:hint="eastAsia" w:ascii="仿宋_GB2312" w:hAnsi="Times New Roman" w:eastAsia="仿宋_GB2312" w:cs="方正仿宋简体"/>
                <w:color w:val="000000"/>
                <w:sz w:val="24"/>
                <w:szCs w:val="20"/>
                <w:lang w:eastAsia="zh-CN"/>
              </w:rPr>
            </w:pPr>
            <w:bookmarkStart w:id="1" w:name="OLE_LINK1"/>
            <w:r>
              <w:rPr>
                <w:rFonts w:hint="eastAsia" w:ascii="仿宋_GB2312" w:hAnsi="Times New Roman" w:eastAsia="仿宋_GB2312" w:cs="方正仿宋简体"/>
                <w:color w:val="000000"/>
                <w:sz w:val="24"/>
                <w:szCs w:val="20"/>
                <w:lang w:val="en-US" w:eastAsia="zh-CN"/>
              </w:rPr>
              <w:t>深圳图书馆长期深耕业务规范化、标准化建设，已构建起较为健全的业务政策体系，包括牵头、参与编写的7项国家/行业标准，8项地方/团体标准，</w:t>
            </w:r>
            <w:r>
              <w:rPr>
                <w:rFonts w:hint="eastAsia" w:ascii="仿宋_GB2312" w:hAnsi="Times New Roman" w:eastAsia="仿宋_GB2312" w:cs="方正仿宋简体"/>
                <w:color w:val="000000"/>
                <w:sz w:val="24"/>
                <w:szCs w:val="20"/>
                <w:lang w:eastAsia="zh-CN"/>
              </w:rPr>
              <w:t>馆内业务规范文件及业务咨询知识库</w:t>
            </w:r>
            <w:r>
              <w:rPr>
                <w:rFonts w:hint="eastAsia" w:ascii="仿宋_GB2312" w:hAnsi="Times New Roman" w:eastAsia="仿宋_GB2312" w:cs="方正仿宋简体"/>
                <w:color w:val="000000"/>
                <w:sz w:val="24"/>
                <w:szCs w:val="20"/>
                <w:lang w:val="en-US" w:eastAsia="zh-CN"/>
              </w:rPr>
              <w:t>等30余项</w:t>
            </w:r>
            <w:r>
              <w:rPr>
                <w:rFonts w:hint="eastAsia" w:ascii="仿宋_GB2312" w:hAnsi="Times New Roman" w:eastAsia="仿宋_GB2312" w:cs="方正仿宋简体"/>
                <w:color w:val="000000"/>
                <w:sz w:val="24"/>
                <w:szCs w:val="20"/>
                <w:lang w:eastAsia="zh-CN"/>
              </w:rPr>
              <w:t>：</w:t>
            </w:r>
          </w:p>
          <w:bookmarkEnd w:id="1"/>
          <w:p>
            <w:pPr>
              <w:spacing w:line="320" w:lineRule="exact"/>
              <w:ind w:firstLine="480" w:firstLineChars="200"/>
              <w:rPr>
                <w:rFonts w:hint="eastAsia" w:ascii="仿宋_GB2312" w:hAnsi="Times New Roman" w:eastAsia="仿宋_GB2312" w:cs="方正仿宋简体"/>
                <w:color w:val="000000"/>
                <w:sz w:val="24"/>
                <w:szCs w:val="20"/>
                <w:lang w:eastAsia="zh-CN"/>
              </w:rPr>
            </w:pPr>
            <w:r>
              <w:rPr>
                <w:rFonts w:hint="eastAsia" w:ascii="仿宋_GB2312" w:hAnsi="Times New Roman" w:eastAsia="仿宋_GB2312" w:cs="方正仿宋简体"/>
                <w:color w:val="000000"/>
                <w:sz w:val="24"/>
                <w:szCs w:val="20"/>
                <w:lang w:eastAsia="zh-CN"/>
              </w:rPr>
              <w:t>《公共图书馆统一服务技术平台应用规范》</w:t>
            </w:r>
          </w:p>
          <w:p>
            <w:pPr>
              <w:spacing w:line="320" w:lineRule="exact"/>
              <w:ind w:firstLine="480" w:firstLineChars="200"/>
              <w:rPr>
                <w:rFonts w:hint="eastAsia" w:ascii="仿宋_GB2312" w:hAnsi="Times New Roman" w:eastAsia="仿宋_GB2312" w:cs="方正仿宋简体"/>
                <w:color w:val="000000"/>
                <w:sz w:val="24"/>
                <w:szCs w:val="20"/>
                <w:lang w:eastAsia="zh-CN"/>
              </w:rPr>
            </w:pPr>
            <w:r>
              <w:rPr>
                <w:rFonts w:hint="eastAsia" w:ascii="仿宋_GB2312" w:hAnsi="Times New Roman" w:eastAsia="仿宋_GB2312" w:cs="方正仿宋简体"/>
                <w:color w:val="000000"/>
                <w:sz w:val="24"/>
                <w:szCs w:val="20"/>
                <w:lang w:eastAsia="zh-CN"/>
              </w:rPr>
              <w:t>《公共图书馆RFID技术应用业务规范》</w:t>
            </w:r>
          </w:p>
          <w:p>
            <w:pPr>
              <w:spacing w:line="320" w:lineRule="exact"/>
              <w:ind w:firstLine="480" w:firstLineChars="200"/>
              <w:rPr>
                <w:rFonts w:hint="eastAsia" w:ascii="仿宋_GB2312" w:hAnsi="Times New Roman" w:eastAsia="仿宋_GB2312" w:cs="方正仿宋简体"/>
                <w:color w:val="000000"/>
                <w:sz w:val="24"/>
                <w:szCs w:val="20"/>
                <w:lang w:eastAsia="zh-CN"/>
              </w:rPr>
            </w:pPr>
            <w:r>
              <w:rPr>
                <w:rFonts w:hint="eastAsia" w:ascii="仿宋_GB2312" w:hAnsi="Times New Roman" w:eastAsia="仿宋_GB2312" w:cs="方正仿宋简体"/>
                <w:color w:val="000000"/>
                <w:sz w:val="24"/>
                <w:szCs w:val="20"/>
                <w:lang w:eastAsia="zh-CN"/>
              </w:rPr>
              <w:t>《公共图书馆统一服务书目质量控制规范》</w:t>
            </w:r>
          </w:p>
          <w:p>
            <w:pPr>
              <w:spacing w:line="320" w:lineRule="exact"/>
              <w:ind w:firstLine="480" w:firstLineChars="200"/>
              <w:rPr>
                <w:rFonts w:hint="eastAsia" w:ascii="仿宋_GB2312" w:hAnsi="Times New Roman" w:eastAsia="仿宋_GB2312" w:cs="方正仿宋简体"/>
                <w:color w:val="000000"/>
                <w:sz w:val="24"/>
                <w:szCs w:val="20"/>
                <w:lang w:eastAsia="zh-CN"/>
              </w:rPr>
            </w:pPr>
            <w:r>
              <w:rPr>
                <w:rFonts w:hint="eastAsia" w:ascii="仿宋_GB2312" w:hAnsi="Times New Roman" w:eastAsia="仿宋_GB2312" w:cs="方正仿宋简体"/>
                <w:color w:val="000000"/>
                <w:sz w:val="24"/>
                <w:szCs w:val="20"/>
                <w:lang w:eastAsia="zh-CN"/>
              </w:rPr>
              <w:t>《公共图书馆统一服务业务统计数据规范》</w:t>
            </w:r>
          </w:p>
          <w:p>
            <w:pPr>
              <w:spacing w:line="320" w:lineRule="exact"/>
              <w:ind w:firstLine="480" w:firstLineChars="200"/>
              <w:rPr>
                <w:rFonts w:hint="eastAsia" w:ascii="仿宋_GB2312" w:hAnsi="Times New Roman" w:eastAsia="仿宋_GB2312" w:cs="方正仿宋简体"/>
                <w:color w:val="000000"/>
                <w:sz w:val="24"/>
                <w:szCs w:val="20"/>
                <w:lang w:eastAsia="zh-CN"/>
              </w:rPr>
            </w:pPr>
            <w:r>
              <w:rPr>
                <w:rFonts w:hint="eastAsia" w:ascii="仿宋_GB2312" w:hAnsi="Times New Roman" w:eastAsia="仿宋_GB2312" w:cs="方正仿宋简体"/>
                <w:color w:val="000000"/>
                <w:sz w:val="24"/>
                <w:szCs w:val="20"/>
                <w:lang w:eastAsia="zh-CN"/>
              </w:rPr>
              <w:t>《公共图书馆统一服务报刊联合采编数据规范》</w:t>
            </w:r>
          </w:p>
          <w:p>
            <w:pPr>
              <w:spacing w:line="320" w:lineRule="exact"/>
              <w:ind w:firstLine="480" w:firstLineChars="200"/>
              <w:rPr>
                <w:rFonts w:hint="eastAsia" w:ascii="仿宋_GB2312" w:hAnsi="Times New Roman" w:eastAsia="仿宋_GB2312" w:cs="方正仿宋简体"/>
                <w:color w:val="000000"/>
                <w:sz w:val="24"/>
                <w:szCs w:val="20"/>
                <w:lang w:eastAsia="zh-CN"/>
              </w:rPr>
            </w:pPr>
            <w:r>
              <w:rPr>
                <w:rFonts w:hint="eastAsia" w:ascii="仿宋_GB2312" w:hAnsi="Times New Roman" w:eastAsia="仿宋_GB2312" w:cs="方正仿宋简体"/>
                <w:color w:val="000000"/>
                <w:sz w:val="24"/>
                <w:szCs w:val="20"/>
                <w:lang w:eastAsia="zh-CN"/>
              </w:rPr>
              <w:t>《24小时自助图书馆通用服务要求》</w:t>
            </w:r>
          </w:p>
          <w:p>
            <w:pPr>
              <w:spacing w:line="320" w:lineRule="exact"/>
              <w:ind w:firstLine="480" w:firstLineChars="200"/>
              <w:rPr>
                <w:rFonts w:hint="eastAsia" w:ascii="仿宋_GB2312" w:hAnsi="Times New Roman" w:eastAsia="仿宋_GB2312" w:cs="方正仿宋简体"/>
                <w:color w:val="000000"/>
                <w:sz w:val="24"/>
                <w:szCs w:val="20"/>
                <w:lang w:eastAsia="zh-CN"/>
              </w:rPr>
            </w:pPr>
            <w:r>
              <w:rPr>
                <w:rFonts w:hint="eastAsia" w:ascii="仿宋_GB2312" w:hAnsi="Times New Roman" w:eastAsia="仿宋_GB2312" w:cs="方正仿宋简体"/>
                <w:color w:val="000000"/>
                <w:sz w:val="24"/>
                <w:szCs w:val="20"/>
                <w:lang w:eastAsia="zh-CN"/>
              </w:rPr>
              <w:t>《深圳图书馆规章制度与业务规范》</w:t>
            </w:r>
          </w:p>
          <w:p>
            <w:pPr>
              <w:spacing w:line="320" w:lineRule="exact"/>
              <w:ind w:firstLine="480" w:firstLineChars="200"/>
              <w:rPr>
                <w:rFonts w:hint="eastAsia" w:ascii="仿宋_GB2312" w:hAnsi="Times New Roman" w:eastAsia="仿宋_GB2312" w:cs="方正仿宋简体"/>
                <w:color w:val="000000"/>
                <w:sz w:val="24"/>
                <w:szCs w:val="20"/>
                <w:lang w:eastAsia="zh-CN"/>
              </w:rPr>
            </w:pPr>
            <w:r>
              <w:rPr>
                <w:rFonts w:hint="eastAsia" w:ascii="仿宋_GB2312" w:hAnsi="Times New Roman" w:eastAsia="仿宋_GB2312" w:cs="方正仿宋简体"/>
                <w:color w:val="000000"/>
                <w:sz w:val="24"/>
                <w:szCs w:val="20"/>
                <w:lang w:eastAsia="zh-CN"/>
              </w:rPr>
              <w:t>《深圳图书馆业务咨询知识库》</w:t>
            </w:r>
          </w:p>
          <w:p>
            <w:pPr>
              <w:spacing w:line="320" w:lineRule="exact"/>
              <w:ind w:firstLine="480" w:firstLineChars="200"/>
              <w:rPr>
                <w:rFonts w:hint="default" w:ascii="仿宋_GB2312" w:hAnsi="Times New Roman" w:eastAsia="仿宋_GB2312" w:cs="方正仿宋简体"/>
                <w:color w:val="000000"/>
                <w:sz w:val="24"/>
                <w:szCs w:val="20"/>
                <w:lang w:val="en-US" w:eastAsia="zh-CN"/>
              </w:rPr>
            </w:pPr>
            <w:r>
              <w:rPr>
                <w:rFonts w:hint="eastAsia" w:ascii="仿宋_GB2312" w:hAnsi="Times New Roman" w:eastAsia="仿宋_GB2312" w:cs="方正仿宋简体"/>
                <w:color w:val="000000"/>
                <w:sz w:val="24"/>
                <w:szCs w:val="20"/>
                <w:lang w:val="en-US" w:eastAsia="zh-CN"/>
              </w:rPr>
              <w:t>……</w:t>
            </w:r>
          </w:p>
          <w:p>
            <w:pPr>
              <w:spacing w:line="320" w:lineRule="exact"/>
              <w:ind w:firstLine="480" w:firstLineChars="200"/>
              <w:rPr>
                <w:rFonts w:ascii="仿宋_GB2312" w:hAnsi="Times New Roman" w:eastAsia="仿宋_GB2312" w:cs="方正仿宋简体"/>
                <w:color w:val="000000"/>
                <w:sz w:val="24"/>
                <w:szCs w:val="20"/>
              </w:rPr>
            </w:pPr>
          </w:p>
          <w:p>
            <w:pPr>
              <w:spacing w:line="320" w:lineRule="exact"/>
              <w:rPr>
                <w:rFonts w:ascii="仿宋_GB2312" w:hAnsi="Times New Roman" w:eastAsia="仿宋_GB2312" w:cs="方正仿宋简体"/>
                <w:b/>
                <w:bCs/>
                <w:color w:val="000000"/>
                <w:sz w:val="24"/>
                <w:szCs w:val="20"/>
              </w:rPr>
            </w:pPr>
            <w:r>
              <w:rPr>
                <w:rFonts w:hint="eastAsia" w:ascii="仿宋_GB2312" w:hAnsi="Times New Roman" w:eastAsia="仿宋_GB2312" w:cs="方正仿宋简体"/>
                <w:b/>
                <w:bCs/>
                <w:color w:val="000000"/>
                <w:sz w:val="24"/>
                <w:szCs w:val="20"/>
              </w:rPr>
              <w:t>二、业务数字化情况</w:t>
            </w:r>
          </w:p>
          <w:p>
            <w:pPr>
              <w:spacing w:line="320" w:lineRule="exact"/>
              <w:ind w:firstLine="480" w:firstLineChars="200"/>
              <w:rPr>
                <w:rFonts w:hint="eastAsia" w:ascii="仿宋_GB2312" w:hAnsi="Times New Roman" w:eastAsia="仿宋_GB2312" w:cs="方正仿宋简体"/>
                <w:color w:val="000000"/>
                <w:sz w:val="24"/>
                <w:szCs w:val="20"/>
              </w:rPr>
            </w:pPr>
            <w:r>
              <w:rPr>
                <w:rFonts w:hint="eastAsia" w:ascii="仿宋_GB2312" w:hAnsi="Times New Roman" w:eastAsia="仿宋_GB2312" w:cs="方正仿宋简体"/>
                <w:color w:val="000000"/>
                <w:sz w:val="24"/>
                <w:szCs w:val="20"/>
              </w:rPr>
              <w:t>已完成全流程业务数字化：深圳图书馆从文献采购、编目、检索、读者办证、借还书流程均已完成数字化基础工作，馆员日常工作均通过电脑进行，读者通过自助设备完成借还书操作。</w:t>
            </w:r>
          </w:p>
          <w:p>
            <w:pPr>
              <w:spacing w:line="320" w:lineRule="exact"/>
              <w:ind w:firstLine="480" w:firstLineChars="200"/>
              <w:rPr>
                <w:rFonts w:ascii="仿宋_GB2312" w:hAnsi="Times New Roman" w:eastAsia="仿宋_GB2312" w:cs="方正仿宋简体"/>
                <w:color w:val="000000"/>
                <w:sz w:val="24"/>
                <w:szCs w:val="20"/>
              </w:rPr>
            </w:pPr>
          </w:p>
          <w:p>
            <w:pPr>
              <w:spacing w:line="320" w:lineRule="exact"/>
              <w:rPr>
                <w:rFonts w:ascii="仿宋_GB2312" w:hAnsi="Times New Roman" w:eastAsia="仿宋_GB2312" w:cs="方正仿宋简体"/>
                <w:b/>
                <w:bCs/>
                <w:color w:val="000000"/>
                <w:sz w:val="24"/>
                <w:szCs w:val="20"/>
              </w:rPr>
            </w:pPr>
            <w:r>
              <w:rPr>
                <w:rFonts w:hint="eastAsia" w:ascii="仿宋_GB2312" w:hAnsi="Times New Roman" w:eastAsia="仿宋_GB2312" w:cs="方正仿宋简体"/>
                <w:b/>
                <w:bCs/>
                <w:color w:val="000000"/>
                <w:sz w:val="24"/>
                <w:szCs w:val="20"/>
              </w:rPr>
              <w:t>三、业务数据资源情况</w:t>
            </w:r>
          </w:p>
          <w:p>
            <w:pPr>
              <w:spacing w:line="320" w:lineRule="exact"/>
              <w:ind w:firstLine="480" w:firstLineChars="200"/>
              <w:rPr>
                <w:rFonts w:ascii="Times New Roman" w:hAnsi="Times New Roman" w:eastAsia="仿宋_GB2312" w:cs="Times New Roman"/>
                <w:color w:val="000000"/>
                <w:kern w:val="0"/>
                <w:sz w:val="24"/>
                <w:szCs w:val="24"/>
              </w:rPr>
            </w:pPr>
            <w:r>
              <w:rPr>
                <w:rFonts w:hint="eastAsia" w:ascii="Times New Roman" w:hAnsi="Times New Roman" w:eastAsia="仿宋_GB2312" w:cs="Times New Roman"/>
                <w:color w:val="000000"/>
                <w:kern w:val="0"/>
                <w:sz w:val="24"/>
                <w:szCs w:val="24"/>
              </w:rPr>
              <w:t>深圳图书馆业务数据资源包括超过600余万读者数据，360余万书目数据，6000余万纸本、电子文献数据，以 ULAS V 为核心业务系统，整合 89 个部署系统及全国图书馆联合编目中心等外部信息源，覆盖读者、书目、馆藏、借还等管理服务数据、过程数据与结果数据。数据治理依托数据管理委员会、数据共享管理中心及业务部门的三级架构，明确各层级职责与标准规范，通过统一数据标准、质量与安全管理保障数据合规。数据资源涵盖基础与衍生两类数据项，按敏感度划分为 6 个级别并采取对应保护措施，形成包含 1976 项数据项的资源目录，支持馆内业务协同、跨馆数据共享及个性化服务等应用场景，数据通过实时按需获取方式整合，无需定期采集，为图书馆一体化服务提供坚实数据支撑</w:t>
            </w:r>
            <w:r>
              <w:rPr>
                <w:rFonts w:hint="eastAsia" w:ascii="Times New Roman" w:hAnsi="Times New Roman" w:eastAsia="仿宋_GB2312" w:cs="Times New Roman"/>
                <w:color w:val="000000"/>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411" w:hRule="atLeast"/>
          <w:jc w:val="center"/>
        </w:trPr>
        <w:tc>
          <w:tcPr>
            <w:tcW w:w="1870" w:type="dxa"/>
            <w:tcBorders>
              <w:tl2br w:val="nil"/>
              <w:tr2bl w:val="nil"/>
            </w:tcBorders>
            <w:shd w:val="clear" w:color="auto" w:fill="auto"/>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实施成效</w:t>
            </w:r>
          </w:p>
        </w:tc>
        <w:tc>
          <w:tcPr>
            <w:tcW w:w="7400" w:type="dxa"/>
            <w:gridSpan w:val="3"/>
            <w:tcBorders>
              <w:tl2br w:val="nil"/>
              <w:tr2bl w:val="nil"/>
            </w:tcBorders>
            <w:shd w:val="clear" w:color="auto" w:fill="auto"/>
            <w:vAlign w:val="top"/>
          </w:tcPr>
          <w:p>
            <w:pPr>
              <w:spacing w:line="320" w:lineRule="exact"/>
              <w:rPr>
                <w:rFonts w:ascii="仿宋_GB2312" w:hAnsi="Times New Roman" w:eastAsia="仿宋_GB2312" w:cs="方正仿宋简体"/>
                <w:b/>
                <w:bCs/>
                <w:color w:val="000000"/>
                <w:sz w:val="24"/>
                <w:szCs w:val="20"/>
              </w:rPr>
            </w:pPr>
            <w:r>
              <w:rPr>
                <w:rFonts w:hint="eastAsia" w:ascii="仿宋_GB2312" w:hAnsi="Times New Roman" w:eastAsia="仿宋_GB2312" w:cs="方正仿宋简体"/>
                <w:b/>
                <w:bCs/>
                <w:color w:val="000000"/>
                <w:sz w:val="24"/>
                <w:szCs w:val="20"/>
              </w:rPr>
              <w:t>一、预期经济效益</w:t>
            </w:r>
          </w:p>
          <w:p>
            <w:pPr>
              <w:spacing w:line="320" w:lineRule="exact"/>
              <w:ind w:firstLine="480" w:firstLineChars="200"/>
              <w:rPr>
                <w:rFonts w:ascii="仿宋_GB2312" w:hAnsi="Times New Roman" w:eastAsia="仿宋_GB2312" w:cs="方正仿宋简体"/>
                <w:color w:val="000000"/>
                <w:sz w:val="24"/>
                <w:szCs w:val="20"/>
              </w:rPr>
            </w:pPr>
            <w:r>
              <w:rPr>
                <w:rFonts w:hint="eastAsia" w:ascii="仿宋_GB2312" w:hAnsi="Times New Roman" w:eastAsia="仿宋_GB2312" w:cs="方正仿宋简体"/>
                <w:color w:val="000000"/>
                <w:sz w:val="24"/>
                <w:szCs w:val="20"/>
              </w:rPr>
              <w:t>1.优化人力成本结构：机器人可承接信息咨询解答、日常提醒、违规行为劝诫等重复性、流程化工作，减少对应服务岗位的人力投入。节省的人力成本可重新配置至创意策划、深度服务等复杂性、创造性工作中，提升整体运营效能。</w:t>
            </w:r>
          </w:p>
          <w:p>
            <w:pPr>
              <w:spacing w:line="320" w:lineRule="exact"/>
              <w:ind w:firstLine="480" w:firstLineChars="200"/>
              <w:rPr>
                <w:rFonts w:ascii="仿宋_GB2312" w:hAnsi="Times New Roman" w:eastAsia="仿宋_GB2312" w:cs="方正仿宋简体"/>
                <w:color w:val="000000"/>
                <w:sz w:val="24"/>
                <w:szCs w:val="20"/>
              </w:rPr>
            </w:pPr>
            <w:r>
              <w:rPr>
                <w:rFonts w:hint="eastAsia" w:ascii="仿宋_GB2312" w:hAnsi="Times New Roman" w:eastAsia="仿宋_GB2312" w:cs="方正仿宋简体"/>
                <w:color w:val="000000"/>
                <w:sz w:val="24"/>
                <w:szCs w:val="20"/>
              </w:rPr>
              <w:t>2.提升资源利用效率：机器人可实时同步并更新馆藏图书信息，精准定位图书存放位置，缩短读者检索与借阅耗时，有效提升图书流通周转率，强化馆藏资源的利用价值。</w:t>
            </w:r>
          </w:p>
          <w:p>
            <w:pPr>
              <w:spacing w:line="320" w:lineRule="exact"/>
              <w:ind w:firstLine="480" w:firstLineChars="200"/>
              <w:rPr>
                <w:rFonts w:ascii="仿宋_GB2312" w:hAnsi="Times New Roman" w:eastAsia="仿宋_GB2312" w:cs="方正仿宋简体"/>
                <w:color w:val="000000"/>
                <w:sz w:val="24"/>
                <w:szCs w:val="20"/>
              </w:rPr>
            </w:pPr>
            <w:r>
              <w:rPr>
                <w:rFonts w:hint="eastAsia" w:ascii="仿宋_GB2312" w:hAnsi="Times New Roman" w:eastAsia="仿宋_GB2312" w:cs="方正仿宋简体"/>
                <w:color w:val="000000"/>
                <w:sz w:val="24"/>
                <w:szCs w:val="20"/>
              </w:rPr>
              <w:t>3.降低长期运营成本：机器人具备稳定的运行性能与长效续航能力，单次充电可满足长时间连续作业需求，减少能源消耗与设备运维成本。相较于人工服务，机器人无需休息、周期性培训等额外支出，长期应用可显著压缩图书馆运营成本。</w:t>
            </w:r>
          </w:p>
          <w:p>
            <w:pPr>
              <w:spacing w:line="320" w:lineRule="exact"/>
              <w:ind w:firstLine="480" w:firstLineChars="200"/>
              <w:rPr>
                <w:rFonts w:ascii="仿宋_GB2312" w:hAnsi="Times New Roman" w:eastAsia="仿宋_GB2312" w:cs="方正仿宋简体"/>
                <w:color w:val="000000"/>
                <w:sz w:val="24"/>
                <w:szCs w:val="20"/>
              </w:rPr>
            </w:pPr>
          </w:p>
          <w:p>
            <w:pPr>
              <w:spacing w:line="320" w:lineRule="exact"/>
              <w:rPr>
                <w:rFonts w:ascii="仿宋_GB2312" w:hAnsi="Times New Roman" w:eastAsia="仿宋_GB2312" w:cs="方正仿宋简体"/>
                <w:b/>
                <w:bCs/>
                <w:color w:val="000000"/>
                <w:sz w:val="24"/>
                <w:szCs w:val="20"/>
              </w:rPr>
            </w:pPr>
            <w:r>
              <w:rPr>
                <w:rFonts w:hint="eastAsia" w:ascii="仿宋_GB2312" w:hAnsi="Times New Roman" w:eastAsia="仿宋_GB2312" w:cs="方正仿宋简体"/>
                <w:b/>
                <w:bCs/>
                <w:color w:val="000000"/>
                <w:sz w:val="24"/>
                <w:szCs w:val="20"/>
              </w:rPr>
              <w:t>二、预期社会效益</w:t>
            </w:r>
          </w:p>
          <w:p>
            <w:pPr>
              <w:spacing w:line="320" w:lineRule="exact"/>
              <w:ind w:firstLine="480" w:firstLineChars="200"/>
              <w:rPr>
                <w:rFonts w:ascii="仿宋_GB2312" w:hAnsi="Times New Roman" w:eastAsia="仿宋_GB2312" w:cs="方正仿宋简体"/>
                <w:color w:val="000000"/>
                <w:sz w:val="24"/>
                <w:szCs w:val="20"/>
              </w:rPr>
            </w:pPr>
            <w:r>
              <w:rPr>
                <w:rFonts w:hint="eastAsia" w:ascii="仿宋_GB2312" w:hAnsi="Times New Roman" w:eastAsia="仿宋_GB2312" w:cs="方正仿宋简体"/>
                <w:color w:val="000000"/>
                <w:sz w:val="24"/>
                <w:szCs w:val="20"/>
              </w:rPr>
              <w:t>1.实现服务质量标准化升级：机器人严格遵循预设标准流程提供服务，不受情绪波动、疲劳状态等主观因素影响，保障全体读者获得一致的优质服务体验。同时，机器人可快速响应读者咨询与需求，大幅缩短等待时长，提升读者满意度。例如，针对高频咨询问题，机器人可实现1秒内精准应答，显著提升服务响应效率。</w:t>
            </w:r>
          </w:p>
          <w:p>
            <w:pPr>
              <w:spacing w:line="320" w:lineRule="exact"/>
              <w:ind w:firstLine="480" w:firstLineChars="200"/>
              <w:rPr>
                <w:rFonts w:ascii="仿宋_GB2312" w:hAnsi="Times New Roman" w:eastAsia="仿宋_GB2312" w:cs="方正仿宋简体"/>
                <w:color w:val="000000"/>
                <w:sz w:val="24"/>
                <w:szCs w:val="20"/>
              </w:rPr>
            </w:pPr>
            <w:r>
              <w:rPr>
                <w:rFonts w:hint="eastAsia" w:ascii="仿宋_GB2312" w:hAnsi="Times New Roman" w:eastAsia="仿宋_GB2312" w:cs="方正仿宋简体"/>
                <w:color w:val="000000"/>
                <w:sz w:val="24"/>
                <w:szCs w:val="20"/>
              </w:rPr>
              <w:t>2.助力全民阅读推广深化：机器人可基于读者年龄、性别等特征开展精准画像，定向推荐适配的图书资源与文化活动，激发读者阅读兴趣，拓展阅读群体覆盖面。通过拟人化讲解、互动引导参与集体活动等生动形式，增强阅读的趣味性与吸引力，营造浓厚阅读氛围，为</w:t>
            </w:r>
            <w:r>
              <w:rPr>
                <w:rFonts w:hint="eastAsia" w:ascii="仿宋_GB2312" w:hAnsi="Times New Roman" w:eastAsia="仿宋_GB2312" w:cs="方正仿宋简体"/>
                <w:color w:val="000000"/>
                <w:sz w:val="24"/>
                <w:szCs w:val="20"/>
                <w:lang w:val="en-US" w:eastAsia="zh-CN"/>
              </w:rPr>
              <w:t>推广</w:t>
            </w:r>
            <w:r>
              <w:rPr>
                <w:rFonts w:hint="eastAsia" w:ascii="仿宋_GB2312" w:hAnsi="Times New Roman" w:eastAsia="仿宋_GB2312" w:cs="方正仿宋简体"/>
                <w:color w:val="000000"/>
                <w:sz w:val="24"/>
                <w:szCs w:val="20"/>
              </w:rPr>
              <w:t>全民阅读提供有力支撑。</w:t>
            </w:r>
          </w:p>
          <w:p>
            <w:pPr>
              <w:spacing w:line="320" w:lineRule="exact"/>
              <w:ind w:firstLine="480" w:firstLineChars="200"/>
              <w:rPr>
                <w:rFonts w:ascii="仿宋_GB2312" w:hAnsi="Times New Roman" w:eastAsia="仿宋_GB2312" w:cs="方正仿宋简体"/>
                <w:color w:val="000000"/>
                <w:sz w:val="24"/>
                <w:szCs w:val="20"/>
              </w:rPr>
            </w:pPr>
            <w:r>
              <w:rPr>
                <w:rFonts w:hint="eastAsia" w:ascii="仿宋_GB2312" w:hAnsi="Times New Roman" w:eastAsia="仿宋_GB2312" w:cs="方正仿宋简体"/>
                <w:color w:val="000000"/>
                <w:sz w:val="24"/>
                <w:szCs w:val="20"/>
              </w:rPr>
              <w:t>3.塑造城市文化与科技融合形象：图书馆作为城市文化核心载体，引入智能机器人服务体系，直观展现城市对科技创新与文化建设的双重重视。这不仅有助于提升城市文化软实力与科技品牌形象，还能增强城市人才吸引力与投资竞争力，为城市可持续发展注入动力。</w:t>
            </w:r>
          </w:p>
        </w:tc>
      </w:tr>
    </w:tbl>
    <w:p>
      <w:pPr>
        <w:rPr>
          <w:rFonts w:ascii="Times New Roman" w:hAnsi="Times New Roman" w:eastAsia="仿宋_GB2312"/>
          <w:sz w:val="32"/>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简体">
    <w:altName w:val="方正仿宋_GBK"/>
    <w:panose1 w:val="02000000000000000000"/>
    <w:charset w:val="86"/>
    <w:family w:val="roman"/>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OTczNzI0ZWJiZjRjNDQ5ZjMxYzE5NzFmNzE4MjMifQ=="/>
  </w:docVars>
  <w:rsids>
    <w:rsidRoot w:val="006C343B"/>
    <w:rsid w:val="000A3374"/>
    <w:rsid w:val="000A3922"/>
    <w:rsid w:val="000A4A4B"/>
    <w:rsid w:val="000F4C66"/>
    <w:rsid w:val="001242F7"/>
    <w:rsid w:val="00185040"/>
    <w:rsid w:val="001E5EAA"/>
    <w:rsid w:val="00205DBC"/>
    <w:rsid w:val="00222ADC"/>
    <w:rsid w:val="002265FE"/>
    <w:rsid w:val="00292980"/>
    <w:rsid w:val="002F78B7"/>
    <w:rsid w:val="00311965"/>
    <w:rsid w:val="00372057"/>
    <w:rsid w:val="004063FD"/>
    <w:rsid w:val="00452DDD"/>
    <w:rsid w:val="00457E50"/>
    <w:rsid w:val="004814C2"/>
    <w:rsid w:val="004C7EB3"/>
    <w:rsid w:val="004E0182"/>
    <w:rsid w:val="004E0553"/>
    <w:rsid w:val="00512D71"/>
    <w:rsid w:val="005153B7"/>
    <w:rsid w:val="00552DA0"/>
    <w:rsid w:val="0056248C"/>
    <w:rsid w:val="005A32C2"/>
    <w:rsid w:val="005A38BE"/>
    <w:rsid w:val="005B7FBF"/>
    <w:rsid w:val="005F1C89"/>
    <w:rsid w:val="005F7413"/>
    <w:rsid w:val="006349B4"/>
    <w:rsid w:val="00665FDC"/>
    <w:rsid w:val="00684032"/>
    <w:rsid w:val="006C343B"/>
    <w:rsid w:val="006D112F"/>
    <w:rsid w:val="00751207"/>
    <w:rsid w:val="007807BE"/>
    <w:rsid w:val="007830CB"/>
    <w:rsid w:val="007B6657"/>
    <w:rsid w:val="007D3ADA"/>
    <w:rsid w:val="0087419C"/>
    <w:rsid w:val="00893BD5"/>
    <w:rsid w:val="008B7AAB"/>
    <w:rsid w:val="008D6FE9"/>
    <w:rsid w:val="00936F90"/>
    <w:rsid w:val="009A4411"/>
    <w:rsid w:val="009E7641"/>
    <w:rsid w:val="00A00B41"/>
    <w:rsid w:val="00A07B12"/>
    <w:rsid w:val="00A321DC"/>
    <w:rsid w:val="00A413AF"/>
    <w:rsid w:val="00A464B4"/>
    <w:rsid w:val="00A47114"/>
    <w:rsid w:val="00A95634"/>
    <w:rsid w:val="00AD5859"/>
    <w:rsid w:val="00B1112F"/>
    <w:rsid w:val="00B17A10"/>
    <w:rsid w:val="00B40814"/>
    <w:rsid w:val="00B76C08"/>
    <w:rsid w:val="00C15A05"/>
    <w:rsid w:val="00C418C9"/>
    <w:rsid w:val="00C53D1F"/>
    <w:rsid w:val="00C950F2"/>
    <w:rsid w:val="00CA1A59"/>
    <w:rsid w:val="00CA333D"/>
    <w:rsid w:val="00CB269D"/>
    <w:rsid w:val="00D15730"/>
    <w:rsid w:val="00D57E8E"/>
    <w:rsid w:val="00D85099"/>
    <w:rsid w:val="00DF63D5"/>
    <w:rsid w:val="00E33726"/>
    <w:rsid w:val="00E75083"/>
    <w:rsid w:val="00F57A7F"/>
    <w:rsid w:val="00F601B2"/>
    <w:rsid w:val="00F934E7"/>
    <w:rsid w:val="00FE290B"/>
    <w:rsid w:val="01044658"/>
    <w:rsid w:val="01213882"/>
    <w:rsid w:val="01F0403A"/>
    <w:rsid w:val="053E2C54"/>
    <w:rsid w:val="060B3331"/>
    <w:rsid w:val="062358D7"/>
    <w:rsid w:val="06C8202F"/>
    <w:rsid w:val="06CD24E2"/>
    <w:rsid w:val="07D1069B"/>
    <w:rsid w:val="09114E82"/>
    <w:rsid w:val="094B5F2D"/>
    <w:rsid w:val="0AB3379D"/>
    <w:rsid w:val="0B2F5AA5"/>
    <w:rsid w:val="0E456E02"/>
    <w:rsid w:val="0E4B63E2"/>
    <w:rsid w:val="0F262393"/>
    <w:rsid w:val="0F5C08A7"/>
    <w:rsid w:val="0FB5770C"/>
    <w:rsid w:val="10B71042"/>
    <w:rsid w:val="10BB784F"/>
    <w:rsid w:val="1170339A"/>
    <w:rsid w:val="11B86BF5"/>
    <w:rsid w:val="1385140F"/>
    <w:rsid w:val="14237BE5"/>
    <w:rsid w:val="148A40A9"/>
    <w:rsid w:val="16804B09"/>
    <w:rsid w:val="17D23921"/>
    <w:rsid w:val="18550589"/>
    <w:rsid w:val="19921729"/>
    <w:rsid w:val="19B47531"/>
    <w:rsid w:val="19B94B48"/>
    <w:rsid w:val="1A5F2FF9"/>
    <w:rsid w:val="1BC636F8"/>
    <w:rsid w:val="1D0B3DEB"/>
    <w:rsid w:val="1D2B3983"/>
    <w:rsid w:val="1DD06378"/>
    <w:rsid w:val="1E8C2D66"/>
    <w:rsid w:val="203762CC"/>
    <w:rsid w:val="20450DFD"/>
    <w:rsid w:val="221F5789"/>
    <w:rsid w:val="22B1228B"/>
    <w:rsid w:val="22D72FBF"/>
    <w:rsid w:val="23FE3106"/>
    <w:rsid w:val="244C7AA6"/>
    <w:rsid w:val="24744824"/>
    <w:rsid w:val="24E231A5"/>
    <w:rsid w:val="296576F6"/>
    <w:rsid w:val="2AC05D36"/>
    <w:rsid w:val="2AF94848"/>
    <w:rsid w:val="2B1E0CAF"/>
    <w:rsid w:val="2B4C6EE5"/>
    <w:rsid w:val="2CC76418"/>
    <w:rsid w:val="2DF55322"/>
    <w:rsid w:val="2E117847"/>
    <w:rsid w:val="2F2F5238"/>
    <w:rsid w:val="2F7A6525"/>
    <w:rsid w:val="2F866E22"/>
    <w:rsid w:val="30C23E8A"/>
    <w:rsid w:val="319C292D"/>
    <w:rsid w:val="31F528CF"/>
    <w:rsid w:val="32522FA4"/>
    <w:rsid w:val="345319C9"/>
    <w:rsid w:val="353E4427"/>
    <w:rsid w:val="36BB5604"/>
    <w:rsid w:val="37701A0E"/>
    <w:rsid w:val="37A54704"/>
    <w:rsid w:val="382673F4"/>
    <w:rsid w:val="394E0C8C"/>
    <w:rsid w:val="3ACA050B"/>
    <w:rsid w:val="3B5F6BA9"/>
    <w:rsid w:val="3C0417FB"/>
    <w:rsid w:val="3C3F2833"/>
    <w:rsid w:val="3CB71EB6"/>
    <w:rsid w:val="3D430101"/>
    <w:rsid w:val="3EBD1FB9"/>
    <w:rsid w:val="40877C83"/>
    <w:rsid w:val="40A610D2"/>
    <w:rsid w:val="40F26E1D"/>
    <w:rsid w:val="41643AD4"/>
    <w:rsid w:val="43037114"/>
    <w:rsid w:val="466B2948"/>
    <w:rsid w:val="47A85730"/>
    <w:rsid w:val="48A16EE7"/>
    <w:rsid w:val="4901159C"/>
    <w:rsid w:val="4A0B09E6"/>
    <w:rsid w:val="4A326562"/>
    <w:rsid w:val="4B8A7F53"/>
    <w:rsid w:val="4BE909E0"/>
    <w:rsid w:val="4D2D3EA1"/>
    <w:rsid w:val="4DDFF696"/>
    <w:rsid w:val="4F151527"/>
    <w:rsid w:val="4FC931CE"/>
    <w:rsid w:val="52CD2703"/>
    <w:rsid w:val="54497463"/>
    <w:rsid w:val="54F75F06"/>
    <w:rsid w:val="55160F28"/>
    <w:rsid w:val="5521022E"/>
    <w:rsid w:val="55F12998"/>
    <w:rsid w:val="56CE397C"/>
    <w:rsid w:val="573C5F32"/>
    <w:rsid w:val="574216FD"/>
    <w:rsid w:val="57805D55"/>
    <w:rsid w:val="592E25D7"/>
    <w:rsid w:val="593E4146"/>
    <w:rsid w:val="5A1804F3"/>
    <w:rsid w:val="5A8470E3"/>
    <w:rsid w:val="5AAB580B"/>
    <w:rsid w:val="5AB956CA"/>
    <w:rsid w:val="5BD57200"/>
    <w:rsid w:val="5BE663CF"/>
    <w:rsid w:val="5BFA5BAB"/>
    <w:rsid w:val="5C4C447D"/>
    <w:rsid w:val="5DC974FF"/>
    <w:rsid w:val="5E776CE7"/>
    <w:rsid w:val="5E8F5DB5"/>
    <w:rsid w:val="5E9F5041"/>
    <w:rsid w:val="5F0B4ACB"/>
    <w:rsid w:val="5FA32F55"/>
    <w:rsid w:val="61BF7DEE"/>
    <w:rsid w:val="61C5536E"/>
    <w:rsid w:val="61E026E2"/>
    <w:rsid w:val="622D6B06"/>
    <w:rsid w:val="63260125"/>
    <w:rsid w:val="64D66C4D"/>
    <w:rsid w:val="650E3A02"/>
    <w:rsid w:val="65501489"/>
    <w:rsid w:val="665723A3"/>
    <w:rsid w:val="67495B4D"/>
    <w:rsid w:val="67502E6E"/>
    <w:rsid w:val="68442DFB"/>
    <w:rsid w:val="699B2EEF"/>
    <w:rsid w:val="6A205136"/>
    <w:rsid w:val="6BB1439B"/>
    <w:rsid w:val="6BCA186A"/>
    <w:rsid w:val="6CA65E33"/>
    <w:rsid w:val="6CFD2982"/>
    <w:rsid w:val="6D180706"/>
    <w:rsid w:val="6E083852"/>
    <w:rsid w:val="6E8A4677"/>
    <w:rsid w:val="6E9550A7"/>
    <w:rsid w:val="70662484"/>
    <w:rsid w:val="70767CA5"/>
    <w:rsid w:val="718416CD"/>
    <w:rsid w:val="7229553C"/>
    <w:rsid w:val="72944988"/>
    <w:rsid w:val="731A30D6"/>
    <w:rsid w:val="73293D7A"/>
    <w:rsid w:val="73A52518"/>
    <w:rsid w:val="73CE4A02"/>
    <w:rsid w:val="769534B1"/>
    <w:rsid w:val="76BE1FCB"/>
    <w:rsid w:val="77CC1E26"/>
    <w:rsid w:val="78C23164"/>
    <w:rsid w:val="79095361"/>
    <w:rsid w:val="7B39F76B"/>
    <w:rsid w:val="7B880E1A"/>
    <w:rsid w:val="7BA7127F"/>
    <w:rsid w:val="7C1A4147"/>
    <w:rsid w:val="7CA0289E"/>
    <w:rsid w:val="7D172435"/>
    <w:rsid w:val="7D4A4D4E"/>
    <w:rsid w:val="7F546320"/>
    <w:rsid w:val="7F7C2D89"/>
    <w:rsid w:val="7FEE3921"/>
    <w:rsid w:val="7FFC4290"/>
    <w:rsid w:val="9EDB286F"/>
    <w:rsid w:val="BBDF3A71"/>
    <w:rsid w:val="BBFF5265"/>
    <w:rsid w:val="FDDEB4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0" w:semiHidden="0"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semiHidden/>
    <w:unhideWhenUsed/>
    <w:qFormat/>
    <w:uiPriority w:val="99"/>
    <w:pPr>
      <w:spacing w:after="120"/>
    </w:pPr>
  </w:style>
  <w:style w:type="paragraph" w:styleId="3">
    <w:name w:val="Body Text Indent 2"/>
    <w:basedOn w:val="1"/>
    <w:link w:val="17"/>
    <w:unhideWhenUsed/>
    <w:qFormat/>
    <w:uiPriority w:val="99"/>
    <w:pPr>
      <w:spacing w:after="120" w:line="480" w:lineRule="auto"/>
      <w:ind w:left="420" w:leftChars="200"/>
    </w:pPr>
  </w:style>
  <w:style w:type="paragraph" w:styleId="4">
    <w:name w:val="Balloon Text"/>
    <w:basedOn w:val="1"/>
    <w:link w:val="18"/>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index 9"/>
    <w:basedOn w:val="1"/>
    <w:next w:val="1"/>
    <w:qFormat/>
    <w:uiPriority w:val="0"/>
    <w:pPr>
      <w:ind w:left="1600" w:leftChars="1600"/>
    </w:pPr>
  </w:style>
  <w:style w:type="table" w:styleId="9">
    <w:name w:val="Table Grid"/>
    <w:basedOn w:val="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99"/>
    <w:rPr>
      <w:b/>
    </w:rPr>
  </w:style>
  <w:style w:type="character" w:styleId="12">
    <w:name w:val="Hyperlink"/>
    <w:basedOn w:val="10"/>
    <w:unhideWhenUsed/>
    <w:qFormat/>
    <w:uiPriority w:val="99"/>
    <w:rPr>
      <w:color w:val="0000FF" w:themeColor="hyperlink"/>
      <w:u w:val="single"/>
      <w14:textFill>
        <w14:solidFill>
          <w14:schemeClr w14:val="hlink"/>
        </w14:solidFill>
      </w14:textFill>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paragraph" w:customStyle="1" w:styleId="15">
    <w:name w:val="样式1"/>
    <w:basedOn w:val="2"/>
    <w:qFormat/>
    <w:uiPriority w:val="0"/>
    <w:pPr>
      <w:widowControl/>
      <w:spacing w:after="0"/>
      <w:ind w:firstLine="640" w:firstLineChars="200"/>
    </w:pPr>
    <w:rPr>
      <w:rFonts w:ascii="仿宋_GB2312" w:hAnsi="仿宋_GB2312" w:eastAsia="仿宋_GB2312" w:cs="Times New Roman"/>
      <w:kern w:val="0"/>
      <w:sz w:val="32"/>
      <w:szCs w:val="24"/>
    </w:rPr>
  </w:style>
  <w:style w:type="character" w:customStyle="1" w:styleId="16">
    <w:name w:val="正文文本 字符"/>
    <w:basedOn w:val="10"/>
    <w:link w:val="2"/>
    <w:semiHidden/>
    <w:qFormat/>
    <w:uiPriority w:val="99"/>
  </w:style>
  <w:style w:type="character" w:customStyle="1" w:styleId="17">
    <w:name w:val="正文文本缩进 2 字符"/>
    <w:basedOn w:val="10"/>
    <w:link w:val="3"/>
    <w:qFormat/>
    <w:uiPriority w:val="99"/>
  </w:style>
  <w:style w:type="character" w:customStyle="1" w:styleId="18">
    <w:name w:val="批注框文本 字符"/>
    <w:basedOn w:val="10"/>
    <w:link w:val="4"/>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5908</Words>
  <Characters>6241</Characters>
  <Lines>42</Lines>
  <Paragraphs>11</Paragraphs>
  <TotalTime>0</TotalTime>
  <ScaleCrop>false</ScaleCrop>
  <LinksUpToDate>false</LinksUpToDate>
  <CharactersWithSpaces>6273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2025-12-18T16:18:00Z</dcterms:created>
  <dc:creator>张平</dc:creator>
  <cp:lastModifiedBy>区工业和信息化局帐户</cp:lastModifiedBy>
  <cp:lastPrinted>2025-12-18T16:08:00Z</cp:lastPrinted>
  <dcterms:modified xsi:type="dcterms:W3CDTF">2026-03-06T18:39:19Z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5D1365B6C6C647B7A0639282787ADA43_13</vt:lpwstr>
  </property>
  <property fmtid="{D5CDD505-2E9C-101B-9397-08002B2CF9AE}" pid="4" name="KSOTemplateDocerSaveRecord">
    <vt:lpwstr>eyJoZGlkIjoiYjEyNWU3MmEwMmRkNGRkNWFiMDRjN2EwZTY5NWNlNTciLCJ1c2VySWQiOiI4NDE2MTg5MTkifQ==</vt:lpwstr>
  </property>
</Properties>
</file>