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sz w:val="32"/>
        </w:rPr>
      </w:pPr>
      <w:r>
        <w:rPr>
          <w:rFonts w:hint="eastAsia" w:ascii="黑体" w:hAnsi="黑体" w:eastAsia="黑体"/>
          <w:sz w:val="32"/>
          <w:lang w:eastAsia="zh-CN"/>
        </w:rPr>
        <w:t>深圳市南山区</w:t>
      </w:r>
      <w:r>
        <w:rPr>
          <w:rFonts w:hint="eastAsia" w:ascii="黑体" w:hAnsi="黑体" w:eastAsia="黑体"/>
          <w:sz w:val="32"/>
        </w:rPr>
        <w:t>机器人应用场景征集表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面向商业服务场景的人形机器人自主咖啡制作、语音交互展示及模型开发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拟在南山区</w:t>
            </w:r>
            <w:r>
              <w:rPr>
                <w:rFonts w:hint="default" w:ascii="Times New Roman" w:hAnsi="Times New Roman" w:eastAsia="仿宋_GB2312" w:cs="Times New Roman"/>
                <w:color w:val="auto"/>
                <w:sz w:val="24"/>
                <w:szCs w:val="24"/>
                <w:lang w:val="en-US" w:eastAsia="zh-CN"/>
              </w:rPr>
              <w:t>李宁中心1楼6楼7楼</w:t>
            </w:r>
            <w:r>
              <w:rPr>
                <w:rFonts w:hint="eastAsia" w:ascii="Times New Roman" w:hAnsi="Times New Roman" w:eastAsia="仿宋_GB2312" w:cs="Times New Roman"/>
                <w:color w:val="auto"/>
                <w:sz w:val="24"/>
                <w:szCs w:val="24"/>
                <w:lang w:val="en-US" w:eastAsia="zh-CN"/>
              </w:rPr>
              <w:t>建立</w:t>
            </w:r>
            <w:r>
              <w:rPr>
                <w:rFonts w:hint="default" w:ascii="Times New Roman" w:hAnsi="Times New Roman" w:eastAsia="仿宋_GB2312" w:cs="Times New Roman"/>
                <w:color w:val="auto"/>
                <w:sz w:val="24"/>
                <w:szCs w:val="24"/>
                <w:lang w:val="en-US" w:eastAsia="zh-CN"/>
              </w:rPr>
              <w:t>机器人应用示范地和体验中心</w:t>
            </w:r>
            <w:r>
              <w:rPr>
                <w:rFonts w:hint="eastAsia" w:ascii="Times New Roman" w:hAnsi="Times New Roman" w:eastAsia="仿宋_GB2312" w:cs="Times New Roman"/>
                <w:color w:val="auto"/>
                <w:sz w:val="24"/>
                <w:szCs w:val="24"/>
                <w:lang w:val="en-US" w:eastAsia="zh-CN"/>
              </w:rPr>
              <w:t>，形成人形机器人、迎宾机器人、配送机器人、清洁机器人、机器狗等多种机器人，集中呈现南山机器人企业技术成果，通过 “机器人智慧大脑” 实现南山区内多家优势企业产品跨品牌协同演示，直观展现南山产业链完整性与技术协同性。</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目前，展厅已具备成熟的传统服务机器人、机器狗、根据设定程序进行展厅讲解的人形机器人；</w:t>
            </w:r>
            <w:r>
              <w:rPr>
                <w:rFonts w:hint="eastAsia" w:ascii="Times New Roman" w:hAnsi="Times New Roman" w:eastAsia="仿宋_GB2312" w:cs="Times New Roman"/>
                <w:b/>
                <w:bCs/>
                <w:color w:val="auto"/>
                <w:sz w:val="24"/>
                <w:szCs w:val="24"/>
                <w:lang w:val="en-US" w:eastAsia="zh-CN"/>
              </w:rPr>
              <w:t>缺乏更加智能、可自主决策、语音交互，为来访客人提供实际服务及情绪价值的人形机器人</w:t>
            </w:r>
            <w:r>
              <w:rPr>
                <w:rFonts w:hint="eastAsia" w:ascii="Times New Roman" w:hAnsi="Times New Roman" w:eastAsia="仿宋_GB2312" w:cs="Times New Roman"/>
                <w:color w:val="auto"/>
                <w:sz w:val="24"/>
                <w:szCs w:val="24"/>
                <w:lang w:val="en-US" w:eastAsia="zh-CN"/>
              </w:rPr>
              <w:t>。</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展厅预计引入以机器人咖啡师为代表性载体，构建完整的商业服务闭环，包括服务感知、主动招揽、制作执行、交付确认与情感反馈等环节。通过持续运行，系统采集机器人在真实人流环境下的语音互动、肢体表达、服务节奏控制及用户响应数据，持续优化模型。</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其高度浓缩的商业服务特征：高频人机接触、明确服务目标、可量化完成结果以及天然的互动入口使其成为采集“温暖人机交互数据”的理想载体，为展厅整体展示性、交互性、南山区产品能力传播度均带来极大优势。</w:t>
            </w:r>
          </w:p>
          <w:p>
            <w:pPr>
              <w:snapToGrid w:val="0"/>
              <w:spacing w:line="320" w:lineRule="exact"/>
              <w:rPr>
                <w:rFonts w:hint="default"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该方案的引入可令不需要雇用专人为客户提供咖啡准备工作，原方案计划设置专职人员进行礼仪接待，与机器人展厅整体展现面不协调，且简单重复劳动易导致人员不稳定。如可替换成为人形机器人自主咖啡制作及语音交互可将整个展厅完全无人化。</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引入人形机器人的必要性：</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1）商业服务场景能够充分释放人形形态与大模型的综合价值：与传统专用服务机器人不同，人形机器人在商业服务中具备独特优势。一方面，其拟人形态天然降低用户心理距离，有利于建立信任与互动意愿；另一方面，结合多模态大模型后，机器人能够理解模糊语言、上下文意图，并进行更自然的回应。</w:t>
            </w:r>
          </w:p>
          <w:p>
            <w:pPr>
              <w:snapToGrid w:val="0"/>
              <w:spacing w:line="320" w:lineRule="exact"/>
              <w:rPr>
                <w:rFonts w:hint="eastAsia" w:ascii="Times New Roman" w:hAnsi="Times New Roman" w:eastAsia="仿宋_GB2312" w:cs="Times New Roman"/>
                <w:color w:val="auto"/>
                <w:sz w:val="24"/>
                <w:szCs w:val="24"/>
                <w:lang w:val="en-US" w:eastAsia="zh-CN"/>
              </w:rPr>
            </w:pPr>
            <w:r>
              <w:rPr>
                <w:rFonts w:hint="eastAsia" w:ascii="Times New Roman" w:hAnsi="Times New Roman" w:eastAsia="仿宋_GB2312" w:cs="Times New Roman"/>
                <w:color w:val="auto"/>
                <w:sz w:val="24"/>
                <w:szCs w:val="24"/>
                <w:lang w:val="en-US" w:eastAsia="zh-CN"/>
              </w:rPr>
              <w:t>商业服务场景允许机器人在真实交互中不断积累语言、行为与反馈数据，这些数据是纯工业环境中无法获得的关键资产。通过持续采集与训练，可逐步构建面向服务行业的垂直能力模型，替代部分依赖经验与专业知识的服务岗位。</w:t>
            </w:r>
          </w:p>
          <w:p>
            <w:pPr>
              <w:snapToGrid w:val="0"/>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auto"/>
                <w:sz w:val="24"/>
                <w:szCs w:val="24"/>
                <w:lang w:val="en-US" w:eastAsia="zh-CN"/>
              </w:rPr>
              <w:t>2）商业服务场景具有展示度高、风险可控的特征，适合作为规模化应用起点：商业服务场景直接面向公众，展示效果显著，易于形成示范效应和社会认知。同时，相较于医疗、家庭陪护等场景，其物理风险与伦理风险相对可控，容错空间更大，适合在早期阶段开展规模化试点。更重要的是，商业服务场景具备“训练即服务”的特征：机器人在提供实际服务、产生经济收益的同时，同步完成数据采集与能力优化，实现技术进化与商业运营的协同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为了解决该场景的痛点及未来持续的演示需求，需要2台人型机器人及模型训练服务、场地搭建服务。</w:t>
            </w:r>
          </w:p>
          <w:p>
            <w:pPr>
              <w:spacing w:line="320" w:lineRule="exact"/>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需要人型机器人达到的效果及参数为：</w:t>
            </w:r>
          </w:p>
          <w:tbl>
            <w:tblPr>
              <w:tblStyle w:val="6"/>
              <w:tblW w:w="6173" w:type="dxa"/>
              <w:tblInd w:w="-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677"/>
              <w:gridCol w:w="24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677" w:type="dxa"/>
                  <w:tcBorders>
                    <w:top w:val="single" w:color="DEE0E3" w:sz="8" w:space="0"/>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要求描述</w:t>
                  </w:r>
                </w:p>
              </w:tc>
              <w:tc>
                <w:tcPr>
                  <w:tcW w:w="2496" w:type="dxa"/>
                  <w:tcBorders>
                    <w:top w:val="single" w:color="DEE0E3" w:sz="8" w:space="0"/>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可支持2种咖啡机全流程咖啡制作：</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适用知名胶囊咖啡机及磨豆式咖啡机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支持2种语言及点单页面进行下单</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可支持中文及英文自助语音下单及语音对话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打通客户自助支付-下单功能</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集成扫码支付功能，支持主流支付平台，支付成功率&gt;99.9%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保证每天</w:t>
                  </w:r>
                  <w:r>
                    <w:rPr>
                      <w:rStyle w:val="15"/>
                      <w:rFonts w:hint="eastAsia" w:ascii="仿宋" w:hAnsi="仿宋" w:eastAsia="仿宋" w:cs="仿宋"/>
                      <w:sz w:val="24"/>
                      <w:szCs w:val="24"/>
                      <w:lang w:val="en-US" w:eastAsia="zh-CN" w:bidi="ar"/>
                    </w:rPr>
                    <w:t>12</w:t>
                  </w:r>
                  <w:r>
                    <w:rPr>
                      <w:rStyle w:val="16"/>
                      <w:rFonts w:hint="eastAsia" w:ascii="仿宋" w:hAnsi="仿宋" w:eastAsia="仿宋" w:cs="仿宋"/>
                      <w:sz w:val="24"/>
                      <w:szCs w:val="24"/>
                      <w:lang w:val="en-US" w:eastAsia="zh-CN" w:bidi="ar"/>
                    </w:rPr>
                    <w:t>小时、连续</w:t>
                  </w:r>
                  <w:r>
                    <w:rPr>
                      <w:rStyle w:val="15"/>
                      <w:rFonts w:hint="eastAsia" w:ascii="仿宋" w:hAnsi="仿宋" w:eastAsia="仿宋" w:cs="仿宋"/>
                      <w:sz w:val="24"/>
                      <w:szCs w:val="24"/>
                      <w:lang w:val="en-US" w:eastAsia="zh-CN" w:bidi="ar"/>
                    </w:rPr>
                    <w:t>7</w:t>
                  </w:r>
                  <w:r>
                    <w:rPr>
                      <w:rStyle w:val="16"/>
                      <w:rFonts w:hint="eastAsia" w:ascii="仿宋" w:hAnsi="仿宋" w:eastAsia="仿宋" w:cs="仿宋"/>
                      <w:sz w:val="24"/>
                      <w:szCs w:val="24"/>
                      <w:lang w:val="en-US" w:eastAsia="zh-CN" w:bidi="ar"/>
                    </w:rPr>
                    <w:t>天工作只允许一个影响营业持续进行的故障出现，即</w:t>
                  </w:r>
                  <w:r>
                    <w:rPr>
                      <w:rStyle w:val="15"/>
                      <w:rFonts w:hint="eastAsia" w:ascii="仿宋" w:hAnsi="仿宋" w:eastAsia="仿宋" w:cs="仿宋"/>
                      <w:sz w:val="24"/>
                      <w:szCs w:val="24"/>
                      <w:lang w:val="en-US" w:eastAsia="zh-CN" w:bidi="ar"/>
                    </w:rPr>
                    <w:t>MTBF ≥ 84</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84</w:t>
                  </w:r>
                  <w:r>
                    <w:rPr>
                      <w:rStyle w:val="16"/>
                      <w:rFonts w:hint="eastAsia" w:ascii="仿宋" w:hAnsi="仿宋" w:eastAsia="仿宋" w:cs="仿宋"/>
                      <w:sz w:val="24"/>
                      <w:szCs w:val="24"/>
                      <w:lang w:val="en-US" w:eastAsia="zh-CN" w:bidi="ar"/>
                    </w:rPr>
                    <w:t>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3677"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单次咖啡饮品制作的成功率</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&gt; 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从唤醒词结束到语音反馈开始的时间</w:t>
                  </w:r>
                </w:p>
              </w:tc>
              <w:tc>
                <w:tcPr>
                  <w:tcW w:w="2496"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 1.5</w:t>
                  </w:r>
                  <w:r>
                    <w:rPr>
                      <w:rStyle w:val="16"/>
                      <w:rFonts w:hint="eastAsia" w:ascii="仿宋" w:hAnsi="仿宋" w:eastAsia="仿宋" w:cs="仿宋"/>
                      <w:sz w:val="24"/>
                      <w:szCs w:val="24"/>
                      <w:lang w:val="en-US" w:eastAsia="zh-CN" w:bidi="ar"/>
                    </w:rPr>
                    <w:t>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从唤醒词结束到语音反馈开始的时间</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 0.5</w:t>
                  </w:r>
                  <w:r>
                    <w:rPr>
                      <w:rStyle w:val="16"/>
                      <w:rFonts w:hint="eastAsia" w:ascii="仿宋" w:hAnsi="仿宋" w:eastAsia="仿宋" w:cs="仿宋"/>
                      <w:sz w:val="24"/>
                      <w:szCs w:val="24"/>
                      <w:lang w:val="en-US" w:eastAsia="zh-CN" w:bidi="ar"/>
                    </w:rPr>
                    <w:t>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从开始制作到完成交付的时间</w:t>
                  </w:r>
                </w:p>
              </w:tc>
              <w:tc>
                <w:tcPr>
                  <w:tcW w:w="2496"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60~120</w:t>
                  </w:r>
                  <w:r>
                    <w:rPr>
                      <w:rStyle w:val="16"/>
                      <w:rFonts w:hint="eastAsia" w:ascii="仿宋" w:hAnsi="仿宋" w:eastAsia="仿宋" w:cs="仿宋"/>
                      <w:sz w:val="24"/>
                      <w:szCs w:val="24"/>
                      <w:lang w:val="en-US" w:eastAsia="zh-CN" w:bidi="ar"/>
                    </w:rPr>
                    <w:t>秒</w:t>
                  </w:r>
                  <w:r>
                    <w:rPr>
                      <w:rStyle w:val="15"/>
                      <w:rFonts w:hint="eastAsia" w:ascii="仿宋" w:hAnsi="仿宋" w:eastAsia="仿宋" w:cs="仿宋"/>
                      <w:sz w:val="24"/>
                      <w:szCs w:val="24"/>
                      <w:lang w:val="en-US" w:eastAsia="zh-CN" w:bidi="ar"/>
                    </w:rPr>
                    <w:t>/</w:t>
                  </w:r>
                  <w:r>
                    <w:rPr>
                      <w:rStyle w:val="16"/>
                      <w:rFonts w:hint="eastAsia" w:ascii="仿宋" w:hAnsi="仿宋" w:eastAsia="仿宋" w:cs="仿宋"/>
                      <w:sz w:val="24"/>
                      <w:szCs w:val="24"/>
                      <w:lang w:val="en-US" w:eastAsia="zh-CN" w:bidi="ar"/>
                    </w:rPr>
                    <w:t>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3"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机器人在工作区域内移动和重定位的精度。</w:t>
                  </w:r>
                </w:p>
              </w:tc>
              <w:tc>
                <w:tcPr>
                  <w:tcW w:w="2496"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单机重复定位精度</w:t>
                  </w:r>
                  <w:r>
                    <w:rPr>
                      <w:rStyle w:val="15"/>
                      <w:rFonts w:hint="eastAsia" w:ascii="仿宋" w:hAnsi="仿宋" w:eastAsia="仿宋" w:cs="仿宋"/>
                      <w:sz w:val="24"/>
                      <w:szCs w:val="24"/>
                      <w:lang w:val="en-US" w:eastAsia="zh-CN" w:bidi="ar"/>
                    </w:rPr>
                    <w:t>±10mm</w:t>
                  </w:r>
                  <w:r>
                    <w:rPr>
                      <w:rStyle w:val="16"/>
                      <w:rFonts w:hint="eastAsia" w:ascii="仿宋" w:hAnsi="仿宋" w:eastAsia="仿宋" w:cs="仿宋"/>
                      <w:sz w:val="24"/>
                      <w:szCs w:val="24"/>
                      <w:lang w:val="en-US" w:eastAsia="zh-CN" w:bidi="ar"/>
                    </w:rPr>
                    <w:t>，</w:t>
                  </w:r>
                  <w:r>
                    <w:rPr>
                      <w:rStyle w:val="15"/>
                      <w:rFonts w:hint="eastAsia" w:ascii="仿宋" w:hAnsi="仿宋" w:eastAsia="仿宋" w:cs="仿宋"/>
                      <w:sz w:val="24"/>
                      <w:szCs w:val="24"/>
                      <w:lang w:val="en-US" w:eastAsia="zh-CN" w:bidi="ar"/>
                    </w:rPr>
                    <w:t>3°</w:t>
                  </w:r>
                  <w:r>
                    <w:rPr>
                      <w:rStyle w:val="16"/>
                      <w:rFonts w:hint="eastAsia" w:ascii="仿宋" w:hAnsi="仿宋" w:eastAsia="仿宋" w:cs="仿宋"/>
                      <w:sz w:val="24"/>
                      <w:szCs w:val="24"/>
                      <w:lang w:val="en-US" w:eastAsia="zh-CN" w:bidi="ar"/>
                    </w:rPr>
                    <w:t>（待定）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3677"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各种设备的摆放位置允许移动。支持自适配一定范围内的桌面高度。</w:t>
                  </w:r>
                </w:p>
              </w:tc>
              <w:tc>
                <w:tcPr>
                  <w:tcW w:w="2496" w:type="dxa"/>
                  <w:tcBorders>
                    <w:top w:val="nil"/>
                    <w:left w:val="single" w:color="DEE0E3" w:sz="8" w:space="0"/>
                    <w:bottom w:val="nil"/>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sz w:val="24"/>
                      <w:szCs w:val="24"/>
                      <w:u w:val="none"/>
                    </w:rPr>
                  </w:pPr>
                  <w:r>
                    <w:rPr>
                      <w:rStyle w:val="16"/>
                      <w:rFonts w:hint="eastAsia" w:ascii="仿宋" w:hAnsi="仿宋" w:eastAsia="仿宋" w:cs="仿宋"/>
                      <w:sz w:val="24"/>
                      <w:szCs w:val="24"/>
                      <w:lang w:val="en-US" w:eastAsia="zh-CN" w:bidi="ar"/>
                    </w:rPr>
                    <w:t>设备摆放位置及桌面高度在机器人双臂可达范围内均可操作。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5" w:hRule="atLeast"/>
              </w:trPr>
              <w:tc>
                <w:tcPr>
                  <w:tcW w:w="3677"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客人靠近距离咖啡机器人1米以内位置开始进行打招呼的响应时间</w:t>
                  </w:r>
                </w:p>
              </w:tc>
              <w:tc>
                <w:tcPr>
                  <w:tcW w:w="2496" w:type="dxa"/>
                  <w:tcBorders>
                    <w:top w:val="nil"/>
                    <w:left w:val="single" w:color="DEE0E3" w:sz="8" w:space="0"/>
                    <w:bottom w:val="single" w:color="DEE0E3" w:sz="8" w:space="0"/>
                    <w:right w:val="single" w:color="DEE0E3" w:sz="8" w:space="0"/>
                  </w:tcBorders>
                  <w:shd w:val="clear" w:color="auto" w:fill="auto"/>
                  <w:vAlign w:val="top"/>
                </w:tcPr>
                <w:p>
                  <w:pPr>
                    <w:keepNext w:val="0"/>
                    <w:keepLines w:val="0"/>
                    <w:widowControl/>
                    <w:suppressLineNumbers w:val="0"/>
                    <w:jc w:val="left"/>
                    <w:textAlignment w:val="top"/>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&lt; 1.5秒</w:t>
                  </w:r>
                </w:p>
              </w:tc>
            </w:tr>
          </w:tbl>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pPr>
              <w:spacing w:line="320" w:lineRule="exact"/>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仿宋_GB2312" w:hAnsi="Times New Roman" w:eastAsia="仿宋_GB2312" w:cs="方正仿宋简体"/>
                <w:sz w:val="24"/>
                <w:szCs w:val="20"/>
                <w:lang w:val="en-US" w:eastAsia="zh-CN"/>
              </w:rPr>
              <w:t>200</w:t>
            </w:r>
            <w:r>
              <w:rPr>
                <w:rFonts w:hint="eastAsia" w:ascii="仿宋_GB2312" w:hAnsi="Times New Roman" w:eastAsia="仿宋_GB2312" w:cs="方正仿宋简体"/>
                <w:sz w:val="24"/>
                <w:szCs w:val="20"/>
              </w:rPr>
              <w:t>万元</w:t>
            </w:r>
          </w:p>
        </w:tc>
        <w:tc>
          <w:tcPr>
            <w:tcW w:w="23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ind w:left="0" w:leftChars="-103" w:hanging="216" w:hangingChars="90"/>
              <w:rPr>
                <w:rFonts w:hint="default" w:ascii="仿宋_GB2312" w:hAnsi="Times New Roman" w:eastAsia="仿宋_GB2312" w:cs="方正仿宋简体"/>
                <w:color w:val="auto"/>
                <w:sz w:val="24"/>
                <w:szCs w:val="20"/>
                <w:lang w:val="en-US" w:eastAsia="zh-CN"/>
              </w:rPr>
            </w:pPr>
            <w:r>
              <w:rPr>
                <w:rFonts w:hint="default" w:ascii="仿宋_GB2312" w:hAnsi="Times New Roman" w:eastAsia="仿宋_GB2312" w:cs="方正仿宋简体"/>
                <w:color w:val="auto"/>
                <w:sz w:val="24"/>
                <w:szCs w:val="20"/>
                <w:lang w:val="en-US" w:eastAsia="zh-CN"/>
              </w:rPr>
              <w:t>当</w:t>
            </w:r>
            <w:r>
              <w:rPr>
                <w:rFonts w:hint="eastAsia" w:ascii="仿宋_GB2312" w:hAnsi="Times New Roman" w:eastAsia="仿宋_GB2312" w:cs="方正仿宋简体"/>
                <w:color w:val="auto"/>
                <w:sz w:val="24"/>
                <w:szCs w:val="20"/>
                <w:lang w:val="en-US" w:eastAsia="zh-CN"/>
              </w:rPr>
              <w:t>当</w:t>
            </w:r>
            <w:r>
              <w:rPr>
                <w:rFonts w:hint="default" w:ascii="仿宋_GB2312" w:hAnsi="Times New Roman" w:eastAsia="仿宋_GB2312" w:cs="方正仿宋简体"/>
                <w:color w:val="auto"/>
                <w:sz w:val="24"/>
                <w:szCs w:val="20"/>
                <w:lang w:val="en-US" w:eastAsia="zh-CN"/>
              </w:rPr>
              <w:t>前，商业咖啡服务仍以传统人工和部分专用自动化设备为主。人工制作依赖咖啡师经验，存在人力成本高、出品不稳定、服务时间有限等问题；而市面已有“协作臂咖啡机器人工作台”等专用自动化方案，虽能实现基础饮品制作，但交互方式单一、缺乏人形亲和力与情感互动能力，难以满足高端商业场景中对“服务温度”与品牌展示的需求。值得注意的是，已商业化部署的人形机器人多数仍局限于简单迎宾、指引等单向交互任务，在复杂商业服务闭环（如主动招揽、多轮对话、情感反馈、精细化操作协同）方面尚未成熟，整体仍处于示范探索阶段。</w:t>
            </w:r>
          </w:p>
          <w:p>
            <w:pPr>
              <w:spacing w:line="320" w:lineRule="exact"/>
              <w:ind w:left="0" w:leftChars="-103" w:hanging="216" w:hangingChars="90"/>
              <w:rPr>
                <w:rFonts w:hint="default" w:ascii="仿宋_GB2312" w:hAnsi="Times New Roman" w:eastAsia="仿宋_GB2312" w:cs="方正仿宋简体"/>
                <w:color w:val="auto"/>
                <w:sz w:val="24"/>
                <w:szCs w:val="20"/>
                <w:lang w:val="en-US" w:eastAsia="zh-CN"/>
              </w:rPr>
            </w:pPr>
            <w:r>
              <w:rPr>
                <w:rFonts w:hint="eastAsia" w:ascii="仿宋_GB2312" w:hAnsi="Times New Roman" w:eastAsia="仿宋_GB2312" w:cs="方正仿宋简体"/>
                <w:color w:val="auto"/>
                <w:sz w:val="24"/>
                <w:szCs w:val="20"/>
                <w:lang w:val="en-US" w:eastAsia="zh-CN"/>
              </w:rPr>
              <w:t>在少量已在商业服务场景落地的人形机器人产品尚未展现出稳定、可连续运转、真正为场景提供赋能及提质增效的规模化应用。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潜在规模</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default" w:ascii="仿宋_GB2312" w:hAnsi="Times New Roman" w:eastAsia="仿宋_GB2312" w:cs="方正仿宋简体"/>
                <w:color w:val="auto"/>
                <w:sz w:val="24"/>
                <w:szCs w:val="20"/>
                <w:lang w:val="en-US" w:eastAsia="zh-CN"/>
              </w:rPr>
            </w:pPr>
            <w:r>
              <w:rPr>
                <w:rFonts w:hint="default" w:ascii="仿宋_GB2312" w:hAnsi="Times New Roman" w:eastAsia="仿宋_GB2312" w:cs="方正仿宋简体"/>
                <w:color w:val="auto"/>
                <w:sz w:val="24"/>
                <w:szCs w:val="20"/>
                <w:lang w:val="en-US" w:eastAsia="zh-CN"/>
              </w:rPr>
              <w:t>据行业分析，2023年中国商用服务机器人市场规模已突破500亿元，预计2025年将接近800亿元，其中具备强交互能力的人形服务机器人占比逐年提升。仅深圳南山区作为机器人产业集聚区，相关场景年增量需求约在10–15亿元。从全国来看，咖啡服务市场规模超3000亿元，若其中5%逐步由智能化人形服务方案替代，即可形成超150亿元的细分市场。海外市场方面，欧美及亚太地区对高端服务机器人接受度高，全球人形服务机器人市场年均复合增长率预计超过30%，2030年整体规模有望突破千亿美元。</w:t>
            </w:r>
          </w:p>
          <w:p>
            <w:pPr>
              <w:spacing w:line="320" w:lineRule="exact"/>
              <w:rPr>
                <w:rFonts w:hint="default" w:ascii="仿宋_GB2312" w:hAnsi="Times New Roman" w:eastAsia="仿宋_GB2312" w:cs="方正仿宋简体"/>
                <w:color w:val="0000FF"/>
                <w:sz w:val="24"/>
                <w:szCs w:val="20"/>
                <w:lang w:val="en-US" w:eastAsia="zh-CN"/>
              </w:rPr>
            </w:pPr>
            <w:r>
              <w:rPr>
                <w:rFonts w:hint="default" w:ascii="仿宋_GB2312" w:hAnsi="Times New Roman" w:eastAsia="仿宋_GB2312" w:cs="方正仿宋简体"/>
                <w:color w:val="auto"/>
                <w:sz w:val="24"/>
                <w:szCs w:val="20"/>
                <w:lang w:val="en-US" w:eastAsia="zh-CN"/>
              </w:rPr>
              <w:t>以南山示范中心为载体，率先构建“可交互、可服务、可进化”的人形机器人商业服务样板，有望在3–5年内占据国内高端商业场景解决方案10%以上的市场份额，并通过技术输出与生态合作，逐步拓展至海外高价值服务市场，形成可持续的规模化复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eastAsia" w:ascii="仿宋_GB2312" w:hAnsi="Times New Roman" w:eastAsia="仿宋_GB2312" w:cs="方正仿宋简体"/>
                <w:color w:val="auto"/>
                <w:sz w:val="24"/>
                <w:szCs w:val="20"/>
                <w:lang w:val="en-US" w:eastAsia="zh-CN"/>
              </w:rPr>
            </w:pPr>
            <w:r>
              <w:rPr>
                <w:rFonts w:hint="eastAsia" w:ascii="仿宋_GB2312" w:hAnsi="Times New Roman" w:eastAsia="仿宋_GB2312" w:cs="方正仿宋简体"/>
                <w:color w:val="auto"/>
                <w:sz w:val="24"/>
                <w:szCs w:val="20"/>
                <w:lang w:val="en-US" w:eastAsia="zh-CN"/>
              </w:rPr>
              <w:t>目前，</w:t>
            </w:r>
            <w:r>
              <w:rPr>
                <w:rFonts w:hint="default" w:ascii="Times New Roman" w:hAnsi="Times New Roman" w:eastAsia="仿宋_GB2312" w:cs="Times New Roman"/>
                <w:color w:val="auto"/>
                <w:sz w:val="24"/>
                <w:szCs w:val="24"/>
                <w:lang w:val="en-US" w:eastAsia="zh-CN"/>
              </w:rPr>
              <w:t>机器人应用示范地和体验中心</w:t>
            </w:r>
            <w:r>
              <w:rPr>
                <w:rFonts w:hint="eastAsia" w:ascii="仿宋_GB2312" w:hAnsi="Times New Roman" w:eastAsia="仿宋_GB2312" w:cs="方正仿宋简体"/>
                <w:color w:val="auto"/>
                <w:sz w:val="24"/>
                <w:szCs w:val="20"/>
                <w:lang w:val="en-US" w:eastAsia="zh-CN"/>
              </w:rPr>
              <w:t>选址于粤海街道李宁大厦 1 楼、7 楼已完成场地规划，装修进展已完成80%，拟于2026年2月具备设备入场状态，可为项目展示提供足够的空间。2024年，</w:t>
            </w:r>
            <w:bookmarkStart w:id="0" w:name="_GoBack"/>
            <w:bookmarkEnd w:id="0"/>
            <w:r>
              <w:rPr>
                <w:rFonts w:hint="eastAsia" w:ascii="仿宋_GB2312" w:hAnsi="Times New Roman" w:eastAsia="仿宋_GB2312" w:cs="方正仿宋简体"/>
                <w:color w:val="auto"/>
                <w:sz w:val="24"/>
                <w:szCs w:val="20"/>
                <w:lang w:val="en-US" w:eastAsia="zh-CN"/>
              </w:rPr>
              <w:t>集团销售额超10亿，具备充足的研发人员与项目资金。</w:t>
            </w:r>
          </w:p>
          <w:p>
            <w:pPr>
              <w:spacing w:line="320" w:lineRule="exact"/>
              <w:rPr>
                <w:rFonts w:hint="default" w:ascii="仿宋_GB2312" w:hAnsi="Times New Roman" w:eastAsia="仿宋_GB2312" w:cs="方正仿宋简体"/>
                <w:color w:val="auto"/>
                <w:sz w:val="24"/>
                <w:szCs w:val="20"/>
                <w:lang w:val="en-US" w:eastAsia="zh-CN"/>
              </w:rPr>
            </w:pPr>
            <w:r>
              <w:rPr>
                <w:rFonts w:hint="eastAsia" w:ascii="仿宋_GB2312" w:hAnsi="Times New Roman" w:eastAsia="仿宋_GB2312" w:cs="方正仿宋简体"/>
                <w:color w:val="auto"/>
                <w:sz w:val="24"/>
                <w:szCs w:val="20"/>
                <w:lang w:val="en-US" w:eastAsia="zh-CN"/>
              </w:rPr>
              <w:t>目前集团已进行行业深入调研，并于潜在供给方进行初步对接工作。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实施成效</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default" w:ascii="仿宋_GB2312" w:hAnsi="Times New Roman" w:eastAsia="仿宋_GB2312" w:cs="方正仿宋简体"/>
                <w:sz w:val="24"/>
                <w:szCs w:val="20"/>
                <w:lang w:val="en-US" w:eastAsia="zh-CN"/>
              </w:rPr>
            </w:pPr>
            <w:r>
              <w:rPr>
                <w:rFonts w:hint="eastAsia" w:ascii="仿宋_GB2312" w:hAnsi="Times New Roman" w:eastAsia="仿宋_GB2312" w:cs="方正仿宋简体"/>
                <w:sz w:val="24"/>
                <w:szCs w:val="20"/>
                <w:lang w:eastAsia="zh-CN"/>
              </w:rPr>
              <w:t>拟在南山区李宁中心1楼6楼7楼建立机器人应用示范地和体验中心建成后年均接待访客约 10 万人次，涵盖企业客商、投资机构、政务单位等。预计可带动南山机器人产业链产值突破数十亿元，直接或间接创造 500 余个就业岗位（含技术运维、场景设计、科普服务等）；同时作为南山产业 “直观名片”，可显著提升招商引资吸引力，助力引进机器人领域优质项目、高端人才，强化南山在全球机器人产业中的话语权。</w:t>
            </w:r>
          </w:p>
        </w:tc>
      </w:tr>
    </w:tbl>
    <w:p>
      <w:pPr>
        <w:rPr>
          <w:rFonts w:hint="eastAsia"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OTczNzI0ZWJiZjRjNDQ5ZjMxYzE5NzFmNzE4MjMifQ=="/>
  </w:docVars>
  <w:rsids>
    <w:rsidRoot w:val="006C343B"/>
    <w:rsid w:val="000A3374"/>
    <w:rsid w:val="000A3922"/>
    <w:rsid w:val="000A4A4B"/>
    <w:rsid w:val="000F4C66"/>
    <w:rsid w:val="001242F7"/>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512D71"/>
    <w:rsid w:val="005153B7"/>
    <w:rsid w:val="00552DA0"/>
    <w:rsid w:val="0056248C"/>
    <w:rsid w:val="005A32C2"/>
    <w:rsid w:val="005A38BE"/>
    <w:rsid w:val="005B7FBF"/>
    <w:rsid w:val="005F1C89"/>
    <w:rsid w:val="005F7413"/>
    <w:rsid w:val="00665FDC"/>
    <w:rsid w:val="00684032"/>
    <w:rsid w:val="006C343B"/>
    <w:rsid w:val="006D112F"/>
    <w:rsid w:val="00751207"/>
    <w:rsid w:val="007807BE"/>
    <w:rsid w:val="007830CB"/>
    <w:rsid w:val="007B6657"/>
    <w:rsid w:val="007D3ADA"/>
    <w:rsid w:val="00893BD5"/>
    <w:rsid w:val="008B7AAB"/>
    <w:rsid w:val="008D6FE9"/>
    <w:rsid w:val="00936F90"/>
    <w:rsid w:val="009A4411"/>
    <w:rsid w:val="009E7641"/>
    <w:rsid w:val="00A00B41"/>
    <w:rsid w:val="00A07B12"/>
    <w:rsid w:val="00A321DC"/>
    <w:rsid w:val="00A413AF"/>
    <w:rsid w:val="00A464B4"/>
    <w:rsid w:val="00A95634"/>
    <w:rsid w:val="00AD5859"/>
    <w:rsid w:val="00B1112F"/>
    <w:rsid w:val="00B17A10"/>
    <w:rsid w:val="00B40814"/>
    <w:rsid w:val="00B76C08"/>
    <w:rsid w:val="00C15A05"/>
    <w:rsid w:val="00C418C9"/>
    <w:rsid w:val="00C53D1F"/>
    <w:rsid w:val="00C950F2"/>
    <w:rsid w:val="00CA1A59"/>
    <w:rsid w:val="00CA333D"/>
    <w:rsid w:val="00CB269D"/>
    <w:rsid w:val="00D15730"/>
    <w:rsid w:val="00D57E8E"/>
    <w:rsid w:val="00D85099"/>
    <w:rsid w:val="00DF63D5"/>
    <w:rsid w:val="00E33726"/>
    <w:rsid w:val="00E75083"/>
    <w:rsid w:val="00F57A7F"/>
    <w:rsid w:val="00F601B2"/>
    <w:rsid w:val="00F934E7"/>
    <w:rsid w:val="00FE290B"/>
    <w:rsid w:val="01F0403A"/>
    <w:rsid w:val="06C8202F"/>
    <w:rsid w:val="071A4FFB"/>
    <w:rsid w:val="16D57556"/>
    <w:rsid w:val="17D23921"/>
    <w:rsid w:val="19921729"/>
    <w:rsid w:val="1DD06378"/>
    <w:rsid w:val="1E8C2D66"/>
    <w:rsid w:val="20A774A8"/>
    <w:rsid w:val="224C47AB"/>
    <w:rsid w:val="269B12D1"/>
    <w:rsid w:val="2CC76418"/>
    <w:rsid w:val="2E117847"/>
    <w:rsid w:val="3E03042C"/>
    <w:rsid w:val="3F6C393F"/>
    <w:rsid w:val="4DDFF696"/>
    <w:rsid w:val="4F151527"/>
    <w:rsid w:val="4F9D18F3"/>
    <w:rsid w:val="5A2F6381"/>
    <w:rsid w:val="5C3C6E2E"/>
    <w:rsid w:val="5D5F25B2"/>
    <w:rsid w:val="5E776CE7"/>
    <w:rsid w:val="6241664E"/>
    <w:rsid w:val="63BD2956"/>
    <w:rsid w:val="67495B4D"/>
    <w:rsid w:val="70840239"/>
    <w:rsid w:val="73CE4A02"/>
    <w:rsid w:val="7B39F76B"/>
    <w:rsid w:val="7DF5E59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qFormat/>
    <w:uiPriority w:val="99"/>
    <w:pPr>
      <w:spacing w:after="120"/>
    </w:pPr>
  </w:style>
  <w:style w:type="paragraph" w:styleId="3">
    <w:name w:val="Body Text Indent 2"/>
    <w:basedOn w:val="1"/>
    <w:link w:val="14"/>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样式1"/>
    <w:basedOn w:val="2"/>
    <w:autoRedefine/>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3">
    <w:name w:val="正文文本 字符"/>
    <w:basedOn w:val="8"/>
    <w:link w:val="2"/>
    <w:autoRedefine/>
    <w:semiHidden/>
    <w:qFormat/>
    <w:uiPriority w:val="99"/>
  </w:style>
  <w:style w:type="character" w:customStyle="1" w:styleId="14">
    <w:name w:val="正文文本缩进 2 字符"/>
    <w:basedOn w:val="8"/>
    <w:link w:val="3"/>
    <w:qFormat/>
    <w:uiPriority w:val="99"/>
  </w:style>
  <w:style w:type="character" w:customStyle="1" w:styleId="15">
    <w:name w:val="font21"/>
    <w:basedOn w:val="8"/>
    <w:autoRedefine/>
    <w:qFormat/>
    <w:uiPriority w:val="0"/>
    <w:rPr>
      <w:rFonts w:ascii="Arial" w:hAnsi="Arial" w:cs="Arial"/>
      <w:color w:val="000000"/>
      <w:sz w:val="22"/>
      <w:szCs w:val="22"/>
      <w:u w:val="none"/>
    </w:rPr>
  </w:style>
  <w:style w:type="character" w:customStyle="1" w:styleId="16">
    <w:name w:val="font11"/>
    <w:basedOn w:val="8"/>
    <w:autoRedefine/>
    <w:qFormat/>
    <w:uiPriority w:val="0"/>
    <w:rPr>
      <w:rFonts w:hint="eastAsia" w:ascii="等线" w:hAnsi="等线" w:eastAsia="等线" w:cs="等线"/>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3304</Words>
  <Characters>3419</Characters>
  <Lines>3</Lines>
  <Paragraphs>1</Paragraphs>
  <TotalTime>207</TotalTime>
  <ScaleCrop>false</ScaleCrop>
  <LinksUpToDate>false</LinksUpToDate>
  <CharactersWithSpaces>3462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2024-06-18T17:15:00Z</dcterms:created>
  <dc:creator>张平</dc:creator>
  <cp:lastModifiedBy>SRA小助手</cp:lastModifiedBy>
  <dcterms:modified xsi:type="dcterms:W3CDTF">2026-03-04T07:07:37Z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8D44FBA2950347ACB69D2A263D811B0C_13</vt:lpwstr>
  </property>
  <property fmtid="{D5CDD505-2E9C-101B-9397-08002B2CF9AE}" pid="4" name="KSOTemplateDocerSaveRecord">
    <vt:lpwstr>eyJoZGlkIjoiZjFmZWIzNDg2MmIzZjExOTIzMmViNTBmYTMwYTk0ZWYiLCJ1c2VySWQiOiIxMjk5NjMzOTExIn0=</vt:lpwstr>
  </property>
</Properties>
</file>