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DC8BB">
      <w:pPr>
        <w:spacing w:line="540" w:lineRule="exact"/>
        <w:jc w:val="center"/>
        <w:rPr>
          <w:rFonts w:ascii="黑体" w:eastAsia="黑体"/>
          <w:spacing w:val="-2"/>
          <w:sz w:val="32"/>
          <w:szCs w:val="32"/>
        </w:rPr>
      </w:pPr>
    </w:p>
    <w:p w14:paraId="0DDA901F">
      <w:pPr>
        <w:spacing w:line="540" w:lineRule="exact"/>
        <w:jc w:val="center"/>
        <w:rPr>
          <w:rFonts w:ascii="黑体" w:eastAsia="黑体"/>
          <w:spacing w:val="-2"/>
          <w:sz w:val="32"/>
          <w:szCs w:val="32"/>
        </w:rPr>
      </w:pPr>
      <w:r>
        <w:rPr>
          <w:rFonts w:hint="eastAsia" w:ascii="黑体" w:eastAsia="黑体"/>
          <w:spacing w:val="-2"/>
          <w:sz w:val="32"/>
          <w:szCs w:val="32"/>
        </w:rPr>
        <w:t>南山区自主创新产业发展专项资金</w:t>
      </w:r>
      <w:r>
        <w:rPr>
          <w:rFonts w:ascii="黑体" w:eastAsia="黑体"/>
          <w:spacing w:val="-2"/>
          <w:sz w:val="32"/>
          <w:szCs w:val="32"/>
        </w:rPr>
        <w:t>—</w:t>
      </w:r>
      <w:r>
        <w:rPr>
          <w:rFonts w:hint="eastAsia" w:ascii="黑体" w:eastAsia="黑体"/>
          <w:spacing w:val="-2"/>
          <w:sz w:val="32"/>
          <w:szCs w:val="32"/>
        </w:rPr>
        <w:t>经济发展分项资金</w:t>
      </w:r>
    </w:p>
    <w:p w14:paraId="4EC2D267">
      <w:pPr>
        <w:spacing w:line="540" w:lineRule="exact"/>
        <w:jc w:val="center"/>
        <w:rPr>
          <w:rFonts w:ascii="黑体" w:eastAsia="黑体"/>
          <w:sz w:val="32"/>
          <w:szCs w:val="32"/>
        </w:rPr>
      </w:pPr>
      <w:r>
        <w:rPr>
          <w:rFonts w:hint="eastAsia" w:ascii="黑体" w:eastAsia="黑体"/>
          <w:sz w:val="32"/>
          <w:szCs w:val="32"/>
        </w:rPr>
        <w:t>金融机构办公用房扶持项目操作规程（20</w:t>
      </w:r>
      <w:r>
        <w:rPr>
          <w:rFonts w:hint="eastAsia" w:ascii="黑体" w:eastAsia="黑体"/>
          <w:sz w:val="32"/>
          <w:szCs w:val="32"/>
          <w:lang w:val="en-US" w:eastAsia="zh-CN"/>
        </w:rPr>
        <w:t>22</w:t>
      </w:r>
      <w:r>
        <w:rPr>
          <w:rFonts w:hint="eastAsia" w:ascii="黑体" w:eastAsia="黑体"/>
          <w:sz w:val="32"/>
          <w:szCs w:val="32"/>
        </w:rPr>
        <w:t>年度）</w:t>
      </w:r>
    </w:p>
    <w:p w14:paraId="79CCDAC9">
      <w:pPr>
        <w:spacing w:line="540" w:lineRule="exact"/>
        <w:jc w:val="center"/>
        <w:rPr>
          <w:rFonts w:ascii="黑体" w:eastAsia="黑体"/>
          <w:sz w:val="32"/>
          <w:szCs w:val="32"/>
        </w:rPr>
      </w:pPr>
    </w:p>
    <w:p w14:paraId="015A8F04">
      <w:pPr>
        <w:spacing w:line="580" w:lineRule="exact"/>
        <w:ind w:firstLine="640" w:firstLineChars="200"/>
        <w:rPr>
          <w:rFonts w:ascii="仿宋_GB2312" w:eastAsia="仿宋_GB2312"/>
          <w:sz w:val="32"/>
          <w:szCs w:val="32"/>
        </w:rPr>
      </w:pPr>
      <w:r>
        <w:rPr>
          <w:rFonts w:hint="eastAsia" w:ascii="仿宋_GB2312" w:eastAsia="仿宋_GB2312"/>
          <w:sz w:val="32"/>
          <w:szCs w:val="32"/>
        </w:rPr>
        <w:t>为</w:t>
      </w:r>
      <w:r>
        <w:rPr>
          <w:rFonts w:hint="eastAsia" w:ascii="仿宋_GB2312" w:eastAsia="仿宋_GB2312"/>
          <w:kern w:val="0"/>
          <w:sz w:val="32"/>
          <w:szCs w:val="32"/>
        </w:rPr>
        <w:t>促进我区经济增长方式转变，推动产业结构优化升级，</w:t>
      </w:r>
      <w:r>
        <w:rPr>
          <w:rFonts w:hint="eastAsia" w:ascii="仿宋_GB2312" w:eastAsia="仿宋_GB2312" w:cs="宋体"/>
          <w:sz w:val="32"/>
          <w:szCs w:val="32"/>
        </w:rPr>
        <w:t>培育引进有国际竞争力的大型企业</w:t>
      </w:r>
      <w:r>
        <w:rPr>
          <w:rFonts w:hint="eastAsia" w:ascii="仿宋_GB2312" w:eastAsia="仿宋_GB2312"/>
          <w:sz w:val="32"/>
          <w:szCs w:val="32"/>
        </w:rPr>
        <w:t>，根据《南山区自主创新产业发展专项资金管理办法》及《南山区自主创新产业发展专项资金经济发展分项资金实施细则》，制定本操作规程。</w:t>
      </w:r>
    </w:p>
    <w:p w14:paraId="1446A3FB">
      <w:pPr>
        <w:widowControl/>
        <w:spacing w:line="580" w:lineRule="exact"/>
        <w:ind w:firstLine="640" w:firstLineChars="200"/>
        <w:rPr>
          <w:rFonts w:ascii="黑体" w:eastAsia="黑体"/>
          <w:sz w:val="32"/>
          <w:szCs w:val="32"/>
        </w:rPr>
      </w:pPr>
      <w:r>
        <w:rPr>
          <w:rFonts w:hint="eastAsia" w:ascii="黑体" w:eastAsia="黑体"/>
          <w:sz w:val="32"/>
          <w:szCs w:val="32"/>
        </w:rPr>
        <w:t>一、政策内容</w:t>
      </w:r>
    </w:p>
    <w:p w14:paraId="40B54D0B">
      <w:pPr>
        <w:autoSpaceDN w:val="0"/>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rPr>
        <w:t>在南山区注册设立的金融企业总部，银行、证券、保险公司的一级分支机构，以及实际管理规模30亿元及以上的股权投资基金，可申请购置或租赁社会办公用房补贴。</w:t>
      </w:r>
    </w:p>
    <w:p w14:paraId="01D6AD21">
      <w:pPr>
        <w:widowControl/>
        <w:spacing w:line="580" w:lineRule="exact"/>
        <w:ind w:firstLine="640" w:firstLineChars="200"/>
        <w:rPr>
          <w:rFonts w:ascii="黑体" w:eastAsia="黑体"/>
          <w:sz w:val="32"/>
          <w:szCs w:val="32"/>
        </w:rPr>
      </w:pPr>
      <w:r>
        <w:rPr>
          <w:rFonts w:hint="eastAsia" w:ascii="黑体" w:eastAsia="黑体"/>
          <w:sz w:val="32"/>
          <w:szCs w:val="32"/>
        </w:rPr>
        <w:t>二、资助方式</w:t>
      </w:r>
    </w:p>
    <w:p w14:paraId="1D1813B1">
      <w:pPr>
        <w:snapToGrid w:val="0"/>
        <w:spacing w:line="560" w:lineRule="exact"/>
        <w:ind w:firstLine="640" w:firstLineChars="200"/>
        <w:rPr>
          <w:rFonts w:ascii="仿宋_GB2312" w:eastAsia="仿宋_GB2312" w:cs="宋体"/>
          <w:sz w:val="32"/>
          <w:szCs w:val="32"/>
        </w:rPr>
      </w:pPr>
      <w:r>
        <w:rPr>
          <w:rFonts w:hint="eastAsia" w:ascii="仿宋_GB2312" w:eastAsia="仿宋_GB2312"/>
          <w:sz w:val="32"/>
          <w:szCs w:val="32"/>
        </w:rPr>
        <w:t>本项资助属于核准类项目，资助资金的安排使用坚持公平、公开、公正的原则，实行自愿申报、科学决策和绩效评估的管理制度，采取无偿资助方式和事后补贴制，受资助项目无需验收。</w:t>
      </w:r>
    </w:p>
    <w:p w14:paraId="1B4A6139">
      <w:pPr>
        <w:widowControl/>
        <w:spacing w:line="580" w:lineRule="exact"/>
        <w:ind w:firstLine="640" w:firstLineChars="200"/>
        <w:rPr>
          <w:rFonts w:ascii="仿宋_GB2312" w:eastAsia="仿宋_GB2312"/>
          <w:sz w:val="32"/>
          <w:szCs w:val="32"/>
        </w:rPr>
      </w:pPr>
      <w:r>
        <w:rPr>
          <w:rFonts w:hint="eastAsia" w:ascii="黑体" w:eastAsia="黑体"/>
          <w:sz w:val="32"/>
          <w:szCs w:val="32"/>
        </w:rPr>
        <w:t>三、资助标准</w:t>
      </w:r>
    </w:p>
    <w:p w14:paraId="0A2BC152">
      <w:pPr>
        <w:autoSpaceDN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（一）购置社会办公用房补贴。符合上述条件的企业，在南山区新购置自用办公用房（不含附属和配套用房</w:t>
      </w:r>
      <w:r>
        <w:rPr>
          <w:rFonts w:hint="eastAsia" w:ascii="仿宋_GB2312" w:eastAsia="仿宋_GB2312"/>
          <w:kern w:val="0"/>
          <w:sz w:val="32"/>
          <w:szCs w:val="32"/>
        </w:rPr>
        <w:t>以及南山区政策性产业用房</w:t>
      </w:r>
      <w:r>
        <w:rPr>
          <w:rFonts w:hint="eastAsia" w:ascii="仿宋_GB2312" w:hAnsi="仿宋_GB2312" w:eastAsia="仿宋_GB2312" w:cs="仿宋_GB2312"/>
          <w:sz w:val="32"/>
        </w:rPr>
        <w:t>）的，可按3000元／平米的标准分3年给予补贴（以套内建筑面积为准），每年最高1000万元。获得本条补贴的办公用房5年内不得对外租售。</w:t>
      </w:r>
    </w:p>
    <w:p w14:paraId="0E7E9DEA">
      <w:pPr>
        <w:autoSpaceDN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（二）租赁社会办公用房补贴。符合上述条件的企业，在南山区新租赁自用办公用房（不含附属和配套用房</w:t>
      </w:r>
      <w:r>
        <w:rPr>
          <w:rFonts w:hint="eastAsia" w:ascii="仿宋_GB2312" w:eastAsia="仿宋_GB2312"/>
          <w:kern w:val="0"/>
          <w:sz w:val="32"/>
          <w:szCs w:val="32"/>
        </w:rPr>
        <w:t>以及南山区政策性产业用房</w:t>
      </w:r>
      <w:r>
        <w:rPr>
          <w:rFonts w:hint="eastAsia" w:ascii="仿宋_GB2312" w:hAnsi="仿宋_GB2312" w:eastAsia="仿宋_GB2312" w:cs="仿宋_GB2312"/>
          <w:sz w:val="32"/>
        </w:rPr>
        <w:t>）的，3年内每年按实际支付租金的30％给予房租补贴，每年最高500万元。对入驻经市、区政府认定的产业基地或金融重点楼宇的，5年内给予房租补贴，其中前3年每年按实际支付租金的30％给予补贴，每年最高500万元；后2年每年按实际支付租金的15％给予补贴，每年最高250万元。</w:t>
      </w:r>
    </w:p>
    <w:p w14:paraId="50A116CE">
      <w:pPr>
        <w:spacing w:line="560" w:lineRule="exact"/>
        <w:ind w:firstLine="640" w:firstLineChars="200"/>
        <w:rPr>
          <w:rFonts w:ascii="仿宋_GB2312" w:eastAsia="仿宋_GB2312"/>
          <w:kern w:val="0"/>
          <w:sz w:val="32"/>
          <w:szCs w:val="32"/>
        </w:rPr>
      </w:pPr>
      <w:r>
        <w:rPr>
          <w:rFonts w:hint="eastAsia" w:ascii="仿宋_GB2312" w:hAnsi="仿宋_GB2312" w:eastAsia="仿宋_GB2312" w:cs="仿宋_GB2312"/>
          <w:sz w:val="32"/>
        </w:rPr>
        <w:t>（三）每家企业原则上</w:t>
      </w:r>
      <w:r>
        <w:rPr>
          <w:rFonts w:hint="eastAsia" w:ascii="仿宋_GB2312" w:eastAsia="仿宋_GB2312"/>
          <w:kern w:val="0"/>
          <w:sz w:val="32"/>
          <w:szCs w:val="32"/>
        </w:rPr>
        <w:t>只能享受以上一项扶持政策。</w:t>
      </w:r>
    </w:p>
    <w:p w14:paraId="261CB462">
      <w:pPr>
        <w:widowControl/>
        <w:spacing w:line="560" w:lineRule="exact"/>
        <w:ind w:firstLine="640" w:firstLineChars="200"/>
        <w:rPr>
          <w:rFonts w:ascii="黑体" w:eastAsia="黑体"/>
          <w:sz w:val="32"/>
          <w:szCs w:val="32"/>
        </w:rPr>
      </w:pPr>
      <w:r>
        <w:rPr>
          <w:rFonts w:hint="eastAsia" w:ascii="仿宋_GB2312" w:eastAsia="仿宋_GB2312"/>
          <w:kern w:val="0"/>
          <w:sz w:val="32"/>
          <w:szCs w:val="32"/>
        </w:rPr>
        <w:t>（四）</w:t>
      </w:r>
      <w:r>
        <w:rPr>
          <w:rFonts w:hint="eastAsia" w:ascii="仿宋_GB2312" w:eastAsia="仿宋_GB2312" w:cs="宋体"/>
          <w:sz w:val="32"/>
          <w:szCs w:val="32"/>
        </w:rPr>
        <w:t>本项目不受《南山区自主创新产业发展专项资金管理办法（试行）》第十三条第（四）款“每家单位同一年度获得的资助金额原则上不超过其上一年度形成的区级地方财力贡献”限制。</w:t>
      </w:r>
    </w:p>
    <w:p w14:paraId="6C83D624">
      <w:pPr>
        <w:widowControl/>
        <w:spacing w:line="580" w:lineRule="exact"/>
        <w:ind w:firstLine="640" w:firstLineChars="200"/>
        <w:rPr>
          <w:rFonts w:ascii="黑体" w:eastAsia="黑体"/>
          <w:sz w:val="32"/>
          <w:szCs w:val="32"/>
        </w:rPr>
      </w:pPr>
      <w:r>
        <w:rPr>
          <w:rFonts w:hint="eastAsia" w:ascii="黑体" w:eastAsia="黑体"/>
          <w:sz w:val="32"/>
          <w:szCs w:val="32"/>
        </w:rPr>
        <w:t>四、申请条件</w:t>
      </w:r>
    </w:p>
    <w:p w14:paraId="64DA221C">
      <w:pPr>
        <w:pStyle w:val="14"/>
        <w:numPr>
          <w:ilvl w:val="-1"/>
          <w:numId w:val="0"/>
        </w:numPr>
        <w:spacing w:line="580" w:lineRule="exact"/>
        <w:ind w:left="640" w:firstLine="0" w:firstLineChars="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申请本项资金资助的企业应符合以下条件：</w:t>
      </w:r>
    </w:p>
    <w:p w14:paraId="4AD396ED">
      <w:pPr>
        <w:tabs>
          <w:tab w:val="left" w:pos="307"/>
          <w:tab w:val="left" w:pos="680"/>
        </w:tabs>
        <w:spacing w:line="580" w:lineRule="exact"/>
        <w:ind w:left="680"/>
        <w:rPr>
          <w:rFonts w:ascii="仿宋_GB2312" w:eastAsia="仿宋_GB2312"/>
          <w:sz w:val="32"/>
          <w:szCs w:val="32"/>
        </w:rPr>
      </w:pPr>
      <w:r>
        <w:rPr>
          <w:rFonts w:hint="eastAsia" w:ascii="仿宋_GB2312" w:eastAsia="仿宋_GB2312"/>
          <w:color w:val="000000"/>
          <w:sz w:val="32"/>
          <w:szCs w:val="32"/>
        </w:rPr>
        <w:t>1.在南山辖区内登记注册并在2016年1月1日后（其中前海注册企业2017年1月1日后）在辖区购置或租赁自用办公用房且属于本操作规程第一条中所列机构类型</w:t>
      </w:r>
      <w:r>
        <w:rPr>
          <w:rFonts w:hint="eastAsia" w:ascii="仿宋_GB2312" w:eastAsia="仿宋_GB2312"/>
          <w:sz w:val="32"/>
          <w:szCs w:val="32"/>
        </w:rPr>
        <w:t>；</w:t>
      </w:r>
    </w:p>
    <w:p w14:paraId="7599581C">
      <w:pPr>
        <w:tabs>
          <w:tab w:val="left" w:pos="307"/>
          <w:tab w:val="left" w:pos="680"/>
        </w:tabs>
        <w:spacing w:line="580" w:lineRule="exact"/>
        <w:ind w:left="640"/>
        <w:rPr>
          <w:rFonts w:ascii="仿宋_GB2312" w:eastAsia="仿宋_GB2312"/>
          <w:sz w:val="32"/>
          <w:szCs w:val="32"/>
        </w:rPr>
      </w:pPr>
      <w:r>
        <w:rPr>
          <w:rFonts w:hint="eastAsia" w:ascii="仿宋_GB2312" w:eastAsia="仿宋_GB2312"/>
          <w:color w:val="000000"/>
          <w:sz w:val="32"/>
          <w:szCs w:val="32"/>
        </w:rPr>
        <w:t>2.税务登记地在南山区并在南山区汇总或部分汇总纳税；</w:t>
      </w:r>
    </w:p>
    <w:p w14:paraId="57E6EA62">
      <w:pPr>
        <w:tabs>
          <w:tab w:val="left" w:pos="307"/>
          <w:tab w:val="left" w:pos="680"/>
        </w:tabs>
        <w:spacing w:line="580" w:lineRule="exact"/>
        <w:ind w:left="640"/>
        <w:rPr>
          <w:rFonts w:ascii="仿宋_GB2312" w:eastAsia="仿宋_GB2312"/>
          <w:sz w:val="32"/>
          <w:szCs w:val="32"/>
        </w:rPr>
      </w:pPr>
      <w:r>
        <w:rPr>
          <w:rFonts w:hint="eastAsia" w:ascii="仿宋_GB2312" w:eastAsia="仿宋_GB2312"/>
          <w:sz w:val="32"/>
          <w:szCs w:val="32"/>
        </w:rPr>
        <w:t>3.履行统计数据申报义务、守法经营、诚实守信，有规范健全的财务制度；</w:t>
      </w:r>
    </w:p>
    <w:p w14:paraId="3DD42B5E">
      <w:pPr>
        <w:tabs>
          <w:tab w:val="left" w:pos="307"/>
          <w:tab w:val="left" w:pos="680"/>
        </w:tabs>
        <w:spacing w:line="580" w:lineRule="exact"/>
        <w:ind w:left="640"/>
        <w:rPr>
          <w:rFonts w:ascii="仿宋_GB2312" w:eastAsia="仿宋_GB2312"/>
          <w:sz w:val="32"/>
          <w:szCs w:val="32"/>
        </w:rPr>
      </w:pPr>
      <w:r>
        <w:rPr>
          <w:rFonts w:hint="eastAsia" w:ascii="仿宋_GB2312" w:eastAsia="仿宋_GB2312"/>
          <w:sz w:val="32"/>
          <w:szCs w:val="32"/>
        </w:rPr>
        <w:t>4.应积极配合区委、区政府相关工作。</w:t>
      </w:r>
    </w:p>
    <w:p w14:paraId="177C6A52">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（二）有下列情况之一的，本资金不予资助：</w:t>
      </w:r>
    </w:p>
    <w:p w14:paraId="1EBEBD40">
      <w:pPr>
        <w:spacing w:line="58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.近三年内在税收、安全生产、环保、劳动等方面存在重大违法行为，受到有关部门行政处罚的；</w:t>
      </w:r>
    </w:p>
    <w:p w14:paraId="206D4C0F">
      <w:pPr>
        <w:spacing w:line="58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．申报材料有弄虚作假情况的；</w:t>
      </w:r>
    </w:p>
    <w:p w14:paraId="5140EE62">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3.近三年内申请单位以及单位法人、实际控制人存在违规申报使用政府资金、商业贿赂、不良信用记录等情况的；</w:t>
      </w:r>
    </w:p>
    <w:p w14:paraId="07C49103">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4.提出资助申请后，将企业注册地搬离南山和未按规定提交统计报表、在南山区产业发展综合服务平台填报相关数据的；</w:t>
      </w:r>
    </w:p>
    <w:p w14:paraId="6A398B37">
      <w:pPr>
        <w:spacing w:line="560" w:lineRule="exact"/>
        <w:ind w:firstLine="640" w:firstLineChars="200"/>
        <w:rPr>
          <w:rFonts w:ascii="仿宋_GB2312" w:hAnsi="宋体" w:eastAsia="仿宋_GB2312"/>
          <w:sz w:val="32"/>
          <w:szCs w:val="32"/>
        </w:rPr>
      </w:pPr>
      <w:r>
        <w:rPr>
          <w:rFonts w:hint="eastAsia" w:ascii="仿宋_GB2312" w:hAnsi="宋体" w:eastAsia="仿宋_GB2312"/>
          <w:color w:val="000000"/>
          <w:sz w:val="32"/>
          <w:szCs w:val="32"/>
        </w:rPr>
        <w:t>5.已获市政府用地出让政策扶持的企业。</w:t>
      </w:r>
    </w:p>
    <w:p w14:paraId="60DF8BFA">
      <w:pPr>
        <w:widowControl/>
        <w:spacing w:line="580" w:lineRule="exact"/>
        <w:ind w:firstLine="640" w:firstLineChars="200"/>
        <w:rPr>
          <w:rFonts w:ascii="黑体" w:eastAsia="黑体"/>
          <w:sz w:val="32"/>
          <w:szCs w:val="32"/>
        </w:rPr>
      </w:pPr>
      <w:r>
        <w:rPr>
          <w:rFonts w:hint="eastAsia" w:ascii="黑体" w:eastAsia="黑体"/>
          <w:sz w:val="32"/>
          <w:szCs w:val="32"/>
        </w:rPr>
        <w:t>五、办理流程</w:t>
      </w:r>
    </w:p>
    <w:p w14:paraId="28617F37">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（一）</w:t>
      </w:r>
      <w:r>
        <w:rPr>
          <w:rFonts w:hint="eastAsia" w:ascii="仿宋_GB2312" w:eastAsia="仿宋_GB2312"/>
          <w:sz w:val="32"/>
          <w:szCs w:val="32"/>
        </w:rPr>
        <w:t>申请单位按照相关资金操作规程的具体要求备齐资料，通过南山区产业发展综合服务平台提出资助申请；</w:t>
      </w:r>
    </w:p>
    <w:p w14:paraId="02023335">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（二）区企业服务中心统一受理单位申请；</w:t>
      </w:r>
    </w:p>
    <w:p w14:paraId="006182B8">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w:t>
      </w:r>
      <w:r>
        <w:rPr>
          <w:rFonts w:hint="eastAsia" w:ascii="Times New Roman" w:hAnsi="Times New Roman" w:eastAsia="仿宋_GB2312" w:cs="Times New Roman"/>
          <w:b w:val="0"/>
          <w:bCs w:val="0"/>
          <w:color w:val="auto"/>
          <w:kern w:val="2"/>
          <w:sz w:val="32"/>
          <w:szCs w:val="32"/>
          <w:highlight w:val="none"/>
        </w:rPr>
        <w:t>资金主管部门对申报项目进行复审</w:t>
      </w:r>
      <w:r>
        <w:rPr>
          <w:rFonts w:hint="eastAsia" w:ascii="仿宋_GB2312" w:hAnsi="宋体" w:eastAsia="仿宋_GB2312"/>
          <w:sz w:val="32"/>
          <w:szCs w:val="32"/>
        </w:rPr>
        <w:t>；</w:t>
      </w:r>
    </w:p>
    <w:p w14:paraId="51FC1654">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w:t>
      </w:r>
      <w:r>
        <w:rPr>
          <w:rFonts w:hint="eastAsia" w:ascii="Times New Roman" w:hAnsi="Times New Roman" w:eastAsia="仿宋_GB2312" w:cs="Times New Roman"/>
          <w:b w:val="0"/>
          <w:bCs w:val="0"/>
          <w:color w:val="auto"/>
          <w:kern w:val="2"/>
          <w:sz w:val="32"/>
          <w:szCs w:val="32"/>
          <w:highlight w:val="none"/>
        </w:rPr>
        <w:t>资金主管部门编制项目资助计划</w:t>
      </w:r>
      <w:r>
        <w:rPr>
          <w:rFonts w:hint="eastAsia" w:ascii="仿宋_GB2312" w:hAnsi="宋体" w:eastAsia="仿宋_GB2312"/>
          <w:sz w:val="32"/>
          <w:szCs w:val="32"/>
        </w:rPr>
        <w:t>；</w:t>
      </w:r>
    </w:p>
    <w:p w14:paraId="4A7EF283">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w:t>
      </w:r>
      <w:r>
        <w:rPr>
          <w:rFonts w:hint="eastAsia" w:ascii="Times New Roman" w:hAnsi="Times New Roman" w:eastAsia="仿宋_GB2312" w:cs="Times New Roman"/>
          <w:b w:val="0"/>
          <w:bCs w:val="0"/>
          <w:color w:val="auto"/>
          <w:kern w:val="2"/>
          <w:sz w:val="32"/>
          <w:szCs w:val="32"/>
          <w:highlight w:val="none"/>
        </w:rPr>
        <w:t>相关部门进行核查</w:t>
      </w:r>
      <w:r>
        <w:rPr>
          <w:rFonts w:hint="eastAsia" w:ascii="仿宋_GB2312" w:hAnsi="宋体" w:eastAsia="仿宋_GB2312"/>
          <w:sz w:val="32"/>
          <w:szCs w:val="32"/>
        </w:rPr>
        <w:t>；</w:t>
      </w:r>
    </w:p>
    <w:p w14:paraId="70829AA3">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（六）</w:t>
      </w:r>
      <w:r>
        <w:rPr>
          <w:rFonts w:hint="eastAsia" w:ascii="Times New Roman" w:hAnsi="Times New Roman" w:eastAsia="仿宋_GB2312" w:cs="Times New Roman"/>
          <w:b w:val="0"/>
          <w:bCs w:val="0"/>
          <w:color w:val="auto"/>
          <w:kern w:val="2"/>
          <w:sz w:val="32"/>
          <w:szCs w:val="32"/>
          <w:highlight w:val="none"/>
        </w:rPr>
        <w:t>资助计划向社会公示5个工作日</w:t>
      </w:r>
      <w:r>
        <w:rPr>
          <w:rFonts w:hint="eastAsia" w:ascii="仿宋_GB2312" w:hAnsi="宋体" w:eastAsia="仿宋_GB2312"/>
          <w:sz w:val="32"/>
          <w:szCs w:val="32"/>
        </w:rPr>
        <w:t>；</w:t>
      </w:r>
    </w:p>
    <w:p w14:paraId="2633545C">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（七）</w:t>
      </w:r>
      <w:r>
        <w:rPr>
          <w:rFonts w:hint="eastAsia" w:ascii="Times New Roman" w:hAnsi="Times New Roman" w:eastAsia="仿宋_GB2312" w:cs="Times New Roman"/>
          <w:b w:val="0"/>
          <w:bCs w:val="0"/>
          <w:color w:val="auto"/>
          <w:kern w:val="2"/>
          <w:sz w:val="32"/>
          <w:szCs w:val="32"/>
          <w:highlight w:val="none"/>
        </w:rPr>
        <w:t>召开会议对项目资助计划进行审定</w:t>
      </w:r>
      <w:r>
        <w:rPr>
          <w:rFonts w:hint="eastAsia" w:ascii="仿宋_GB2312" w:hAnsi="宋体" w:eastAsia="仿宋_GB2312"/>
          <w:sz w:val="32"/>
          <w:szCs w:val="32"/>
        </w:rPr>
        <w:t>；</w:t>
      </w:r>
    </w:p>
    <w:p w14:paraId="036B86DC">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（八）</w:t>
      </w:r>
      <w:r>
        <w:rPr>
          <w:rFonts w:hint="eastAsia" w:ascii="Times New Roman" w:hAnsi="Times New Roman" w:eastAsia="仿宋_GB2312" w:cs="Times New Roman"/>
          <w:b w:val="0"/>
          <w:bCs w:val="0"/>
          <w:color w:val="auto"/>
          <w:kern w:val="2"/>
          <w:sz w:val="32"/>
          <w:szCs w:val="32"/>
          <w:highlight w:val="none"/>
        </w:rPr>
        <w:t>资金主管部门办理资金拨付手续</w:t>
      </w:r>
      <w:r>
        <w:rPr>
          <w:rFonts w:hint="eastAsia" w:ascii="仿宋_GB2312" w:hAnsi="宋体" w:eastAsia="仿宋_GB2312"/>
          <w:sz w:val="32"/>
          <w:szCs w:val="32"/>
        </w:rPr>
        <w:t>。</w:t>
      </w:r>
    </w:p>
    <w:p w14:paraId="15F1A953">
      <w:pPr>
        <w:spacing w:line="580" w:lineRule="exact"/>
        <w:ind w:firstLine="640" w:firstLineChars="200"/>
        <w:rPr>
          <w:rFonts w:ascii="黑体" w:eastAsia="黑体"/>
          <w:sz w:val="32"/>
          <w:szCs w:val="32"/>
        </w:rPr>
      </w:pPr>
      <w:r>
        <w:rPr>
          <w:rFonts w:hint="eastAsia" w:ascii="黑体" w:eastAsia="黑体"/>
          <w:sz w:val="32"/>
          <w:szCs w:val="32"/>
        </w:rPr>
        <w:t>六、申请材料</w:t>
      </w:r>
    </w:p>
    <w:p w14:paraId="320574E0">
      <w:pPr>
        <w:widowControl/>
        <w:spacing w:line="580" w:lineRule="exact"/>
        <w:ind w:firstLine="640" w:firstLineChars="200"/>
        <w:rPr>
          <w:rFonts w:ascii="仿宋_GB2312" w:eastAsia="仿宋_GB2312"/>
          <w:sz w:val="32"/>
          <w:szCs w:val="32"/>
        </w:rPr>
      </w:pPr>
      <w:r>
        <w:rPr>
          <w:rFonts w:hint="eastAsia" w:ascii="仿宋_GB2312" w:eastAsia="仿宋_GB2312"/>
          <w:sz w:val="32"/>
          <w:szCs w:val="32"/>
        </w:rPr>
        <w:t>（一）《项目申请书》（登录南山区产业发展综合服务平台</w:t>
      </w:r>
      <w:bookmarkStart w:id="0" w:name="_GoBack"/>
      <w:bookmarkEnd w:id="0"/>
      <w:r>
        <w:rPr>
          <w:rFonts w:hint="eastAsia" w:ascii="仿宋_GB2312" w:eastAsia="仿宋_GB2312"/>
          <w:sz w:val="32"/>
          <w:szCs w:val="32"/>
        </w:rPr>
        <w:t>在线填写，</w:t>
      </w:r>
      <w:r>
        <w:rPr>
          <w:rFonts w:hint="eastAsia" w:eastAsia="仿宋_GB2312"/>
          <w:sz w:val="32"/>
          <w:szCs w:val="32"/>
        </w:rPr>
        <w:t>申请书</w:t>
      </w:r>
      <w:r>
        <w:rPr>
          <w:rFonts w:hint="eastAsia" w:eastAsia="仿宋_GB2312"/>
          <w:sz w:val="32"/>
          <w:szCs w:val="32"/>
          <w:lang w:val="en-US" w:eastAsia="zh-CN"/>
        </w:rPr>
        <w:t>按要求</w:t>
      </w:r>
      <w:r>
        <w:rPr>
          <w:rFonts w:hint="eastAsia" w:eastAsia="仿宋_GB2312"/>
          <w:sz w:val="32"/>
          <w:szCs w:val="32"/>
        </w:rPr>
        <w:t>签字盖章</w:t>
      </w:r>
      <w:r>
        <w:rPr>
          <w:rFonts w:hint="eastAsia" w:eastAsia="仿宋_GB2312"/>
          <w:sz w:val="32"/>
          <w:szCs w:val="32"/>
          <w:lang w:val="en-US" w:eastAsia="zh-CN"/>
        </w:rPr>
        <w:t>后彩色扫描上传</w:t>
      </w:r>
      <w:r>
        <w:rPr>
          <w:rFonts w:hint="eastAsia" w:ascii="仿宋_GB2312" w:eastAsia="仿宋_GB2312"/>
          <w:sz w:val="32"/>
          <w:szCs w:val="32"/>
        </w:rPr>
        <w:t>）；</w:t>
      </w:r>
    </w:p>
    <w:p w14:paraId="5ABF54D3">
      <w:pPr>
        <w:widowControl/>
        <w:spacing w:line="580" w:lineRule="exact"/>
        <w:ind w:firstLine="640" w:firstLineChars="200"/>
        <w:rPr>
          <w:rFonts w:ascii="仿宋_GB2312" w:eastAsia="仿宋_GB2312"/>
          <w:sz w:val="32"/>
          <w:szCs w:val="32"/>
        </w:rPr>
      </w:pPr>
      <w:r>
        <w:rPr>
          <w:rFonts w:hint="eastAsia" w:ascii="仿宋_GB2312" w:eastAsia="仿宋_GB2312"/>
          <w:sz w:val="32"/>
          <w:szCs w:val="32"/>
        </w:rPr>
        <w:t>（二）</w:t>
      </w:r>
      <w:r>
        <w:rPr>
          <w:rFonts w:hint="eastAsia" w:ascii="仿宋_GB2312" w:hAnsi="仿宋_GB2312" w:eastAsia="仿宋_GB2312" w:cs="仿宋_GB2312"/>
          <w:b w:val="0"/>
          <w:bCs w:val="0"/>
          <w:sz w:val="32"/>
          <w:szCs w:val="32"/>
        </w:rPr>
        <w:t>营业执照（三证合一新版，未换领三证合一新版营业执照的，提交原旧版营业执照、组织机构代码证书、税务登记证书）（网上提交资料要求：原件彩色扫描上传）</w:t>
      </w:r>
      <w:r>
        <w:rPr>
          <w:rFonts w:hint="eastAsia" w:ascii="仿宋_GB2312" w:eastAsia="仿宋_GB2312"/>
          <w:sz w:val="32"/>
          <w:szCs w:val="32"/>
        </w:rPr>
        <w:t>；</w:t>
      </w:r>
    </w:p>
    <w:p w14:paraId="3F331BAA">
      <w:pPr>
        <w:widowControl/>
        <w:spacing w:line="580" w:lineRule="exact"/>
        <w:ind w:firstLine="640" w:firstLineChars="200"/>
        <w:rPr>
          <w:rFonts w:ascii="仿宋_GB2312" w:eastAsia="仿宋_GB2312"/>
          <w:sz w:val="32"/>
          <w:szCs w:val="32"/>
        </w:rPr>
      </w:pPr>
      <w:r>
        <w:rPr>
          <w:rFonts w:hint="eastAsia" w:ascii="仿宋_GB2312" w:eastAsia="仿宋_GB2312"/>
          <w:sz w:val="32"/>
          <w:szCs w:val="32"/>
        </w:rPr>
        <w:t>（三）</w:t>
      </w:r>
      <w:r>
        <w:rPr>
          <w:rFonts w:hint="eastAsia" w:ascii="仿宋_GB2312" w:hAnsi="Times New Roman" w:eastAsia="仿宋_GB2312" w:cs="Times New Roman"/>
          <w:color w:val="auto"/>
          <w:sz w:val="32"/>
          <w:szCs w:val="32"/>
        </w:rPr>
        <w:t>法定代表人身份证</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网上提交资料要求：原件（复印件加盖公章）彩色扫描上传</w:t>
      </w:r>
      <w:r>
        <w:rPr>
          <w:rFonts w:hint="eastAsia" w:ascii="仿宋_GB2312" w:hAnsi="Times New Roman" w:eastAsia="仿宋_GB2312" w:cs="Times New Roman"/>
          <w:color w:val="auto"/>
          <w:sz w:val="32"/>
          <w:szCs w:val="32"/>
          <w:lang w:eastAsia="zh-CN"/>
        </w:rPr>
        <w:t>）</w:t>
      </w:r>
      <w:r>
        <w:rPr>
          <w:rFonts w:hint="eastAsia" w:ascii="仿宋_GB2312" w:eastAsia="仿宋_GB2312"/>
          <w:sz w:val="32"/>
          <w:szCs w:val="32"/>
        </w:rPr>
        <w:t>;</w:t>
      </w:r>
    </w:p>
    <w:p w14:paraId="3BB33401">
      <w:pPr>
        <w:widowControl/>
        <w:spacing w:line="580" w:lineRule="exact"/>
        <w:ind w:firstLine="640" w:firstLineChars="200"/>
        <w:rPr>
          <w:rFonts w:ascii="仿宋_GB2312" w:eastAsia="仿宋_GB2312"/>
          <w:sz w:val="32"/>
          <w:szCs w:val="32"/>
        </w:rPr>
      </w:pPr>
      <w:r>
        <w:rPr>
          <w:rFonts w:hint="eastAsia" w:ascii="仿宋_GB2312" w:eastAsia="仿宋_GB2312"/>
          <w:sz w:val="32"/>
          <w:szCs w:val="32"/>
        </w:rPr>
        <w:t>（四）税务部门开具的单位上年度纳税证明（成立未满一年的企业无需提供）</w:t>
      </w:r>
      <w:r>
        <w:rPr>
          <w:rFonts w:hint="eastAsia" w:ascii="仿宋_GB2312" w:eastAsia="仿宋_GB2312"/>
          <w:sz w:val="32"/>
          <w:szCs w:val="32"/>
          <w:lang w:eastAsia="zh-CN"/>
        </w:rPr>
        <w:t>（</w:t>
      </w:r>
      <w:r>
        <w:rPr>
          <w:rFonts w:hint="eastAsia" w:ascii="仿宋_GB2312" w:eastAsia="仿宋_GB2312"/>
          <w:sz w:val="32"/>
          <w:szCs w:val="32"/>
        </w:rPr>
        <w:t>网上提交资料要求：上传税务申报系统下载的电子版</w:t>
      </w:r>
      <w:r>
        <w:rPr>
          <w:rFonts w:hint="eastAsia" w:ascii="仿宋_GB2312" w:eastAsia="仿宋_GB2312"/>
          <w:sz w:val="32"/>
          <w:szCs w:val="32"/>
          <w:lang w:eastAsia="zh-CN"/>
        </w:rPr>
        <w:t>）</w:t>
      </w:r>
      <w:r>
        <w:rPr>
          <w:rFonts w:hint="eastAsia" w:ascii="仿宋_GB2312" w:eastAsia="仿宋_GB2312"/>
          <w:sz w:val="32"/>
          <w:szCs w:val="32"/>
        </w:rPr>
        <w:t>；</w:t>
      </w:r>
    </w:p>
    <w:p w14:paraId="0BDD6AB0">
      <w:pPr>
        <w:widowControl/>
        <w:spacing w:line="580" w:lineRule="exact"/>
        <w:ind w:firstLine="640" w:firstLineChars="200"/>
        <w:rPr>
          <w:rFonts w:ascii="仿宋_GB2312" w:eastAsia="仿宋_GB2312"/>
          <w:sz w:val="32"/>
          <w:szCs w:val="32"/>
        </w:rPr>
      </w:pPr>
      <w:r>
        <w:rPr>
          <w:rFonts w:hint="eastAsia" w:ascii="仿宋_GB2312" w:eastAsia="仿宋_GB2312"/>
          <w:sz w:val="32"/>
          <w:szCs w:val="32"/>
        </w:rPr>
        <w:t>（五）上一年度财务审计报告（含资产负债表、损益表、现金流量表）</w:t>
      </w:r>
      <w:r>
        <w:rPr>
          <w:rFonts w:hint="eastAsia" w:ascii="仿宋_GB2312" w:hAnsi="宋体" w:eastAsia="仿宋_GB2312"/>
          <w:sz w:val="32"/>
          <w:szCs w:val="32"/>
        </w:rPr>
        <w:t>（</w:t>
      </w:r>
      <w:r>
        <w:rPr>
          <w:rFonts w:hint="eastAsia" w:ascii="仿宋_GB2312" w:hAnsi="仿宋_GB2312" w:eastAsia="仿宋_GB2312"/>
          <w:color w:val="000000"/>
          <w:sz w:val="32"/>
          <w:szCs w:val="32"/>
        </w:rPr>
        <w:t>成立未满一年的企业无需提供，分公司可提供上一年度未经审计的财务报表或总公司审计报告</w:t>
      </w:r>
      <w:r>
        <w:rPr>
          <w:rFonts w:hint="eastAsia" w:ascii="仿宋_GB2312" w:hAnsi="宋体" w:eastAsia="仿宋_GB2312"/>
          <w:sz w:val="32"/>
          <w:szCs w:val="32"/>
        </w:rPr>
        <w:t>）</w:t>
      </w:r>
      <w:r>
        <w:rPr>
          <w:rFonts w:hint="eastAsia" w:ascii="仿宋_GB2312" w:eastAsia="仿宋_GB2312"/>
          <w:sz w:val="32"/>
          <w:szCs w:val="32"/>
          <w:lang w:eastAsia="zh-CN"/>
        </w:rPr>
        <w:t>（</w:t>
      </w:r>
      <w:r>
        <w:rPr>
          <w:rFonts w:hint="eastAsia" w:ascii="仿宋_GB2312" w:hAnsi="仿宋_GB2312" w:eastAsia="仿宋_GB2312"/>
          <w:sz w:val="32"/>
          <w:szCs w:val="32"/>
        </w:rPr>
        <w:t>网上提交资料要求：</w:t>
      </w:r>
      <w:r>
        <w:rPr>
          <w:rFonts w:hint="eastAsia" w:ascii="仿宋_GB2312" w:eastAsia="仿宋_GB2312"/>
          <w:sz w:val="32"/>
          <w:szCs w:val="32"/>
        </w:rPr>
        <w:t>原件（复印件加盖公章）彩色扫描上传</w:t>
      </w:r>
      <w:r>
        <w:rPr>
          <w:rFonts w:hint="eastAsia" w:ascii="仿宋_GB2312" w:eastAsia="仿宋_GB2312"/>
          <w:sz w:val="32"/>
          <w:szCs w:val="32"/>
          <w:lang w:eastAsia="zh-CN"/>
        </w:rPr>
        <w:t>）</w:t>
      </w:r>
      <w:r>
        <w:rPr>
          <w:rFonts w:hint="eastAsia" w:ascii="仿宋_GB2312" w:eastAsia="仿宋_GB2312"/>
          <w:sz w:val="32"/>
          <w:szCs w:val="32"/>
        </w:rPr>
        <w:t>；</w:t>
      </w:r>
    </w:p>
    <w:p w14:paraId="39D20C78">
      <w:pPr>
        <w:spacing w:line="580" w:lineRule="exact"/>
        <w:ind w:firstLine="640" w:firstLineChars="200"/>
        <w:rPr>
          <w:rFonts w:ascii="仿宋_GB2312" w:eastAsia="仿宋_GB2312" w:cs="宋体"/>
          <w:sz w:val="32"/>
          <w:szCs w:val="32"/>
        </w:rPr>
      </w:pPr>
      <w:r>
        <w:rPr>
          <w:rFonts w:hint="eastAsia" w:ascii="仿宋_GB2312" w:eastAsia="仿宋_GB2312"/>
          <w:sz w:val="32"/>
          <w:szCs w:val="32"/>
        </w:rPr>
        <w:t>（六）</w:t>
      </w:r>
      <w:r>
        <w:rPr>
          <w:rFonts w:hint="eastAsia" w:ascii="仿宋_GB2312" w:eastAsia="仿宋_GB2312" w:cs="宋体"/>
          <w:sz w:val="32"/>
          <w:szCs w:val="32"/>
        </w:rPr>
        <w:t>申请</w:t>
      </w:r>
      <w:r>
        <w:rPr>
          <w:rFonts w:hint="eastAsia" w:ascii="仿宋_GB2312" w:eastAsia="仿宋_GB2312"/>
          <w:sz w:val="32"/>
          <w:szCs w:val="32"/>
        </w:rPr>
        <w:t>购置办公用房资助的，提供</w:t>
      </w:r>
      <w:r>
        <w:rPr>
          <w:rFonts w:hint="eastAsia" w:ascii="仿宋_GB2312" w:eastAsia="仿宋_GB2312" w:cs="宋体"/>
          <w:sz w:val="32"/>
          <w:szCs w:val="32"/>
        </w:rPr>
        <w:t>购买商品办公用房的购买</w:t>
      </w:r>
      <w:r>
        <w:rPr>
          <w:rFonts w:hint="eastAsia" w:ascii="仿宋_GB2312" w:eastAsia="仿宋_GB2312"/>
          <w:sz w:val="32"/>
          <w:szCs w:val="32"/>
        </w:rPr>
        <w:t>合同、</w:t>
      </w:r>
      <w:r>
        <w:rPr>
          <w:rFonts w:hint="eastAsia" w:ascii="仿宋_GB2312" w:eastAsia="仿宋_GB2312" w:cs="宋体"/>
          <w:sz w:val="32"/>
          <w:szCs w:val="32"/>
        </w:rPr>
        <w:t>房屋所有权证以及相关付款凭证、发票（</w:t>
      </w:r>
      <w:r>
        <w:rPr>
          <w:rFonts w:hint="eastAsia" w:ascii="仿宋_GB2312" w:hAnsi="仿宋_GB2312" w:eastAsia="仿宋_GB2312"/>
          <w:sz w:val="32"/>
          <w:szCs w:val="32"/>
        </w:rPr>
        <w:t>网上提交资料要求：原件彩色扫描上传</w:t>
      </w:r>
      <w:r>
        <w:rPr>
          <w:rFonts w:hint="eastAsia" w:ascii="仿宋_GB2312" w:eastAsia="仿宋_GB2312"/>
          <w:sz w:val="32"/>
          <w:szCs w:val="32"/>
        </w:rPr>
        <w:t>）</w:t>
      </w:r>
      <w:r>
        <w:rPr>
          <w:rFonts w:hint="eastAsia" w:ascii="仿宋_GB2312" w:eastAsia="仿宋_GB2312" w:cs="宋体"/>
          <w:sz w:val="32"/>
          <w:szCs w:val="32"/>
        </w:rPr>
        <w:t>；</w:t>
      </w:r>
    </w:p>
    <w:p w14:paraId="56C03C4C">
      <w:pPr>
        <w:spacing w:line="580" w:lineRule="exact"/>
        <w:ind w:firstLine="640" w:firstLineChars="200"/>
        <w:rPr>
          <w:rFonts w:ascii="仿宋_GB2312" w:eastAsia="仿宋_GB2312"/>
          <w:sz w:val="32"/>
          <w:szCs w:val="32"/>
        </w:rPr>
      </w:pPr>
      <w:r>
        <w:rPr>
          <w:rFonts w:hint="eastAsia" w:ascii="仿宋_GB2312" w:eastAsia="仿宋_GB2312" w:cs="宋体"/>
          <w:sz w:val="32"/>
          <w:szCs w:val="32"/>
        </w:rPr>
        <w:t>（七）申请</w:t>
      </w:r>
      <w:r>
        <w:rPr>
          <w:rFonts w:hint="eastAsia" w:ascii="仿宋_GB2312" w:eastAsia="仿宋_GB2312"/>
          <w:sz w:val="32"/>
          <w:szCs w:val="32"/>
        </w:rPr>
        <w:t>租赁办公用房资助的，提供租赁商品办公用房书面合同及</w:t>
      </w:r>
      <w:r>
        <w:rPr>
          <w:rFonts w:hint="eastAsia" w:ascii="仿宋_GB2312" w:eastAsia="仿宋_GB2312" w:cs="宋体"/>
          <w:sz w:val="32"/>
          <w:szCs w:val="32"/>
        </w:rPr>
        <w:t>相关付款凭证、发票，填报</w:t>
      </w:r>
      <w:r>
        <w:rPr>
          <w:rFonts w:hint="eastAsia" w:ascii="仿宋_GB2312" w:eastAsia="仿宋_GB2312"/>
          <w:sz w:val="32"/>
          <w:szCs w:val="32"/>
        </w:rPr>
        <w:t>租赁办公用房信息明细表（格式参见附件</w:t>
      </w:r>
      <w:r>
        <w:rPr>
          <w:rFonts w:ascii="仿宋_GB2312" w:eastAsia="仿宋_GB2312"/>
          <w:sz w:val="32"/>
          <w:szCs w:val="32"/>
        </w:rPr>
        <w:t>1</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hAnsi="仿宋_GB2312" w:eastAsia="仿宋_GB2312"/>
          <w:sz w:val="32"/>
          <w:szCs w:val="32"/>
        </w:rPr>
        <w:t>网上提交资料要求：原件彩色扫描上传</w:t>
      </w:r>
      <w:r>
        <w:rPr>
          <w:rFonts w:hint="eastAsia" w:ascii="仿宋_GB2312" w:eastAsia="仿宋_GB2312"/>
          <w:sz w:val="32"/>
          <w:szCs w:val="32"/>
          <w:lang w:eastAsia="zh-CN"/>
        </w:rPr>
        <w:t>）</w:t>
      </w:r>
      <w:r>
        <w:rPr>
          <w:rFonts w:hint="eastAsia" w:ascii="仿宋_GB2312" w:eastAsia="仿宋_GB2312"/>
          <w:sz w:val="32"/>
          <w:szCs w:val="32"/>
        </w:rPr>
        <w:t>；</w:t>
      </w:r>
    </w:p>
    <w:p w14:paraId="13045E4A">
      <w:pPr>
        <w:widowControl/>
        <w:spacing w:line="580" w:lineRule="exact"/>
        <w:ind w:firstLine="640" w:firstLineChars="200"/>
        <w:rPr>
          <w:rFonts w:ascii="仿宋_GB2312" w:eastAsia="仿宋_GB2312"/>
          <w:sz w:val="32"/>
          <w:szCs w:val="32"/>
        </w:rPr>
      </w:pPr>
      <w:r>
        <w:rPr>
          <w:rFonts w:hint="eastAsia" w:ascii="仿宋_GB2312" w:eastAsia="仿宋_GB2312"/>
          <w:sz w:val="32"/>
          <w:szCs w:val="32"/>
        </w:rPr>
        <w:t>（八）审核部门认为需要提供的其它材料。</w:t>
      </w:r>
    </w:p>
    <w:p w14:paraId="58C71BFC">
      <w:pPr>
        <w:widowControl/>
        <w:spacing w:line="580" w:lineRule="exact"/>
        <w:ind w:firstLine="640" w:firstLineChars="200"/>
        <w:rPr>
          <w:rFonts w:ascii="仿宋_GB2312" w:eastAsia="仿宋_GB2312"/>
          <w:sz w:val="32"/>
          <w:szCs w:val="32"/>
        </w:rPr>
      </w:pPr>
      <w:r>
        <w:rPr>
          <w:rFonts w:hint="eastAsia" w:ascii="仿宋_GB2312" w:eastAsia="仿宋_GB2312"/>
          <w:color w:val="000000"/>
          <w:sz w:val="32"/>
          <w:szCs w:val="32"/>
        </w:rPr>
        <w:t>说明：以上材料按照要求在线填写或采用附件形式在线提交。</w:t>
      </w:r>
    </w:p>
    <w:p w14:paraId="2E9BA69A">
      <w:pPr>
        <w:widowControl/>
        <w:spacing w:line="580" w:lineRule="exact"/>
        <w:ind w:firstLine="640" w:firstLineChars="200"/>
        <w:rPr>
          <w:rFonts w:ascii="黑体" w:eastAsia="黑体"/>
          <w:color w:val="000000"/>
          <w:sz w:val="32"/>
          <w:szCs w:val="32"/>
        </w:rPr>
      </w:pPr>
      <w:r>
        <w:rPr>
          <w:rFonts w:hint="eastAsia" w:ascii="黑体" w:eastAsia="黑体"/>
          <w:color w:val="000000"/>
          <w:sz w:val="32"/>
          <w:szCs w:val="32"/>
        </w:rPr>
        <w:t>七、时限要求</w:t>
      </w:r>
    </w:p>
    <w:p w14:paraId="5D8C8CF3">
      <w:pPr>
        <w:widowControl/>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区</w:t>
      </w:r>
      <w:r>
        <w:rPr>
          <w:rFonts w:hint="eastAsia" w:ascii="仿宋_GB2312" w:eastAsia="仿宋_GB2312"/>
          <w:color w:val="000000"/>
          <w:sz w:val="32"/>
          <w:szCs w:val="32"/>
          <w:lang w:eastAsia="zh-CN"/>
        </w:rPr>
        <w:t>金融发展服务中心</w:t>
      </w:r>
      <w:r>
        <w:rPr>
          <w:rFonts w:hint="eastAsia" w:ascii="仿宋_GB2312" w:eastAsia="仿宋_GB2312"/>
          <w:color w:val="000000"/>
          <w:sz w:val="32"/>
          <w:szCs w:val="32"/>
        </w:rPr>
        <w:t>每年安排1-2次集中受理企业申请（具体时间以发布的申报通知为准），获得专项资金资助的单位应于资金计划下达后一个月内，持相关资料办理拨款手续，逾期不办理者视为自动放弃。</w:t>
      </w:r>
    </w:p>
    <w:p w14:paraId="22225973">
      <w:pPr>
        <w:widowControl/>
        <w:spacing w:line="580" w:lineRule="exact"/>
        <w:ind w:firstLine="640" w:firstLineChars="200"/>
        <w:rPr>
          <w:rFonts w:ascii="黑体" w:eastAsia="黑体"/>
          <w:color w:val="000000"/>
          <w:sz w:val="32"/>
          <w:szCs w:val="32"/>
        </w:rPr>
      </w:pPr>
      <w:r>
        <w:rPr>
          <w:rFonts w:hint="eastAsia" w:ascii="黑体" w:eastAsia="黑体"/>
          <w:color w:val="000000"/>
          <w:sz w:val="32"/>
          <w:szCs w:val="32"/>
        </w:rPr>
        <w:t>八、其他事项</w:t>
      </w:r>
    </w:p>
    <w:p w14:paraId="47A32AF9">
      <w:pPr>
        <w:widowControl/>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申请本项目资助的企业应保证其申报材料的完整性、真实性、准确性及合法性，并承担所提交项目申报材料的相关法律责任，如有虚假或侵权等行为，该项目申请无效，如事后发现存在以上行为，本资金主管部门将保留依法追究其法律责任的权利。</w:t>
      </w:r>
    </w:p>
    <w:p w14:paraId="79768CE8">
      <w:pPr>
        <w:widowControl/>
        <w:spacing w:line="580" w:lineRule="exact"/>
        <w:ind w:firstLine="640" w:firstLineChars="200"/>
        <w:rPr>
          <w:rFonts w:ascii="黑体" w:eastAsia="黑体"/>
          <w:sz w:val="32"/>
          <w:szCs w:val="32"/>
        </w:rPr>
      </w:pPr>
      <w:r>
        <w:rPr>
          <w:rFonts w:hint="eastAsia" w:ascii="黑体" w:eastAsia="黑体"/>
          <w:sz w:val="32"/>
          <w:szCs w:val="32"/>
        </w:rPr>
        <w:t>九、附则</w:t>
      </w:r>
    </w:p>
    <w:p w14:paraId="2C428FAA">
      <w:pPr>
        <w:spacing w:line="580" w:lineRule="exact"/>
        <w:ind w:firstLine="640" w:firstLineChars="200"/>
        <w:rPr>
          <w:rFonts w:ascii="仿宋_GB2312" w:eastAsia="仿宋_GB2312"/>
          <w:sz w:val="32"/>
          <w:szCs w:val="32"/>
        </w:rPr>
      </w:pPr>
      <w:r>
        <w:rPr>
          <w:rFonts w:hint="eastAsia" w:ascii="仿宋_GB2312" w:eastAsia="仿宋_GB2312"/>
          <w:sz w:val="32"/>
          <w:szCs w:val="32"/>
        </w:rPr>
        <w:t>本操作规程由</w:t>
      </w:r>
      <w:r>
        <w:rPr>
          <w:rFonts w:hint="eastAsia" w:ascii="仿宋_GB2312" w:hAnsi="仿宋" w:eastAsia="仿宋_GB2312" w:cs="宋体"/>
          <w:sz w:val="32"/>
          <w:szCs w:val="32"/>
        </w:rPr>
        <w:t>南山区</w:t>
      </w:r>
      <w:r>
        <w:rPr>
          <w:rFonts w:hint="eastAsia" w:ascii="仿宋_GB2312" w:hAnsi="仿宋" w:eastAsia="仿宋_GB2312" w:cs="宋体"/>
          <w:sz w:val="32"/>
          <w:szCs w:val="32"/>
          <w:lang w:eastAsia="zh-CN"/>
        </w:rPr>
        <w:t>金融发展服务中心</w:t>
      </w:r>
      <w:r>
        <w:rPr>
          <w:rFonts w:hint="eastAsia" w:ascii="仿宋_GB2312" w:eastAsia="仿宋_GB2312"/>
          <w:sz w:val="32"/>
          <w:szCs w:val="32"/>
        </w:rPr>
        <w:t>负责解释，自发布之日起施行。</w:t>
      </w:r>
    </w:p>
    <w:p w14:paraId="4A8B1349">
      <w:pPr>
        <w:spacing w:line="580" w:lineRule="exact"/>
        <w:rPr>
          <w:rFonts w:ascii="仿宋_GB2312" w:eastAsia="仿宋_GB2312"/>
          <w:sz w:val="32"/>
          <w:szCs w:val="32"/>
        </w:rPr>
        <w:sectPr>
          <w:pgSz w:w="11906" w:h="16838"/>
          <w:pgMar w:top="1440" w:right="1559" w:bottom="1440" w:left="1400" w:header="851" w:footer="992" w:gutter="0"/>
          <w:cols w:space="720" w:num="1"/>
          <w:docGrid w:type="linesAndChars" w:linePitch="312" w:charSpace="0"/>
        </w:sectPr>
      </w:pPr>
    </w:p>
    <w:p w14:paraId="051D7593">
      <w:pPr>
        <w:spacing w:line="580" w:lineRule="exact"/>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z w:val="32"/>
          <w:szCs w:val="32"/>
        </w:rPr>
        <w:t>：</w:t>
      </w:r>
    </w:p>
    <w:p w14:paraId="129B8C72">
      <w:pPr>
        <w:spacing w:line="580" w:lineRule="exact"/>
        <w:jc w:val="center"/>
        <w:rPr>
          <w:rFonts w:ascii="黑体" w:eastAsia="黑体"/>
          <w:sz w:val="32"/>
          <w:szCs w:val="32"/>
        </w:rPr>
      </w:pPr>
      <w:r>
        <w:rPr>
          <w:rFonts w:hint="eastAsia" w:ascii="黑体" w:eastAsia="黑体"/>
          <w:sz w:val="32"/>
          <w:szCs w:val="32"/>
        </w:rPr>
        <w:t>租赁办公用房信息明细表</w:t>
      </w:r>
    </w:p>
    <w:tbl>
      <w:tblPr>
        <w:tblStyle w:val="6"/>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60"/>
        <w:gridCol w:w="540"/>
        <w:gridCol w:w="1620"/>
        <w:gridCol w:w="2160"/>
        <w:gridCol w:w="1980"/>
        <w:gridCol w:w="1800"/>
      </w:tblGrid>
      <w:tr w14:paraId="5251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gridSpan w:val="2"/>
            <w:vAlign w:val="center"/>
          </w:tcPr>
          <w:p w14:paraId="7E1A8FFE">
            <w:pPr>
              <w:snapToGrid w:val="0"/>
              <w:spacing w:line="240" w:lineRule="atLeast"/>
              <w:rPr>
                <w:rFonts w:ascii="黑体" w:eastAsia="黑体"/>
              </w:rPr>
            </w:pPr>
            <w:r>
              <w:rPr>
                <w:rFonts w:hint="eastAsia" w:ascii="黑体" w:eastAsia="黑体"/>
              </w:rPr>
              <w:t>合同名称</w:t>
            </w:r>
          </w:p>
        </w:tc>
        <w:tc>
          <w:tcPr>
            <w:tcW w:w="8100" w:type="dxa"/>
            <w:gridSpan w:val="5"/>
            <w:vAlign w:val="center"/>
          </w:tcPr>
          <w:p w14:paraId="77223808">
            <w:pPr>
              <w:snapToGrid w:val="0"/>
              <w:spacing w:line="240" w:lineRule="atLeast"/>
              <w:rPr>
                <w:rFonts w:ascii="黑体" w:eastAsia="黑体"/>
              </w:rPr>
            </w:pPr>
          </w:p>
        </w:tc>
      </w:tr>
      <w:tr w14:paraId="79AD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gridSpan w:val="2"/>
            <w:vAlign w:val="center"/>
          </w:tcPr>
          <w:p w14:paraId="6076BFD4">
            <w:pPr>
              <w:snapToGrid w:val="0"/>
              <w:spacing w:line="240" w:lineRule="atLeast"/>
              <w:rPr>
                <w:rFonts w:ascii="黑体" w:eastAsia="黑体"/>
              </w:rPr>
            </w:pPr>
            <w:r>
              <w:rPr>
                <w:rFonts w:hint="eastAsia" w:ascii="黑体" w:eastAsia="黑体"/>
              </w:rPr>
              <w:t>物业名称</w:t>
            </w:r>
          </w:p>
        </w:tc>
        <w:tc>
          <w:tcPr>
            <w:tcW w:w="8100" w:type="dxa"/>
            <w:gridSpan w:val="5"/>
            <w:vAlign w:val="center"/>
          </w:tcPr>
          <w:p w14:paraId="4787D584">
            <w:pPr>
              <w:snapToGrid w:val="0"/>
              <w:spacing w:line="240" w:lineRule="atLeast"/>
              <w:rPr>
                <w:rFonts w:ascii="黑体" w:eastAsia="黑体"/>
              </w:rPr>
            </w:pPr>
          </w:p>
        </w:tc>
      </w:tr>
      <w:tr w14:paraId="3E3D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gridSpan w:val="2"/>
            <w:vAlign w:val="center"/>
          </w:tcPr>
          <w:p w14:paraId="0781491B">
            <w:pPr>
              <w:snapToGrid w:val="0"/>
              <w:spacing w:line="240" w:lineRule="atLeast"/>
              <w:rPr>
                <w:rFonts w:ascii="黑体" w:eastAsia="黑体"/>
              </w:rPr>
            </w:pPr>
            <w:r>
              <w:rPr>
                <w:rFonts w:hint="eastAsia" w:ascii="黑体" w:eastAsia="黑体"/>
              </w:rPr>
              <w:t>物业地址</w:t>
            </w:r>
          </w:p>
        </w:tc>
        <w:tc>
          <w:tcPr>
            <w:tcW w:w="8100" w:type="dxa"/>
            <w:gridSpan w:val="5"/>
            <w:vAlign w:val="center"/>
          </w:tcPr>
          <w:p w14:paraId="409129F2">
            <w:pPr>
              <w:snapToGrid w:val="0"/>
              <w:spacing w:line="240" w:lineRule="atLeast"/>
              <w:rPr>
                <w:rFonts w:ascii="黑体" w:eastAsia="黑体"/>
              </w:rPr>
            </w:pPr>
          </w:p>
        </w:tc>
      </w:tr>
      <w:tr w14:paraId="207C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0" w:type="dxa"/>
            <w:gridSpan w:val="2"/>
            <w:vAlign w:val="center"/>
          </w:tcPr>
          <w:p w14:paraId="4D564A10">
            <w:pPr>
              <w:snapToGrid w:val="0"/>
              <w:spacing w:line="240" w:lineRule="atLeast"/>
              <w:rPr>
                <w:rFonts w:ascii="黑体" w:eastAsia="黑体"/>
              </w:rPr>
            </w:pPr>
            <w:r>
              <w:rPr>
                <w:rFonts w:hint="eastAsia" w:ascii="黑体" w:eastAsia="黑体"/>
              </w:rPr>
              <w:t>起租时间</w:t>
            </w:r>
          </w:p>
        </w:tc>
        <w:tc>
          <w:tcPr>
            <w:tcW w:w="4320" w:type="dxa"/>
            <w:gridSpan w:val="3"/>
            <w:vAlign w:val="center"/>
          </w:tcPr>
          <w:p w14:paraId="73DBB9A7">
            <w:pPr>
              <w:snapToGrid w:val="0"/>
              <w:spacing w:line="240" w:lineRule="atLeast"/>
              <w:rPr>
                <w:rFonts w:ascii="黑体" w:eastAsia="黑体"/>
              </w:rPr>
            </w:pP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tc>
        <w:tc>
          <w:tcPr>
            <w:tcW w:w="1980" w:type="dxa"/>
            <w:vAlign w:val="center"/>
          </w:tcPr>
          <w:p w14:paraId="178A0755">
            <w:pPr>
              <w:snapToGrid w:val="0"/>
              <w:spacing w:line="240" w:lineRule="atLeast"/>
              <w:rPr>
                <w:rFonts w:ascii="黑体" w:eastAsia="黑体"/>
              </w:rPr>
            </w:pPr>
            <w:r>
              <w:rPr>
                <w:rFonts w:hint="eastAsia" w:ascii="黑体" w:eastAsia="黑体"/>
              </w:rPr>
              <w:t>租赁面积</w:t>
            </w:r>
            <w:r>
              <w:rPr>
                <w:bCs/>
                <w:szCs w:val="21"/>
              </w:rPr>
              <w:t>( m</w:t>
            </w:r>
            <w:r>
              <w:rPr>
                <w:bCs/>
                <w:szCs w:val="21"/>
                <w:vertAlign w:val="superscript"/>
              </w:rPr>
              <w:t>2</w:t>
            </w:r>
            <w:r>
              <w:rPr>
                <w:bCs/>
                <w:szCs w:val="21"/>
              </w:rPr>
              <w:t>)</w:t>
            </w:r>
          </w:p>
        </w:tc>
        <w:tc>
          <w:tcPr>
            <w:tcW w:w="1800" w:type="dxa"/>
            <w:vAlign w:val="center"/>
          </w:tcPr>
          <w:p w14:paraId="5F6FFCB0">
            <w:pPr>
              <w:snapToGrid w:val="0"/>
              <w:spacing w:line="240" w:lineRule="atLeast"/>
              <w:rPr>
                <w:rFonts w:ascii="黑体" w:eastAsia="黑体"/>
              </w:rPr>
            </w:pPr>
          </w:p>
        </w:tc>
      </w:tr>
      <w:tr w14:paraId="4F06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20" w:type="dxa"/>
            <w:gridSpan w:val="3"/>
            <w:vAlign w:val="center"/>
          </w:tcPr>
          <w:p w14:paraId="70E9DCC0">
            <w:pPr>
              <w:snapToGrid w:val="0"/>
              <w:spacing w:line="240" w:lineRule="atLeast"/>
              <w:rPr>
                <w:rFonts w:ascii="黑体" w:eastAsia="黑体"/>
              </w:rPr>
            </w:pPr>
            <w:r>
              <w:rPr>
                <w:rFonts w:hint="eastAsia"/>
                <w:bCs/>
                <w:szCs w:val="21"/>
              </w:rPr>
              <w:t>申请资助时段</w:t>
            </w:r>
          </w:p>
        </w:tc>
        <w:tc>
          <w:tcPr>
            <w:tcW w:w="3780" w:type="dxa"/>
            <w:gridSpan w:val="2"/>
            <w:vAlign w:val="center"/>
          </w:tcPr>
          <w:p w14:paraId="7285DA78">
            <w:pPr>
              <w:snapToGrid w:val="0"/>
              <w:spacing w:line="240" w:lineRule="atLeast"/>
              <w:rPr>
                <w:rFonts w:ascii="黑体" w:eastAsia="黑体"/>
              </w:rPr>
            </w:pP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日至</w:t>
            </w: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tc>
        <w:tc>
          <w:tcPr>
            <w:tcW w:w="1980" w:type="dxa"/>
            <w:vAlign w:val="center"/>
          </w:tcPr>
          <w:p w14:paraId="32DEC1DA">
            <w:pPr>
              <w:snapToGrid w:val="0"/>
              <w:spacing w:line="240" w:lineRule="atLeast"/>
              <w:rPr>
                <w:rFonts w:ascii="黑体" w:eastAsia="黑体"/>
              </w:rPr>
            </w:pPr>
            <w:r>
              <w:rPr>
                <w:rFonts w:hint="eastAsia"/>
                <w:bCs/>
                <w:szCs w:val="21"/>
              </w:rPr>
              <w:t>申请资助时段租金合计（元）</w:t>
            </w:r>
          </w:p>
        </w:tc>
        <w:tc>
          <w:tcPr>
            <w:tcW w:w="1800" w:type="dxa"/>
            <w:vAlign w:val="center"/>
          </w:tcPr>
          <w:p w14:paraId="496E6255">
            <w:pPr>
              <w:snapToGrid w:val="0"/>
              <w:spacing w:line="240" w:lineRule="atLeast"/>
              <w:rPr>
                <w:rFonts w:ascii="黑体" w:eastAsia="黑体"/>
              </w:rPr>
            </w:pPr>
          </w:p>
        </w:tc>
      </w:tr>
      <w:tr w14:paraId="3562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578D198B">
            <w:pPr>
              <w:snapToGrid w:val="0"/>
              <w:spacing w:line="240" w:lineRule="atLeast"/>
              <w:rPr>
                <w:rFonts w:ascii="黑体" w:eastAsia="黑体"/>
              </w:rPr>
            </w:pPr>
            <w:r>
              <w:rPr>
                <w:rFonts w:hint="eastAsia" w:ascii="黑体" w:eastAsia="黑体"/>
              </w:rPr>
              <w:t>序号</w:t>
            </w:r>
          </w:p>
        </w:tc>
        <w:tc>
          <w:tcPr>
            <w:tcW w:w="2520" w:type="dxa"/>
            <w:gridSpan w:val="3"/>
            <w:vAlign w:val="center"/>
          </w:tcPr>
          <w:p w14:paraId="0048E2D7">
            <w:pPr>
              <w:snapToGrid w:val="0"/>
              <w:spacing w:line="240" w:lineRule="atLeast"/>
              <w:rPr>
                <w:rFonts w:ascii="黑体" w:eastAsia="黑体"/>
              </w:rPr>
            </w:pPr>
            <w:r>
              <w:rPr>
                <w:rFonts w:hint="eastAsia" w:ascii="黑体" w:eastAsia="黑体"/>
              </w:rPr>
              <w:t>支付租金时段</w:t>
            </w:r>
          </w:p>
        </w:tc>
        <w:tc>
          <w:tcPr>
            <w:tcW w:w="2160" w:type="dxa"/>
            <w:vAlign w:val="center"/>
          </w:tcPr>
          <w:p w14:paraId="0EA9EDC9">
            <w:pPr>
              <w:snapToGrid w:val="0"/>
              <w:spacing w:line="240" w:lineRule="atLeast"/>
              <w:rPr>
                <w:rFonts w:ascii="黑体" w:eastAsia="黑体"/>
              </w:rPr>
            </w:pPr>
            <w:r>
              <w:rPr>
                <w:rFonts w:hint="eastAsia" w:ascii="黑体" w:eastAsia="黑体"/>
              </w:rPr>
              <w:t>发票时间</w:t>
            </w:r>
          </w:p>
        </w:tc>
        <w:tc>
          <w:tcPr>
            <w:tcW w:w="1980" w:type="dxa"/>
            <w:vAlign w:val="center"/>
          </w:tcPr>
          <w:p w14:paraId="4A0F333F">
            <w:pPr>
              <w:snapToGrid w:val="0"/>
              <w:spacing w:line="240" w:lineRule="atLeast"/>
              <w:rPr>
                <w:rFonts w:ascii="黑体" w:eastAsia="黑体"/>
              </w:rPr>
            </w:pPr>
            <w:r>
              <w:rPr>
                <w:rFonts w:hint="eastAsia" w:ascii="黑体" w:eastAsia="黑体"/>
              </w:rPr>
              <w:t>发票号</w:t>
            </w:r>
          </w:p>
        </w:tc>
        <w:tc>
          <w:tcPr>
            <w:tcW w:w="1800" w:type="dxa"/>
            <w:vAlign w:val="center"/>
          </w:tcPr>
          <w:p w14:paraId="3BF841F4">
            <w:pPr>
              <w:snapToGrid w:val="0"/>
              <w:spacing w:line="240" w:lineRule="atLeast"/>
              <w:rPr>
                <w:rFonts w:ascii="黑体" w:eastAsia="黑体"/>
              </w:rPr>
            </w:pPr>
            <w:r>
              <w:rPr>
                <w:rFonts w:hint="eastAsia" w:ascii="黑体" w:eastAsia="黑体"/>
              </w:rPr>
              <w:t>发票金额</w:t>
            </w:r>
          </w:p>
        </w:tc>
      </w:tr>
      <w:tr w14:paraId="31E4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43128503">
            <w:pPr>
              <w:snapToGrid w:val="0"/>
              <w:spacing w:line="240" w:lineRule="atLeast"/>
            </w:pPr>
          </w:p>
        </w:tc>
        <w:tc>
          <w:tcPr>
            <w:tcW w:w="2520" w:type="dxa"/>
            <w:gridSpan w:val="3"/>
            <w:vAlign w:val="center"/>
          </w:tcPr>
          <w:p w14:paraId="0A3D284A">
            <w:pPr>
              <w:snapToGrid w:val="0"/>
              <w:spacing w:line="240" w:lineRule="atLeast"/>
            </w:pPr>
          </w:p>
        </w:tc>
        <w:tc>
          <w:tcPr>
            <w:tcW w:w="2160" w:type="dxa"/>
            <w:vAlign w:val="center"/>
          </w:tcPr>
          <w:p w14:paraId="29107DAE">
            <w:pPr>
              <w:snapToGrid w:val="0"/>
              <w:spacing w:line="240" w:lineRule="atLeast"/>
            </w:pPr>
          </w:p>
        </w:tc>
        <w:tc>
          <w:tcPr>
            <w:tcW w:w="1980" w:type="dxa"/>
            <w:vAlign w:val="center"/>
          </w:tcPr>
          <w:p w14:paraId="26C5B854">
            <w:pPr>
              <w:snapToGrid w:val="0"/>
              <w:spacing w:line="240" w:lineRule="atLeast"/>
            </w:pPr>
          </w:p>
        </w:tc>
        <w:tc>
          <w:tcPr>
            <w:tcW w:w="1800" w:type="dxa"/>
            <w:vAlign w:val="center"/>
          </w:tcPr>
          <w:p w14:paraId="631C69EE">
            <w:pPr>
              <w:snapToGrid w:val="0"/>
              <w:spacing w:line="240" w:lineRule="atLeast"/>
            </w:pPr>
          </w:p>
        </w:tc>
      </w:tr>
      <w:tr w14:paraId="4778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02256EFD">
            <w:pPr>
              <w:snapToGrid w:val="0"/>
              <w:spacing w:line="240" w:lineRule="atLeast"/>
            </w:pPr>
          </w:p>
        </w:tc>
        <w:tc>
          <w:tcPr>
            <w:tcW w:w="2520" w:type="dxa"/>
            <w:gridSpan w:val="3"/>
            <w:vAlign w:val="center"/>
          </w:tcPr>
          <w:p w14:paraId="045E2267">
            <w:pPr>
              <w:snapToGrid w:val="0"/>
              <w:spacing w:line="240" w:lineRule="atLeast"/>
            </w:pPr>
          </w:p>
        </w:tc>
        <w:tc>
          <w:tcPr>
            <w:tcW w:w="2160" w:type="dxa"/>
            <w:vAlign w:val="center"/>
          </w:tcPr>
          <w:p w14:paraId="199E5440">
            <w:pPr>
              <w:snapToGrid w:val="0"/>
              <w:spacing w:line="240" w:lineRule="atLeast"/>
            </w:pPr>
          </w:p>
        </w:tc>
        <w:tc>
          <w:tcPr>
            <w:tcW w:w="1980" w:type="dxa"/>
            <w:vAlign w:val="center"/>
          </w:tcPr>
          <w:p w14:paraId="3215CF74">
            <w:pPr>
              <w:snapToGrid w:val="0"/>
              <w:spacing w:line="240" w:lineRule="atLeast"/>
            </w:pPr>
          </w:p>
        </w:tc>
        <w:tc>
          <w:tcPr>
            <w:tcW w:w="1800" w:type="dxa"/>
            <w:vAlign w:val="center"/>
          </w:tcPr>
          <w:p w14:paraId="71431F20">
            <w:pPr>
              <w:snapToGrid w:val="0"/>
              <w:spacing w:line="240" w:lineRule="atLeast"/>
            </w:pPr>
          </w:p>
        </w:tc>
      </w:tr>
      <w:tr w14:paraId="5EF22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1ED45C28">
            <w:pPr>
              <w:snapToGrid w:val="0"/>
              <w:spacing w:line="240" w:lineRule="atLeast"/>
            </w:pPr>
          </w:p>
        </w:tc>
        <w:tc>
          <w:tcPr>
            <w:tcW w:w="2520" w:type="dxa"/>
            <w:gridSpan w:val="3"/>
            <w:vAlign w:val="center"/>
          </w:tcPr>
          <w:p w14:paraId="04D0F61A">
            <w:pPr>
              <w:snapToGrid w:val="0"/>
              <w:spacing w:line="240" w:lineRule="atLeast"/>
            </w:pPr>
          </w:p>
        </w:tc>
        <w:tc>
          <w:tcPr>
            <w:tcW w:w="2160" w:type="dxa"/>
            <w:vAlign w:val="center"/>
          </w:tcPr>
          <w:p w14:paraId="2740F9E7">
            <w:pPr>
              <w:snapToGrid w:val="0"/>
              <w:spacing w:line="240" w:lineRule="atLeast"/>
            </w:pPr>
          </w:p>
        </w:tc>
        <w:tc>
          <w:tcPr>
            <w:tcW w:w="1980" w:type="dxa"/>
            <w:vAlign w:val="center"/>
          </w:tcPr>
          <w:p w14:paraId="18FF0841">
            <w:pPr>
              <w:snapToGrid w:val="0"/>
              <w:spacing w:line="240" w:lineRule="atLeast"/>
            </w:pPr>
          </w:p>
        </w:tc>
        <w:tc>
          <w:tcPr>
            <w:tcW w:w="1800" w:type="dxa"/>
            <w:vAlign w:val="center"/>
          </w:tcPr>
          <w:p w14:paraId="5698BC96">
            <w:pPr>
              <w:snapToGrid w:val="0"/>
              <w:spacing w:line="240" w:lineRule="atLeast"/>
            </w:pPr>
          </w:p>
        </w:tc>
      </w:tr>
      <w:tr w14:paraId="5E68A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1725B05F">
            <w:pPr>
              <w:snapToGrid w:val="0"/>
              <w:spacing w:line="240" w:lineRule="atLeast"/>
            </w:pPr>
          </w:p>
        </w:tc>
        <w:tc>
          <w:tcPr>
            <w:tcW w:w="2520" w:type="dxa"/>
            <w:gridSpan w:val="3"/>
            <w:vAlign w:val="center"/>
          </w:tcPr>
          <w:p w14:paraId="28B896A1">
            <w:pPr>
              <w:snapToGrid w:val="0"/>
              <w:spacing w:line="240" w:lineRule="atLeast"/>
            </w:pPr>
          </w:p>
        </w:tc>
        <w:tc>
          <w:tcPr>
            <w:tcW w:w="2160" w:type="dxa"/>
            <w:vAlign w:val="center"/>
          </w:tcPr>
          <w:p w14:paraId="23906C26">
            <w:pPr>
              <w:snapToGrid w:val="0"/>
              <w:spacing w:line="240" w:lineRule="atLeast"/>
            </w:pPr>
          </w:p>
        </w:tc>
        <w:tc>
          <w:tcPr>
            <w:tcW w:w="1980" w:type="dxa"/>
            <w:vAlign w:val="center"/>
          </w:tcPr>
          <w:p w14:paraId="0067A86B">
            <w:pPr>
              <w:snapToGrid w:val="0"/>
              <w:spacing w:line="240" w:lineRule="atLeast"/>
            </w:pPr>
          </w:p>
        </w:tc>
        <w:tc>
          <w:tcPr>
            <w:tcW w:w="1800" w:type="dxa"/>
            <w:vAlign w:val="center"/>
          </w:tcPr>
          <w:p w14:paraId="1D42CAB3">
            <w:pPr>
              <w:snapToGrid w:val="0"/>
              <w:spacing w:line="240" w:lineRule="atLeast"/>
            </w:pPr>
          </w:p>
        </w:tc>
      </w:tr>
      <w:tr w14:paraId="7423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621525F1">
            <w:pPr>
              <w:snapToGrid w:val="0"/>
              <w:spacing w:line="240" w:lineRule="atLeast"/>
            </w:pPr>
          </w:p>
        </w:tc>
        <w:tc>
          <w:tcPr>
            <w:tcW w:w="2520" w:type="dxa"/>
            <w:gridSpan w:val="3"/>
            <w:vAlign w:val="center"/>
          </w:tcPr>
          <w:p w14:paraId="51B7E6F6">
            <w:pPr>
              <w:snapToGrid w:val="0"/>
              <w:spacing w:line="240" w:lineRule="atLeast"/>
            </w:pPr>
          </w:p>
        </w:tc>
        <w:tc>
          <w:tcPr>
            <w:tcW w:w="2160" w:type="dxa"/>
            <w:vAlign w:val="center"/>
          </w:tcPr>
          <w:p w14:paraId="52193F44">
            <w:pPr>
              <w:snapToGrid w:val="0"/>
              <w:spacing w:line="240" w:lineRule="atLeast"/>
            </w:pPr>
          </w:p>
        </w:tc>
        <w:tc>
          <w:tcPr>
            <w:tcW w:w="1980" w:type="dxa"/>
            <w:vAlign w:val="center"/>
          </w:tcPr>
          <w:p w14:paraId="736E6F24">
            <w:pPr>
              <w:snapToGrid w:val="0"/>
              <w:spacing w:line="240" w:lineRule="atLeast"/>
            </w:pPr>
          </w:p>
        </w:tc>
        <w:tc>
          <w:tcPr>
            <w:tcW w:w="1800" w:type="dxa"/>
            <w:vAlign w:val="center"/>
          </w:tcPr>
          <w:p w14:paraId="44B4D1D2">
            <w:pPr>
              <w:snapToGrid w:val="0"/>
              <w:spacing w:line="240" w:lineRule="atLeast"/>
            </w:pPr>
          </w:p>
        </w:tc>
      </w:tr>
      <w:tr w14:paraId="0E18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50E852EB">
            <w:pPr>
              <w:snapToGrid w:val="0"/>
              <w:spacing w:line="240" w:lineRule="atLeast"/>
            </w:pPr>
          </w:p>
        </w:tc>
        <w:tc>
          <w:tcPr>
            <w:tcW w:w="2520" w:type="dxa"/>
            <w:gridSpan w:val="3"/>
            <w:vAlign w:val="center"/>
          </w:tcPr>
          <w:p w14:paraId="00A88B0F">
            <w:pPr>
              <w:snapToGrid w:val="0"/>
              <w:spacing w:line="240" w:lineRule="atLeast"/>
            </w:pPr>
          </w:p>
        </w:tc>
        <w:tc>
          <w:tcPr>
            <w:tcW w:w="2160" w:type="dxa"/>
            <w:vAlign w:val="center"/>
          </w:tcPr>
          <w:p w14:paraId="48E28978">
            <w:pPr>
              <w:snapToGrid w:val="0"/>
              <w:spacing w:line="240" w:lineRule="atLeast"/>
            </w:pPr>
          </w:p>
        </w:tc>
        <w:tc>
          <w:tcPr>
            <w:tcW w:w="1980" w:type="dxa"/>
            <w:vAlign w:val="center"/>
          </w:tcPr>
          <w:p w14:paraId="2F4973CB">
            <w:pPr>
              <w:snapToGrid w:val="0"/>
              <w:spacing w:line="240" w:lineRule="atLeast"/>
            </w:pPr>
          </w:p>
        </w:tc>
        <w:tc>
          <w:tcPr>
            <w:tcW w:w="1800" w:type="dxa"/>
            <w:vAlign w:val="center"/>
          </w:tcPr>
          <w:p w14:paraId="75BFFFF8">
            <w:pPr>
              <w:snapToGrid w:val="0"/>
              <w:spacing w:line="240" w:lineRule="atLeast"/>
            </w:pPr>
          </w:p>
        </w:tc>
      </w:tr>
      <w:tr w14:paraId="1247E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30C2CA10">
            <w:pPr>
              <w:snapToGrid w:val="0"/>
              <w:spacing w:line="240" w:lineRule="atLeast"/>
            </w:pPr>
          </w:p>
        </w:tc>
        <w:tc>
          <w:tcPr>
            <w:tcW w:w="2520" w:type="dxa"/>
            <w:gridSpan w:val="3"/>
            <w:vAlign w:val="center"/>
          </w:tcPr>
          <w:p w14:paraId="7EBC899C">
            <w:pPr>
              <w:snapToGrid w:val="0"/>
              <w:spacing w:line="240" w:lineRule="atLeast"/>
            </w:pPr>
          </w:p>
        </w:tc>
        <w:tc>
          <w:tcPr>
            <w:tcW w:w="2160" w:type="dxa"/>
            <w:vAlign w:val="center"/>
          </w:tcPr>
          <w:p w14:paraId="4DAFF15F">
            <w:pPr>
              <w:snapToGrid w:val="0"/>
              <w:spacing w:line="240" w:lineRule="atLeast"/>
            </w:pPr>
          </w:p>
        </w:tc>
        <w:tc>
          <w:tcPr>
            <w:tcW w:w="1980" w:type="dxa"/>
            <w:vAlign w:val="center"/>
          </w:tcPr>
          <w:p w14:paraId="65F628A9">
            <w:pPr>
              <w:snapToGrid w:val="0"/>
              <w:spacing w:line="240" w:lineRule="atLeast"/>
            </w:pPr>
          </w:p>
        </w:tc>
        <w:tc>
          <w:tcPr>
            <w:tcW w:w="1800" w:type="dxa"/>
            <w:vAlign w:val="center"/>
          </w:tcPr>
          <w:p w14:paraId="4E442EB8">
            <w:pPr>
              <w:snapToGrid w:val="0"/>
              <w:spacing w:line="240" w:lineRule="atLeast"/>
            </w:pPr>
          </w:p>
        </w:tc>
      </w:tr>
      <w:tr w14:paraId="016C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17F7331A">
            <w:pPr>
              <w:snapToGrid w:val="0"/>
              <w:spacing w:line="240" w:lineRule="atLeast"/>
            </w:pPr>
          </w:p>
        </w:tc>
        <w:tc>
          <w:tcPr>
            <w:tcW w:w="2520" w:type="dxa"/>
            <w:gridSpan w:val="3"/>
            <w:vAlign w:val="center"/>
          </w:tcPr>
          <w:p w14:paraId="1AEB1016">
            <w:pPr>
              <w:snapToGrid w:val="0"/>
              <w:spacing w:line="240" w:lineRule="atLeast"/>
            </w:pPr>
          </w:p>
        </w:tc>
        <w:tc>
          <w:tcPr>
            <w:tcW w:w="2160" w:type="dxa"/>
            <w:vAlign w:val="center"/>
          </w:tcPr>
          <w:p w14:paraId="4347FAB5">
            <w:pPr>
              <w:snapToGrid w:val="0"/>
              <w:spacing w:line="240" w:lineRule="atLeast"/>
            </w:pPr>
          </w:p>
        </w:tc>
        <w:tc>
          <w:tcPr>
            <w:tcW w:w="1980" w:type="dxa"/>
            <w:vAlign w:val="center"/>
          </w:tcPr>
          <w:p w14:paraId="37AC11A2">
            <w:pPr>
              <w:snapToGrid w:val="0"/>
              <w:spacing w:line="240" w:lineRule="atLeast"/>
            </w:pPr>
          </w:p>
        </w:tc>
        <w:tc>
          <w:tcPr>
            <w:tcW w:w="1800" w:type="dxa"/>
            <w:vAlign w:val="center"/>
          </w:tcPr>
          <w:p w14:paraId="56144A92">
            <w:pPr>
              <w:snapToGrid w:val="0"/>
              <w:spacing w:line="240" w:lineRule="atLeast"/>
            </w:pPr>
          </w:p>
        </w:tc>
      </w:tr>
      <w:tr w14:paraId="6566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5A32A7FD">
            <w:pPr>
              <w:snapToGrid w:val="0"/>
              <w:spacing w:line="240" w:lineRule="atLeast"/>
            </w:pPr>
          </w:p>
        </w:tc>
        <w:tc>
          <w:tcPr>
            <w:tcW w:w="2520" w:type="dxa"/>
            <w:gridSpan w:val="3"/>
            <w:vAlign w:val="center"/>
          </w:tcPr>
          <w:p w14:paraId="59B5E3B7">
            <w:pPr>
              <w:snapToGrid w:val="0"/>
              <w:spacing w:line="240" w:lineRule="atLeast"/>
            </w:pPr>
          </w:p>
        </w:tc>
        <w:tc>
          <w:tcPr>
            <w:tcW w:w="2160" w:type="dxa"/>
            <w:vAlign w:val="center"/>
          </w:tcPr>
          <w:p w14:paraId="1D3A6051">
            <w:pPr>
              <w:snapToGrid w:val="0"/>
              <w:spacing w:line="240" w:lineRule="atLeast"/>
            </w:pPr>
          </w:p>
        </w:tc>
        <w:tc>
          <w:tcPr>
            <w:tcW w:w="1980" w:type="dxa"/>
            <w:vAlign w:val="center"/>
          </w:tcPr>
          <w:p w14:paraId="3D52CF7B">
            <w:pPr>
              <w:snapToGrid w:val="0"/>
              <w:spacing w:line="240" w:lineRule="atLeast"/>
            </w:pPr>
          </w:p>
        </w:tc>
        <w:tc>
          <w:tcPr>
            <w:tcW w:w="1800" w:type="dxa"/>
            <w:vAlign w:val="center"/>
          </w:tcPr>
          <w:p w14:paraId="328EC386">
            <w:pPr>
              <w:snapToGrid w:val="0"/>
              <w:spacing w:line="240" w:lineRule="atLeast"/>
            </w:pPr>
          </w:p>
        </w:tc>
      </w:tr>
      <w:tr w14:paraId="2E7E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71F19CF9">
            <w:pPr>
              <w:snapToGrid w:val="0"/>
              <w:spacing w:line="240" w:lineRule="atLeast"/>
            </w:pPr>
          </w:p>
        </w:tc>
        <w:tc>
          <w:tcPr>
            <w:tcW w:w="2520" w:type="dxa"/>
            <w:gridSpan w:val="3"/>
            <w:vAlign w:val="center"/>
          </w:tcPr>
          <w:p w14:paraId="21C4038D">
            <w:pPr>
              <w:snapToGrid w:val="0"/>
              <w:spacing w:line="240" w:lineRule="atLeast"/>
            </w:pPr>
          </w:p>
        </w:tc>
        <w:tc>
          <w:tcPr>
            <w:tcW w:w="2160" w:type="dxa"/>
            <w:vAlign w:val="center"/>
          </w:tcPr>
          <w:p w14:paraId="46B4B67B">
            <w:pPr>
              <w:snapToGrid w:val="0"/>
              <w:spacing w:line="240" w:lineRule="atLeast"/>
            </w:pPr>
          </w:p>
        </w:tc>
        <w:tc>
          <w:tcPr>
            <w:tcW w:w="1980" w:type="dxa"/>
            <w:vAlign w:val="center"/>
          </w:tcPr>
          <w:p w14:paraId="3C6BA57F">
            <w:pPr>
              <w:snapToGrid w:val="0"/>
              <w:spacing w:line="240" w:lineRule="atLeast"/>
            </w:pPr>
          </w:p>
        </w:tc>
        <w:tc>
          <w:tcPr>
            <w:tcW w:w="1800" w:type="dxa"/>
            <w:vAlign w:val="center"/>
          </w:tcPr>
          <w:p w14:paraId="76965FA5">
            <w:pPr>
              <w:snapToGrid w:val="0"/>
              <w:spacing w:line="240" w:lineRule="atLeast"/>
            </w:pPr>
          </w:p>
        </w:tc>
      </w:tr>
      <w:tr w14:paraId="3129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6631C324">
            <w:pPr>
              <w:snapToGrid w:val="0"/>
              <w:spacing w:line="240" w:lineRule="atLeast"/>
            </w:pPr>
          </w:p>
        </w:tc>
        <w:tc>
          <w:tcPr>
            <w:tcW w:w="2520" w:type="dxa"/>
            <w:gridSpan w:val="3"/>
            <w:vAlign w:val="center"/>
          </w:tcPr>
          <w:p w14:paraId="122F7BBD">
            <w:pPr>
              <w:snapToGrid w:val="0"/>
              <w:spacing w:line="240" w:lineRule="atLeast"/>
            </w:pPr>
          </w:p>
        </w:tc>
        <w:tc>
          <w:tcPr>
            <w:tcW w:w="2160" w:type="dxa"/>
            <w:vAlign w:val="center"/>
          </w:tcPr>
          <w:p w14:paraId="7D5DBFAF">
            <w:pPr>
              <w:snapToGrid w:val="0"/>
              <w:spacing w:line="240" w:lineRule="atLeast"/>
            </w:pPr>
          </w:p>
        </w:tc>
        <w:tc>
          <w:tcPr>
            <w:tcW w:w="1980" w:type="dxa"/>
            <w:vAlign w:val="center"/>
          </w:tcPr>
          <w:p w14:paraId="0A94361B">
            <w:pPr>
              <w:snapToGrid w:val="0"/>
              <w:spacing w:line="240" w:lineRule="atLeast"/>
            </w:pPr>
          </w:p>
        </w:tc>
        <w:tc>
          <w:tcPr>
            <w:tcW w:w="1800" w:type="dxa"/>
            <w:vAlign w:val="center"/>
          </w:tcPr>
          <w:p w14:paraId="66EF1318">
            <w:pPr>
              <w:snapToGrid w:val="0"/>
              <w:spacing w:line="240" w:lineRule="atLeast"/>
            </w:pPr>
          </w:p>
        </w:tc>
      </w:tr>
      <w:tr w14:paraId="1E2F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vAlign w:val="center"/>
          </w:tcPr>
          <w:p w14:paraId="3C8566B6">
            <w:pPr>
              <w:snapToGrid w:val="0"/>
              <w:spacing w:line="240" w:lineRule="atLeast"/>
            </w:pPr>
          </w:p>
        </w:tc>
        <w:tc>
          <w:tcPr>
            <w:tcW w:w="2520" w:type="dxa"/>
            <w:gridSpan w:val="3"/>
            <w:vAlign w:val="center"/>
          </w:tcPr>
          <w:p w14:paraId="55712F2A">
            <w:pPr>
              <w:snapToGrid w:val="0"/>
              <w:spacing w:line="240" w:lineRule="atLeast"/>
            </w:pPr>
          </w:p>
        </w:tc>
        <w:tc>
          <w:tcPr>
            <w:tcW w:w="2160" w:type="dxa"/>
            <w:vAlign w:val="center"/>
          </w:tcPr>
          <w:p w14:paraId="026E37F8">
            <w:pPr>
              <w:snapToGrid w:val="0"/>
              <w:spacing w:line="240" w:lineRule="atLeast"/>
            </w:pPr>
          </w:p>
        </w:tc>
        <w:tc>
          <w:tcPr>
            <w:tcW w:w="1980" w:type="dxa"/>
            <w:vAlign w:val="center"/>
          </w:tcPr>
          <w:p w14:paraId="3381A635">
            <w:pPr>
              <w:snapToGrid w:val="0"/>
              <w:spacing w:line="240" w:lineRule="atLeast"/>
            </w:pPr>
          </w:p>
        </w:tc>
        <w:tc>
          <w:tcPr>
            <w:tcW w:w="1800" w:type="dxa"/>
            <w:vAlign w:val="center"/>
          </w:tcPr>
          <w:p w14:paraId="592AAD8F">
            <w:pPr>
              <w:snapToGrid w:val="0"/>
              <w:spacing w:line="240" w:lineRule="atLeast"/>
            </w:pPr>
          </w:p>
        </w:tc>
      </w:tr>
      <w:tr w14:paraId="0EE2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380" w:type="dxa"/>
            <w:gridSpan w:val="6"/>
          </w:tcPr>
          <w:p w14:paraId="6B2AF516">
            <w:pPr>
              <w:snapToGrid w:val="0"/>
              <w:spacing w:line="240" w:lineRule="atLeast"/>
              <w:jc w:val="center"/>
            </w:pPr>
            <w:r>
              <w:rPr>
                <w:rFonts w:hint="eastAsia"/>
              </w:rPr>
              <w:t>金额合计</w:t>
            </w:r>
          </w:p>
        </w:tc>
        <w:tc>
          <w:tcPr>
            <w:tcW w:w="1800" w:type="dxa"/>
          </w:tcPr>
          <w:p w14:paraId="510081CA">
            <w:pPr>
              <w:snapToGrid w:val="0"/>
              <w:spacing w:line="240" w:lineRule="atLeast"/>
            </w:pPr>
          </w:p>
        </w:tc>
      </w:tr>
    </w:tbl>
    <w:p w14:paraId="03467057">
      <w:pPr>
        <w:ind w:left="210" w:hanging="210" w:hangingChars="100"/>
      </w:pPr>
      <w:r>
        <w:rPr>
          <w:rFonts w:hint="eastAsia" w:ascii="宋体" w:hAnsi="宋体"/>
          <w:szCs w:val="21"/>
        </w:rPr>
        <w:t>说明：</w:t>
      </w:r>
      <w:r>
        <w:rPr>
          <w:rFonts w:ascii="宋体" w:hAnsi="宋体"/>
          <w:szCs w:val="21"/>
        </w:rPr>
        <w:t>1</w:t>
      </w:r>
      <w:r>
        <w:rPr>
          <w:rFonts w:hint="eastAsia" w:ascii="宋体" w:hAnsi="宋体"/>
          <w:szCs w:val="21"/>
        </w:rPr>
        <w:t xml:space="preserve">.以上表格请按费用发生的时间先后顺序填写，并将附件证明材料按对应顺序整理编号；    </w:t>
      </w:r>
      <w:r>
        <w:rPr>
          <w:rFonts w:ascii="宋体" w:hAnsi="宋体"/>
          <w:szCs w:val="21"/>
        </w:rPr>
        <w:t>2</w:t>
      </w:r>
      <w:r>
        <w:rPr>
          <w:rFonts w:hint="eastAsia" w:ascii="宋体" w:hAnsi="宋体"/>
          <w:szCs w:val="21"/>
        </w:rPr>
        <w:t>.发票及金额信息请按照发票实际内容填写；</w:t>
      </w:r>
      <w:r>
        <w:rPr>
          <w:rFonts w:ascii="宋体" w:hAnsi="宋体"/>
          <w:szCs w:val="21"/>
        </w:rPr>
        <w:t>3</w:t>
      </w:r>
      <w:r>
        <w:rPr>
          <w:rFonts w:hint="eastAsia" w:ascii="宋体" w:hAnsi="宋体"/>
          <w:szCs w:val="21"/>
        </w:rPr>
        <w:t>.每一张发票填写一行。</w:t>
      </w:r>
    </w:p>
    <w:sectPr>
      <w:pgSz w:w="11906" w:h="16838"/>
      <w:pgMar w:top="1440" w:right="1559" w:bottom="1440" w:left="14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00C31CFE"/>
    <w:rsid w:val="000208ED"/>
    <w:rsid w:val="00031D58"/>
    <w:rsid w:val="00033158"/>
    <w:rsid w:val="00056704"/>
    <w:rsid w:val="000A1371"/>
    <w:rsid w:val="000B3975"/>
    <w:rsid w:val="000B7713"/>
    <w:rsid w:val="000D3C3A"/>
    <w:rsid w:val="000F0341"/>
    <w:rsid w:val="00114EBE"/>
    <w:rsid w:val="001255E1"/>
    <w:rsid w:val="0013393B"/>
    <w:rsid w:val="00137400"/>
    <w:rsid w:val="00143743"/>
    <w:rsid w:val="0014617D"/>
    <w:rsid w:val="00184699"/>
    <w:rsid w:val="00186255"/>
    <w:rsid w:val="001A0E1E"/>
    <w:rsid w:val="001B21FB"/>
    <w:rsid w:val="001F2878"/>
    <w:rsid w:val="00230801"/>
    <w:rsid w:val="00230856"/>
    <w:rsid w:val="00233157"/>
    <w:rsid w:val="00233FD7"/>
    <w:rsid w:val="002400C1"/>
    <w:rsid w:val="0024418F"/>
    <w:rsid w:val="00254187"/>
    <w:rsid w:val="002760DF"/>
    <w:rsid w:val="002922C1"/>
    <w:rsid w:val="002B20AD"/>
    <w:rsid w:val="002C7054"/>
    <w:rsid w:val="002E275D"/>
    <w:rsid w:val="00356586"/>
    <w:rsid w:val="00356B80"/>
    <w:rsid w:val="00375A98"/>
    <w:rsid w:val="003856CB"/>
    <w:rsid w:val="003F16C4"/>
    <w:rsid w:val="003F1FBA"/>
    <w:rsid w:val="00482B72"/>
    <w:rsid w:val="00485830"/>
    <w:rsid w:val="00487721"/>
    <w:rsid w:val="00493D13"/>
    <w:rsid w:val="004D1A21"/>
    <w:rsid w:val="004D5F49"/>
    <w:rsid w:val="004E7D47"/>
    <w:rsid w:val="004F58E5"/>
    <w:rsid w:val="00517207"/>
    <w:rsid w:val="005214B5"/>
    <w:rsid w:val="00526730"/>
    <w:rsid w:val="00527482"/>
    <w:rsid w:val="005563DD"/>
    <w:rsid w:val="005719ED"/>
    <w:rsid w:val="00573192"/>
    <w:rsid w:val="005B0FD1"/>
    <w:rsid w:val="0060797E"/>
    <w:rsid w:val="00614EAB"/>
    <w:rsid w:val="00620BD3"/>
    <w:rsid w:val="00642D72"/>
    <w:rsid w:val="00666849"/>
    <w:rsid w:val="00674AC9"/>
    <w:rsid w:val="00682CD8"/>
    <w:rsid w:val="0069674C"/>
    <w:rsid w:val="006A414C"/>
    <w:rsid w:val="006A54AB"/>
    <w:rsid w:val="006D35E2"/>
    <w:rsid w:val="006F0270"/>
    <w:rsid w:val="006F1A2D"/>
    <w:rsid w:val="006F42BB"/>
    <w:rsid w:val="00715B31"/>
    <w:rsid w:val="007969D9"/>
    <w:rsid w:val="007A1229"/>
    <w:rsid w:val="007C16B9"/>
    <w:rsid w:val="007F6F30"/>
    <w:rsid w:val="008079FA"/>
    <w:rsid w:val="00814B05"/>
    <w:rsid w:val="00815455"/>
    <w:rsid w:val="008211F6"/>
    <w:rsid w:val="00834BA9"/>
    <w:rsid w:val="00870847"/>
    <w:rsid w:val="00880342"/>
    <w:rsid w:val="008D6FCB"/>
    <w:rsid w:val="008E61FA"/>
    <w:rsid w:val="009043CB"/>
    <w:rsid w:val="009124BD"/>
    <w:rsid w:val="00916F0E"/>
    <w:rsid w:val="0092418D"/>
    <w:rsid w:val="009411B3"/>
    <w:rsid w:val="00947EC4"/>
    <w:rsid w:val="009574CC"/>
    <w:rsid w:val="00970492"/>
    <w:rsid w:val="00986B66"/>
    <w:rsid w:val="00996CBA"/>
    <w:rsid w:val="009E021D"/>
    <w:rsid w:val="009F0E3A"/>
    <w:rsid w:val="00A345C0"/>
    <w:rsid w:val="00A34E54"/>
    <w:rsid w:val="00A3518D"/>
    <w:rsid w:val="00A50CDF"/>
    <w:rsid w:val="00A529BE"/>
    <w:rsid w:val="00A622D4"/>
    <w:rsid w:val="00A6278C"/>
    <w:rsid w:val="00A75670"/>
    <w:rsid w:val="00A976A1"/>
    <w:rsid w:val="00AA2441"/>
    <w:rsid w:val="00AD363E"/>
    <w:rsid w:val="00B10258"/>
    <w:rsid w:val="00B2715C"/>
    <w:rsid w:val="00B77169"/>
    <w:rsid w:val="00B826CC"/>
    <w:rsid w:val="00B916D5"/>
    <w:rsid w:val="00BB52AD"/>
    <w:rsid w:val="00BE7D28"/>
    <w:rsid w:val="00BF347B"/>
    <w:rsid w:val="00C01469"/>
    <w:rsid w:val="00C07BA5"/>
    <w:rsid w:val="00C22BF8"/>
    <w:rsid w:val="00C30CB6"/>
    <w:rsid w:val="00C316D2"/>
    <w:rsid w:val="00C31CFE"/>
    <w:rsid w:val="00C52C44"/>
    <w:rsid w:val="00C617F1"/>
    <w:rsid w:val="00C85572"/>
    <w:rsid w:val="00C92197"/>
    <w:rsid w:val="00D01033"/>
    <w:rsid w:val="00D05940"/>
    <w:rsid w:val="00D662E2"/>
    <w:rsid w:val="00D727FC"/>
    <w:rsid w:val="00D91F1D"/>
    <w:rsid w:val="00DC5FE8"/>
    <w:rsid w:val="00DD673C"/>
    <w:rsid w:val="00DE1DA8"/>
    <w:rsid w:val="00DE56C0"/>
    <w:rsid w:val="00DF7FBA"/>
    <w:rsid w:val="00E03F19"/>
    <w:rsid w:val="00E13D66"/>
    <w:rsid w:val="00E220D1"/>
    <w:rsid w:val="00E22AB0"/>
    <w:rsid w:val="00E265C5"/>
    <w:rsid w:val="00E36AB4"/>
    <w:rsid w:val="00E44FF2"/>
    <w:rsid w:val="00E80E43"/>
    <w:rsid w:val="00E933F4"/>
    <w:rsid w:val="00EA1003"/>
    <w:rsid w:val="00EA2B61"/>
    <w:rsid w:val="00EC414B"/>
    <w:rsid w:val="00EE0151"/>
    <w:rsid w:val="00EF3AB9"/>
    <w:rsid w:val="00F00F83"/>
    <w:rsid w:val="00F46441"/>
    <w:rsid w:val="00F86C76"/>
    <w:rsid w:val="00FA409C"/>
    <w:rsid w:val="00FB203D"/>
    <w:rsid w:val="00FE728D"/>
    <w:rsid w:val="00FF3343"/>
    <w:rsid w:val="02CC3FC2"/>
    <w:rsid w:val="041D37E5"/>
    <w:rsid w:val="047B7453"/>
    <w:rsid w:val="05541259"/>
    <w:rsid w:val="06014363"/>
    <w:rsid w:val="06151CA8"/>
    <w:rsid w:val="061C34CE"/>
    <w:rsid w:val="06B06B24"/>
    <w:rsid w:val="06D85F62"/>
    <w:rsid w:val="07967375"/>
    <w:rsid w:val="07B35AC8"/>
    <w:rsid w:val="07D5756B"/>
    <w:rsid w:val="08B36BB1"/>
    <w:rsid w:val="09D0681D"/>
    <w:rsid w:val="0A46047D"/>
    <w:rsid w:val="0A536458"/>
    <w:rsid w:val="0A730160"/>
    <w:rsid w:val="0AC90F28"/>
    <w:rsid w:val="0AED4CFF"/>
    <w:rsid w:val="0B7202D6"/>
    <w:rsid w:val="0B855899"/>
    <w:rsid w:val="0C307482"/>
    <w:rsid w:val="0C3F0838"/>
    <w:rsid w:val="0C6D1222"/>
    <w:rsid w:val="0CD24816"/>
    <w:rsid w:val="0E377A0E"/>
    <w:rsid w:val="103B6FBA"/>
    <w:rsid w:val="10677953"/>
    <w:rsid w:val="118D3FA1"/>
    <w:rsid w:val="127A7288"/>
    <w:rsid w:val="12A365A5"/>
    <w:rsid w:val="12FB4D37"/>
    <w:rsid w:val="13323959"/>
    <w:rsid w:val="13B40EAA"/>
    <w:rsid w:val="13D5508E"/>
    <w:rsid w:val="13FE022A"/>
    <w:rsid w:val="157623E7"/>
    <w:rsid w:val="15902A9C"/>
    <w:rsid w:val="159E1C16"/>
    <w:rsid w:val="15CF4EAB"/>
    <w:rsid w:val="16941537"/>
    <w:rsid w:val="17A66413"/>
    <w:rsid w:val="18720C89"/>
    <w:rsid w:val="1A9C337F"/>
    <w:rsid w:val="1AFF1211"/>
    <w:rsid w:val="1B082E26"/>
    <w:rsid w:val="1C940454"/>
    <w:rsid w:val="1DB41D7B"/>
    <w:rsid w:val="1DE274DA"/>
    <w:rsid w:val="1EAD583F"/>
    <w:rsid w:val="1EFE4CD4"/>
    <w:rsid w:val="1F037335"/>
    <w:rsid w:val="1F31195B"/>
    <w:rsid w:val="205231B7"/>
    <w:rsid w:val="20E91F82"/>
    <w:rsid w:val="212270C2"/>
    <w:rsid w:val="21524FAD"/>
    <w:rsid w:val="21D448BA"/>
    <w:rsid w:val="21E361C6"/>
    <w:rsid w:val="226A3074"/>
    <w:rsid w:val="228B30F3"/>
    <w:rsid w:val="22AF78BF"/>
    <w:rsid w:val="22B853A5"/>
    <w:rsid w:val="24ED75E3"/>
    <w:rsid w:val="2600163A"/>
    <w:rsid w:val="262C6BFF"/>
    <w:rsid w:val="271D4EC9"/>
    <w:rsid w:val="2821113F"/>
    <w:rsid w:val="288E2F4A"/>
    <w:rsid w:val="29021489"/>
    <w:rsid w:val="294100C5"/>
    <w:rsid w:val="29455271"/>
    <w:rsid w:val="2A4A26D6"/>
    <w:rsid w:val="2A58211E"/>
    <w:rsid w:val="2DC4379A"/>
    <w:rsid w:val="2E182E27"/>
    <w:rsid w:val="2E95792C"/>
    <w:rsid w:val="2F824D6A"/>
    <w:rsid w:val="308F14BC"/>
    <w:rsid w:val="31834246"/>
    <w:rsid w:val="3246497E"/>
    <w:rsid w:val="33D217BE"/>
    <w:rsid w:val="3464746E"/>
    <w:rsid w:val="349E7335"/>
    <w:rsid w:val="354649F9"/>
    <w:rsid w:val="35C6688D"/>
    <w:rsid w:val="36C66232"/>
    <w:rsid w:val="377F0BCB"/>
    <w:rsid w:val="37870E19"/>
    <w:rsid w:val="37D357D7"/>
    <w:rsid w:val="37F87FF4"/>
    <w:rsid w:val="38020B41"/>
    <w:rsid w:val="382C7AD6"/>
    <w:rsid w:val="38BB2B69"/>
    <w:rsid w:val="38C3698A"/>
    <w:rsid w:val="391607F0"/>
    <w:rsid w:val="3A972C38"/>
    <w:rsid w:val="3B4A32A2"/>
    <w:rsid w:val="3C492F81"/>
    <w:rsid w:val="3C6104AC"/>
    <w:rsid w:val="3C6C646E"/>
    <w:rsid w:val="3D772058"/>
    <w:rsid w:val="3DB96D8D"/>
    <w:rsid w:val="3DE9600A"/>
    <w:rsid w:val="3E484D88"/>
    <w:rsid w:val="3E715899"/>
    <w:rsid w:val="3FB02F31"/>
    <w:rsid w:val="403C4AE8"/>
    <w:rsid w:val="405E53E3"/>
    <w:rsid w:val="419E470A"/>
    <w:rsid w:val="41EE0029"/>
    <w:rsid w:val="41F643F7"/>
    <w:rsid w:val="42125C23"/>
    <w:rsid w:val="422C5862"/>
    <w:rsid w:val="42405093"/>
    <w:rsid w:val="42607585"/>
    <w:rsid w:val="435E145C"/>
    <w:rsid w:val="44623CE9"/>
    <w:rsid w:val="44BD3880"/>
    <w:rsid w:val="44CE37E8"/>
    <w:rsid w:val="45FD27EC"/>
    <w:rsid w:val="46767250"/>
    <w:rsid w:val="47E84CFE"/>
    <w:rsid w:val="483B0591"/>
    <w:rsid w:val="483D4971"/>
    <w:rsid w:val="48A72F3D"/>
    <w:rsid w:val="48D6200F"/>
    <w:rsid w:val="4B31378C"/>
    <w:rsid w:val="4B4B2B0C"/>
    <w:rsid w:val="4BC37C59"/>
    <w:rsid w:val="4C273F3D"/>
    <w:rsid w:val="4C333EC8"/>
    <w:rsid w:val="4C6B296A"/>
    <w:rsid w:val="4C6C7014"/>
    <w:rsid w:val="4C991931"/>
    <w:rsid w:val="4CE60D49"/>
    <w:rsid w:val="4DA7468A"/>
    <w:rsid w:val="4E691F69"/>
    <w:rsid w:val="4E6C49FD"/>
    <w:rsid w:val="4FA162BB"/>
    <w:rsid w:val="50014D3B"/>
    <w:rsid w:val="50496B0A"/>
    <w:rsid w:val="51522D69"/>
    <w:rsid w:val="51B75CE8"/>
    <w:rsid w:val="529134DE"/>
    <w:rsid w:val="52CD6033"/>
    <w:rsid w:val="52F9553B"/>
    <w:rsid w:val="54EB3DA1"/>
    <w:rsid w:val="559613A5"/>
    <w:rsid w:val="55C51E8A"/>
    <w:rsid w:val="56FF168D"/>
    <w:rsid w:val="5705699E"/>
    <w:rsid w:val="572840C2"/>
    <w:rsid w:val="572B1E3E"/>
    <w:rsid w:val="573C1AE3"/>
    <w:rsid w:val="577569A5"/>
    <w:rsid w:val="57EC2ABF"/>
    <w:rsid w:val="57F54071"/>
    <w:rsid w:val="5879444E"/>
    <w:rsid w:val="58AB5045"/>
    <w:rsid w:val="58B71462"/>
    <w:rsid w:val="59730403"/>
    <w:rsid w:val="598546BD"/>
    <w:rsid w:val="5A921FC0"/>
    <w:rsid w:val="5ADC5536"/>
    <w:rsid w:val="5CC26305"/>
    <w:rsid w:val="5D1F5541"/>
    <w:rsid w:val="5E341FFD"/>
    <w:rsid w:val="5F065845"/>
    <w:rsid w:val="5FA11D9E"/>
    <w:rsid w:val="5FD63EC6"/>
    <w:rsid w:val="5FEE6D7E"/>
    <w:rsid w:val="601A4D5A"/>
    <w:rsid w:val="60BC5B9A"/>
    <w:rsid w:val="60C55A17"/>
    <w:rsid w:val="61466767"/>
    <w:rsid w:val="615B784E"/>
    <w:rsid w:val="622B3DA9"/>
    <w:rsid w:val="62AF0A4C"/>
    <w:rsid w:val="63161D11"/>
    <w:rsid w:val="63FD1565"/>
    <w:rsid w:val="64DB4EFC"/>
    <w:rsid w:val="6502530F"/>
    <w:rsid w:val="655D2223"/>
    <w:rsid w:val="65934894"/>
    <w:rsid w:val="662D3FB8"/>
    <w:rsid w:val="66465D47"/>
    <w:rsid w:val="666B1843"/>
    <w:rsid w:val="66986574"/>
    <w:rsid w:val="66C63530"/>
    <w:rsid w:val="674E09C5"/>
    <w:rsid w:val="678912D4"/>
    <w:rsid w:val="67954549"/>
    <w:rsid w:val="679F317F"/>
    <w:rsid w:val="67B05A51"/>
    <w:rsid w:val="67DB64DE"/>
    <w:rsid w:val="67EF3F77"/>
    <w:rsid w:val="69441979"/>
    <w:rsid w:val="6AF055F4"/>
    <w:rsid w:val="6B511E71"/>
    <w:rsid w:val="6BE05DD2"/>
    <w:rsid w:val="6BEB000F"/>
    <w:rsid w:val="6C2247EE"/>
    <w:rsid w:val="6C5A29C6"/>
    <w:rsid w:val="6C640FA4"/>
    <w:rsid w:val="6C684968"/>
    <w:rsid w:val="6C9F1AC8"/>
    <w:rsid w:val="6D3D1F97"/>
    <w:rsid w:val="6F7C0C54"/>
    <w:rsid w:val="6FF150B5"/>
    <w:rsid w:val="70006A9E"/>
    <w:rsid w:val="70044A16"/>
    <w:rsid w:val="70596D50"/>
    <w:rsid w:val="71C73061"/>
    <w:rsid w:val="71E93472"/>
    <w:rsid w:val="73734B01"/>
    <w:rsid w:val="74147DE2"/>
    <w:rsid w:val="748C39FF"/>
    <w:rsid w:val="74C83597"/>
    <w:rsid w:val="74D94B26"/>
    <w:rsid w:val="751373B5"/>
    <w:rsid w:val="75250D3E"/>
    <w:rsid w:val="75606EF0"/>
    <w:rsid w:val="75615DB1"/>
    <w:rsid w:val="7576442A"/>
    <w:rsid w:val="75EF4B75"/>
    <w:rsid w:val="76767499"/>
    <w:rsid w:val="76975010"/>
    <w:rsid w:val="76BC47E3"/>
    <w:rsid w:val="77057328"/>
    <w:rsid w:val="77527958"/>
    <w:rsid w:val="77BE27C3"/>
    <w:rsid w:val="7837016D"/>
    <w:rsid w:val="78DC46AE"/>
    <w:rsid w:val="78DE3A0B"/>
    <w:rsid w:val="792F50EB"/>
    <w:rsid w:val="79B8759B"/>
    <w:rsid w:val="7A73157C"/>
    <w:rsid w:val="7A772A49"/>
    <w:rsid w:val="7B4D47EE"/>
    <w:rsid w:val="7B5A1A11"/>
    <w:rsid w:val="7BA6410F"/>
    <w:rsid w:val="7E145A6A"/>
    <w:rsid w:val="7EED3069"/>
    <w:rsid w:val="7F0459E9"/>
    <w:rsid w:val="7F915811"/>
    <w:rsid w:val="7FAC0CFD"/>
    <w:rsid w:val="7FE141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p0"/>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
    <w:name w:val="页眉 Char"/>
    <w:basedOn w:val="8"/>
    <w:link w:val="4"/>
    <w:semiHidden/>
    <w:qFormat/>
    <w:uiPriority w:val="99"/>
    <w:rPr>
      <w:rFonts w:ascii="Times New Roman" w:hAnsi="Times New Roman"/>
      <w:sz w:val="18"/>
      <w:szCs w:val="18"/>
    </w:rPr>
  </w:style>
  <w:style w:type="character" w:customStyle="1" w:styleId="11">
    <w:name w:val="页脚 Char"/>
    <w:basedOn w:val="8"/>
    <w:link w:val="3"/>
    <w:semiHidden/>
    <w:qFormat/>
    <w:uiPriority w:val="99"/>
    <w:rPr>
      <w:rFonts w:ascii="Times New Roman" w:hAnsi="Times New Roman"/>
      <w:sz w:val="18"/>
      <w:szCs w:val="18"/>
    </w:rPr>
  </w:style>
  <w:style w:type="paragraph" w:customStyle="1" w:styleId="12">
    <w:name w:val="列出段落1"/>
    <w:basedOn w:val="1"/>
    <w:qFormat/>
    <w:uiPriority w:val="34"/>
    <w:pPr>
      <w:ind w:firstLine="420" w:firstLineChars="200"/>
    </w:pPr>
  </w:style>
  <w:style w:type="character" w:customStyle="1" w:styleId="13">
    <w:name w:val="批注框文本 Char"/>
    <w:basedOn w:val="8"/>
    <w:link w:val="2"/>
    <w:semiHidden/>
    <w:qFormat/>
    <w:uiPriority w:val="99"/>
    <w:rPr>
      <w:kern w:val="2"/>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6</Pages>
  <Words>2223</Words>
  <Characters>2286</Characters>
  <Lines>20</Lines>
  <Paragraphs>5</Paragraphs>
  <TotalTime>3</TotalTime>
  <ScaleCrop>false</ScaleCrop>
  <LinksUpToDate>false</LinksUpToDate>
  <CharactersWithSpaces>2317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2017-06-14T08:06:00Z</dcterms:created>
  <dc:creator>Chinese User</dc:creator>
  <cp:lastModifiedBy>微信用户</cp:lastModifiedBy>
  <cp:lastPrinted>2020-03-11T02:20:00Z</cp:lastPrinted>
  <dcterms:modified xsi:type="dcterms:W3CDTF">2024-10-18T06:41:05Z</dcterms:modified>
  <dc:title>南山区自主创新产业发展专项资金—总部经济扶持分项资金</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4D921EC57F2B443BBA4813F381C6231C_12</vt:lpwstr>
  </property>
</Properties>
</file>