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0E870">
      <w:pPr>
        <w:spacing w:line="560" w:lineRule="exact"/>
        <w:jc w:val="center"/>
        <w:rPr>
          <w:rFonts w:ascii="黑体" w:eastAsia="黑体"/>
          <w:sz w:val="32"/>
          <w:szCs w:val="32"/>
        </w:rPr>
      </w:pPr>
    </w:p>
    <w:p w14:paraId="684031E7">
      <w:pPr>
        <w:spacing w:line="560" w:lineRule="exact"/>
        <w:jc w:val="center"/>
        <w:rPr>
          <w:rFonts w:ascii="黑体" w:eastAsia="黑体"/>
          <w:sz w:val="32"/>
          <w:szCs w:val="32"/>
        </w:rPr>
      </w:pPr>
      <w:r>
        <w:rPr>
          <w:rFonts w:hint="eastAsia" w:ascii="黑体" w:eastAsia="黑体"/>
          <w:sz w:val="32"/>
          <w:szCs w:val="32"/>
        </w:rPr>
        <w:t>南山区自主创新产业发展专项资金—经济发展分项资金</w:t>
      </w:r>
    </w:p>
    <w:p w14:paraId="7567B82B">
      <w:pPr>
        <w:spacing w:line="560" w:lineRule="exact"/>
        <w:jc w:val="center"/>
        <w:rPr>
          <w:rFonts w:ascii="宋体" w:hAnsi="宋体"/>
          <w:b/>
          <w:sz w:val="44"/>
          <w:szCs w:val="44"/>
        </w:rPr>
      </w:pPr>
      <w:r>
        <w:rPr>
          <w:rFonts w:hint="eastAsia" w:ascii="黑体" w:eastAsia="黑体"/>
          <w:sz w:val="32"/>
          <w:szCs w:val="32"/>
        </w:rPr>
        <w:t>企业发债支持项目操作规程（2020年度）</w:t>
      </w:r>
    </w:p>
    <w:p w14:paraId="7FE863F4">
      <w:pPr>
        <w:spacing w:line="560" w:lineRule="exact"/>
        <w:ind w:firstLine="640" w:firstLineChars="200"/>
        <w:rPr>
          <w:rFonts w:ascii="仿宋_GB2312" w:hAnsi="仿宋_GB2312" w:eastAsia="仿宋_GB2312" w:cs="仿宋_GB2312"/>
          <w:sz w:val="32"/>
          <w:szCs w:val="32"/>
        </w:rPr>
      </w:pPr>
    </w:p>
    <w:p w14:paraId="71D4A1DD">
      <w:pPr>
        <w:spacing w:line="560" w:lineRule="exact"/>
        <w:ind w:firstLine="640" w:firstLineChars="200"/>
        <w:rPr>
          <w:rFonts w:eastAsia="仿宋"/>
          <w:sz w:val="32"/>
          <w:szCs w:val="32"/>
        </w:rPr>
      </w:pPr>
      <w:r>
        <w:rPr>
          <w:rFonts w:hint="eastAsia" w:ascii="仿宋_GB2312" w:hAnsi="仿宋_GB2312" w:eastAsia="仿宋_GB2312" w:cs="仿宋_GB2312"/>
          <w:sz w:val="32"/>
          <w:szCs w:val="32"/>
        </w:rPr>
        <w:t>为深入贯彻落实习近平总书记关于统筹</w:t>
      </w:r>
      <w:r>
        <w:rPr>
          <w:rFonts w:hint="eastAsia" w:ascii="仿宋_GB2312" w:hAnsi="仿宋_GB2312" w:eastAsia="仿宋_GB2312" w:cs="仿宋_GB2312"/>
          <w:sz w:val="32"/>
          <w:szCs w:val="32"/>
          <w:shd w:val="clear" w:color="auto" w:fill="FFFFFF"/>
        </w:rPr>
        <w:t>推进疫情防控和经济社会发展工作的重要指示精神，</w:t>
      </w:r>
      <w:r>
        <w:rPr>
          <w:rFonts w:hint="eastAsia" w:ascii="仿宋_GB2312" w:hAnsi="仿宋_GB2312" w:eastAsia="仿宋_GB2312" w:cs="仿宋_GB2312"/>
          <w:sz w:val="32"/>
          <w:szCs w:val="32"/>
        </w:rPr>
        <w:t>力争把疫情造成的损失降到最低限度，</w:t>
      </w:r>
      <w:r>
        <w:rPr>
          <w:rFonts w:hint="eastAsia" w:ascii="仿宋_GB2312" w:hAnsi="仿宋_GB2312" w:eastAsia="仿宋_GB2312" w:cs="仿宋_GB2312"/>
          <w:sz w:val="32"/>
          <w:szCs w:val="32"/>
          <w:shd w:val="clear" w:color="auto" w:fill="FFFFFF"/>
        </w:rPr>
        <w:t>根据《南山区关于促进经济稳定增长努力实现2020年目标的若干措施》</w:t>
      </w:r>
      <w:r>
        <w:rPr>
          <w:rFonts w:hint="eastAsia" w:ascii="仿宋_GB2312" w:hAnsi="仿宋_GB2312" w:eastAsia="仿宋_GB2312" w:cs="仿宋_GB2312"/>
          <w:sz w:val="32"/>
          <w:szCs w:val="32"/>
        </w:rPr>
        <w:t>，制定本操作规程。</w:t>
      </w:r>
    </w:p>
    <w:p w14:paraId="2AA26A0F">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一、政策内容</w:t>
      </w:r>
    </w:p>
    <w:p w14:paraId="3B6E1294">
      <w:pPr>
        <w:widowControl/>
        <w:adjustRightInd w:val="0"/>
        <w:snapToGrid w:val="0"/>
        <w:spacing w:line="560" w:lineRule="exact"/>
        <w:ind w:firstLine="627" w:firstLineChars="196"/>
        <w:rPr>
          <w:rFonts w:ascii="仿宋_GB2312" w:hAnsi="仿宋" w:eastAsia="仿宋_GB2312"/>
          <w:b/>
          <w:color w:val="000000"/>
          <w:sz w:val="32"/>
          <w:szCs w:val="32"/>
        </w:rPr>
      </w:pPr>
      <w:r>
        <w:rPr>
          <w:rFonts w:hint="eastAsia" w:ascii="仿宋_GB2312" w:hAnsi="仿宋" w:eastAsia="仿宋_GB2312"/>
          <w:color w:val="000000"/>
          <w:sz w:val="32"/>
          <w:szCs w:val="32"/>
        </w:rPr>
        <w:t>南山区的民营法人企业通过发债方式成功获得融资的，</w:t>
      </w:r>
      <w:r>
        <w:rPr>
          <w:rFonts w:hint="eastAsia" w:ascii="仿宋_GB2312" w:hAnsi="宋体" w:eastAsia="仿宋_GB2312"/>
          <w:color w:val="000000"/>
          <w:sz w:val="32"/>
          <w:szCs w:val="32"/>
        </w:rPr>
        <w:t>按发行规模的2%给予补贴，</w:t>
      </w:r>
      <w:r>
        <w:rPr>
          <w:rFonts w:hint="eastAsia" w:ascii="仿宋_GB2312" w:hAnsi="仿宋" w:eastAsia="仿宋_GB2312"/>
          <w:sz w:val="32"/>
          <w:szCs w:val="32"/>
        </w:rPr>
        <w:t>单个项目单家企业最高总额</w:t>
      </w:r>
      <w:r>
        <w:rPr>
          <w:rFonts w:hint="eastAsia" w:ascii="仿宋_GB2312" w:hAnsi="仿宋" w:eastAsia="仿宋_GB2312"/>
          <w:color w:val="000000"/>
          <w:sz w:val="32"/>
          <w:szCs w:val="32"/>
        </w:rPr>
        <w:t>不超过200万元</w:t>
      </w:r>
      <w:r>
        <w:rPr>
          <w:rFonts w:hint="eastAsia" w:ascii="仿宋_GB2312" w:hAnsi="仿宋" w:eastAsia="仿宋_GB2312"/>
          <w:b/>
          <w:color w:val="000000"/>
          <w:sz w:val="32"/>
          <w:szCs w:val="32"/>
        </w:rPr>
        <w:t>。</w:t>
      </w:r>
    </w:p>
    <w:p w14:paraId="088969B1">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14:paraId="5B747A4F">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1195DE3C">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三、资助标准</w:t>
      </w:r>
    </w:p>
    <w:p w14:paraId="12163956">
      <w:pPr>
        <w:adjustRightInd w:val="0"/>
        <w:snapToGrid w:val="0"/>
        <w:spacing w:line="560" w:lineRule="exact"/>
        <w:ind w:firstLine="640" w:firstLineChars="200"/>
        <w:rPr>
          <w:rFonts w:ascii="仿宋_GB2312" w:hAnsi="仿宋" w:eastAsia="仿宋_GB2312"/>
          <w:b/>
          <w:color w:val="000000"/>
          <w:sz w:val="32"/>
          <w:szCs w:val="32"/>
        </w:rPr>
      </w:pPr>
      <w:r>
        <w:rPr>
          <w:rFonts w:hint="eastAsia" w:ascii="仿宋_GB2312" w:eastAsia="仿宋_GB2312"/>
          <w:color w:val="000000"/>
          <w:sz w:val="32"/>
          <w:szCs w:val="32"/>
        </w:rPr>
        <w:t>（一）按发行规模的2%给予财政补贴，单个项目</w:t>
      </w:r>
      <w:r>
        <w:rPr>
          <w:rFonts w:hint="eastAsia" w:ascii="仿宋_GB2312" w:hAnsi="仿宋" w:eastAsia="仿宋_GB2312"/>
          <w:sz w:val="32"/>
          <w:szCs w:val="32"/>
        </w:rPr>
        <w:t>单家企业资助总额</w:t>
      </w:r>
      <w:r>
        <w:rPr>
          <w:rFonts w:hint="eastAsia" w:ascii="仿宋_GB2312" w:hAnsi="仿宋" w:eastAsia="仿宋_GB2312"/>
          <w:color w:val="000000"/>
          <w:sz w:val="32"/>
          <w:szCs w:val="32"/>
        </w:rPr>
        <w:t>不超过200万元</w:t>
      </w:r>
      <w:r>
        <w:rPr>
          <w:rFonts w:hint="eastAsia" w:ascii="仿宋_GB2312" w:hAnsi="仿宋" w:eastAsia="仿宋_GB2312"/>
          <w:b/>
          <w:color w:val="000000"/>
          <w:sz w:val="32"/>
          <w:szCs w:val="32"/>
        </w:rPr>
        <w:t>。</w:t>
      </w:r>
    </w:p>
    <w:p w14:paraId="669D1449">
      <w:pPr>
        <w:widowControl/>
        <w:adjustRightInd w:val="0"/>
        <w:snapToGrid w:val="0"/>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短期债务融资工具发行规模计算方式：</w:t>
      </w:r>
    </w:p>
    <w:p w14:paraId="7CDE8C00">
      <w:pPr>
        <w:widowControl/>
        <w:adjustRightInd w:val="0"/>
        <w:snapToGrid w:val="0"/>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发行规模</w:t>
      </w:r>
      <w:r>
        <w:rPr>
          <w:rFonts w:ascii="仿宋_GB2312" w:hAnsi="宋体" w:eastAsia="仿宋_GB2312"/>
          <w:color w:val="000000"/>
          <w:sz w:val="32"/>
          <w:szCs w:val="32"/>
        </w:rPr>
        <w:t>=发行额度/12*发行期限</w:t>
      </w:r>
    </w:p>
    <w:p w14:paraId="605F0166">
      <w:pPr>
        <w:widowControl/>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本规程所指短期债务融资工具，为期限在一年以内的债务融资工具，不含到期日不足一年的中长期债务融资工具。</w:t>
      </w:r>
    </w:p>
    <w:p w14:paraId="74BE00FD">
      <w:pPr>
        <w:widowControl/>
        <w:adjustRightInd w:val="0"/>
        <w:snapToGrid w:val="0"/>
        <w:spacing w:line="560" w:lineRule="exact"/>
        <w:ind w:firstLine="640" w:firstLineChars="200"/>
        <w:rPr>
          <w:rFonts w:ascii="仿宋_GB2312" w:eastAsia="仿宋_GB2312" w:cs="宋体"/>
          <w:bCs/>
          <w:sz w:val="32"/>
          <w:szCs w:val="32"/>
        </w:rPr>
      </w:pPr>
      <w:r>
        <w:rPr>
          <w:rFonts w:hint="eastAsia" w:ascii="仿宋_GB2312" w:hAnsi="宋体" w:eastAsia="仿宋_GB2312"/>
          <w:color w:val="000000"/>
          <w:sz w:val="32"/>
          <w:szCs w:val="32"/>
        </w:rPr>
        <w:t>申请企业为底层融资方。</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（二）</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《南山区自主创新产业发展专项资金管理办法（试行）》</w:t>
      </w:r>
      <w:r>
        <w:rPr>
          <w:rFonts w:hint="eastAsia" w:ascii="仿宋_GB2312" w:eastAsia="仿宋_GB2312" w:cs="宋体"/>
          <w:bCs/>
          <w:sz w:val="32"/>
          <w:szCs w:val="32"/>
        </w:rPr>
        <w:t>第十三条第（五）款“每家单位同一年度获得的资助金额原则上不超过其上一年度形成的区级地方财力贡献”限制。</w:t>
      </w:r>
    </w:p>
    <w:p w14:paraId="349D4E9E">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14:paraId="095B3C4E">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14:paraId="2623D0CE">
      <w:pPr>
        <w:adjustRightInd w:val="0"/>
        <w:snapToGrid w:val="0"/>
        <w:spacing w:line="560" w:lineRule="exact"/>
        <w:ind w:firstLine="627" w:firstLineChars="196"/>
        <w:rPr>
          <w:rFonts w:ascii="仿宋_GB2312" w:hAnsi="仿宋" w:eastAsia="仿宋_GB2312"/>
          <w:color w:val="000000"/>
          <w:sz w:val="32"/>
          <w:szCs w:val="32"/>
        </w:rPr>
      </w:pPr>
      <w:bookmarkStart w:id="0" w:name="OLE_LINK3"/>
      <w:bookmarkStart w:id="1" w:name="OLE_LINK4"/>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14:paraId="131023E4">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eastAsia="仿宋_GB2312"/>
          <w:color w:val="000000"/>
          <w:sz w:val="32"/>
          <w:szCs w:val="32"/>
        </w:rPr>
        <w:t>在南山辖区内登记注册、具有独立法人资格的民营企业，企业需注册成立满一年以上（含）</w:t>
      </w:r>
      <w:r>
        <w:rPr>
          <w:rFonts w:hint="eastAsia" w:ascii="仿宋_GB2312" w:hAnsi="仿宋" w:eastAsia="仿宋_GB2312"/>
          <w:color w:val="000000"/>
          <w:sz w:val="32"/>
          <w:szCs w:val="32"/>
        </w:rPr>
        <w:t>；</w:t>
      </w:r>
    </w:p>
    <w:p w14:paraId="05D5C17B">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2、符合南山区产业发展导向；</w:t>
      </w:r>
    </w:p>
    <w:p w14:paraId="3FA4D570">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3、上年度企业自缴税费合计总额大于零；</w:t>
      </w:r>
    </w:p>
    <w:p w14:paraId="57D63346">
      <w:pPr>
        <w:widowControl/>
        <w:numPr>
          <w:ilvl w:val="255"/>
          <w:numId w:val="0"/>
        </w:numPr>
        <w:spacing w:line="52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、发债类型属于以下范围：</w:t>
      </w:r>
      <w:bookmarkStart w:id="2" w:name="OLE_LINK5"/>
      <w:bookmarkStart w:id="3" w:name="OLE_LINK6"/>
      <w:r>
        <w:rPr>
          <w:rFonts w:ascii="仿宋_GB2312" w:hAnsi="仿宋" w:eastAsia="仿宋_GB2312"/>
          <w:color w:val="000000"/>
          <w:sz w:val="32"/>
          <w:szCs w:val="32"/>
        </w:rPr>
        <w:t>交易所公司债券、</w:t>
      </w:r>
      <w:r>
        <w:rPr>
          <w:rFonts w:hint="eastAsia" w:ascii="仿宋_GB2312" w:hAnsi="仿宋" w:eastAsia="仿宋_GB2312"/>
          <w:color w:val="000000"/>
          <w:sz w:val="32"/>
          <w:szCs w:val="32"/>
        </w:rPr>
        <w:t>银行间市场</w:t>
      </w:r>
      <w:r>
        <w:rPr>
          <w:rFonts w:ascii="仿宋_GB2312" w:hAnsi="仿宋" w:eastAsia="仿宋_GB2312"/>
          <w:color w:val="000000"/>
          <w:sz w:val="32"/>
          <w:szCs w:val="32"/>
        </w:rPr>
        <w:t>中期票据</w:t>
      </w:r>
      <w:r>
        <w:rPr>
          <w:rFonts w:hint="eastAsia" w:ascii="仿宋_GB2312" w:hAnsi="仿宋" w:eastAsia="仿宋_GB2312"/>
          <w:color w:val="000000"/>
          <w:sz w:val="32"/>
          <w:szCs w:val="32"/>
        </w:rPr>
        <w:t>、</w:t>
      </w:r>
      <w:r>
        <w:rPr>
          <w:rFonts w:ascii="仿宋_GB2312" w:hAnsi="仿宋" w:eastAsia="仿宋_GB2312"/>
          <w:color w:val="000000"/>
          <w:sz w:val="32"/>
          <w:szCs w:val="32"/>
        </w:rPr>
        <w:t>短期融资券</w:t>
      </w:r>
      <w:r>
        <w:rPr>
          <w:rFonts w:hint="eastAsia" w:ascii="仿宋_GB2312" w:hAnsi="仿宋" w:eastAsia="仿宋_GB2312"/>
          <w:color w:val="000000"/>
          <w:sz w:val="32"/>
          <w:szCs w:val="32"/>
        </w:rPr>
        <w:t>、超短期融资券、非公开</w:t>
      </w:r>
      <w:r>
        <w:rPr>
          <w:rFonts w:ascii="仿宋_GB2312" w:hAnsi="仿宋" w:eastAsia="仿宋_GB2312"/>
          <w:color w:val="000000"/>
          <w:sz w:val="32"/>
          <w:szCs w:val="32"/>
        </w:rPr>
        <w:t>定向债务融资</w:t>
      </w:r>
      <w:r>
        <w:rPr>
          <w:rFonts w:hint="eastAsia" w:ascii="仿宋_GB2312" w:hAnsi="仿宋" w:eastAsia="仿宋_GB2312"/>
          <w:color w:val="000000"/>
          <w:sz w:val="32"/>
          <w:szCs w:val="32"/>
        </w:rPr>
        <w:t>工具（</w:t>
      </w:r>
      <w:r>
        <w:rPr>
          <w:rFonts w:ascii="仿宋_GB2312" w:hAnsi="仿宋" w:eastAsia="仿宋_GB2312"/>
          <w:color w:val="000000"/>
          <w:sz w:val="32"/>
          <w:szCs w:val="32"/>
        </w:rPr>
        <w:t>PPN）、企业债券</w:t>
      </w:r>
      <w:r>
        <w:rPr>
          <w:rFonts w:hint="eastAsia" w:ascii="仿宋_GB2312" w:hAnsi="仿宋" w:eastAsia="仿宋_GB2312"/>
          <w:color w:val="000000"/>
          <w:sz w:val="32"/>
          <w:szCs w:val="32"/>
        </w:rPr>
        <w:t>、</w:t>
      </w:r>
      <w:bookmarkStart w:id="4" w:name="OLE_LINK1"/>
      <w:bookmarkStart w:id="5" w:name="OLE_LINK2"/>
      <w:r>
        <w:rPr>
          <w:rFonts w:ascii="仿宋_GB2312" w:hAnsi="仿宋" w:eastAsia="仿宋_GB2312"/>
          <w:color w:val="000000"/>
          <w:sz w:val="32"/>
          <w:szCs w:val="32"/>
        </w:rPr>
        <w:t>前海股权交易中心发行的各类创新性融资工具</w:t>
      </w:r>
      <w:bookmarkEnd w:id="4"/>
      <w:bookmarkEnd w:id="5"/>
      <w:r>
        <w:rPr>
          <w:rFonts w:hint="eastAsia" w:ascii="仿宋_GB2312" w:hAnsi="仿宋" w:eastAsia="仿宋_GB2312"/>
          <w:color w:val="000000"/>
          <w:sz w:val="32"/>
          <w:szCs w:val="32"/>
        </w:rPr>
        <w:t>、</w:t>
      </w:r>
      <w:r>
        <w:rPr>
          <w:rFonts w:ascii="仿宋_GB2312" w:hAnsi="仿宋" w:eastAsia="仿宋_GB2312"/>
          <w:color w:val="000000"/>
          <w:sz w:val="32"/>
          <w:szCs w:val="32"/>
        </w:rPr>
        <w:t>资产证券化类产品（ABS、ABN，不含知识产权类和涉房类产品）</w:t>
      </w:r>
      <w:r>
        <w:rPr>
          <w:rFonts w:hint="eastAsia" w:ascii="仿宋_GB2312" w:hAnsi="仿宋" w:eastAsia="仿宋_GB2312"/>
          <w:color w:val="000000"/>
          <w:sz w:val="32"/>
          <w:szCs w:val="32"/>
        </w:rPr>
        <w:t>、</w:t>
      </w:r>
      <w:r>
        <w:rPr>
          <w:rFonts w:ascii="仿宋_GB2312" w:hAnsi="仿宋" w:eastAsia="仿宋_GB2312"/>
          <w:color w:val="000000"/>
          <w:sz w:val="32"/>
          <w:szCs w:val="32"/>
        </w:rPr>
        <w:t>其他各类用于支持深圳民企的非标债务融资工具（</w:t>
      </w:r>
      <w:r>
        <w:rPr>
          <w:rFonts w:hint="eastAsia" w:ascii="仿宋_GB2312" w:hAnsi="仿宋" w:eastAsia="仿宋_GB2312"/>
          <w:color w:val="000000"/>
          <w:sz w:val="32"/>
          <w:szCs w:val="32"/>
        </w:rPr>
        <w:t>如</w:t>
      </w:r>
      <w:r>
        <w:rPr>
          <w:rFonts w:ascii="仿宋_GB2312" w:hAnsi="仿宋" w:eastAsia="仿宋_GB2312"/>
          <w:color w:val="000000"/>
          <w:sz w:val="32"/>
          <w:szCs w:val="32"/>
        </w:rPr>
        <w:t>资管计划、信托计划）</w:t>
      </w:r>
      <w:r>
        <w:rPr>
          <w:rFonts w:hint="eastAsia" w:ascii="仿宋_GB2312" w:hAnsi="仿宋" w:eastAsia="仿宋_GB2312"/>
          <w:color w:val="000000"/>
          <w:sz w:val="32"/>
          <w:szCs w:val="32"/>
        </w:rPr>
        <w:t>等；</w:t>
      </w:r>
    </w:p>
    <w:p w14:paraId="1A5ED726">
      <w:pPr>
        <w:widowControl/>
        <w:numPr>
          <w:ilvl w:val="255"/>
          <w:numId w:val="0"/>
        </w:numPr>
        <w:spacing w:line="52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5、</w:t>
      </w:r>
      <w:r>
        <w:rPr>
          <w:rFonts w:hint="eastAsia" w:ascii="仿宋_GB2312" w:eastAsia="仿宋_GB2312"/>
          <w:sz w:val="32"/>
          <w:szCs w:val="32"/>
        </w:rPr>
        <w:t>已</w:t>
      </w:r>
      <w:r>
        <w:rPr>
          <w:rFonts w:hint="eastAsia" w:ascii="仿宋_GB2312" w:hAnsi="仿宋" w:eastAsia="仿宋_GB2312"/>
          <w:sz w:val="32"/>
          <w:szCs w:val="32"/>
        </w:rPr>
        <w:t>完成企业发债支持项目备案工作；</w:t>
      </w:r>
    </w:p>
    <w:p w14:paraId="6B1FCD55">
      <w:pPr>
        <w:widowControl/>
        <w:numPr>
          <w:ilvl w:val="255"/>
          <w:numId w:val="0"/>
        </w:num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6、</w:t>
      </w:r>
      <w:r>
        <w:rPr>
          <w:rFonts w:hint="eastAsia" w:ascii="仿宋_GB2312" w:hAnsi="仿宋" w:eastAsia="仿宋_GB2312"/>
          <w:color w:val="000000"/>
          <w:sz w:val="32"/>
          <w:szCs w:val="32"/>
        </w:rPr>
        <w:t>2020年内发债成功；</w:t>
      </w:r>
    </w:p>
    <w:p w14:paraId="38234A21">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7、守法经营、诚实守信，有规范健全的财务制度；</w:t>
      </w:r>
    </w:p>
    <w:bookmarkEnd w:id="0"/>
    <w:bookmarkEnd w:id="1"/>
    <w:bookmarkEnd w:id="2"/>
    <w:bookmarkEnd w:id="3"/>
    <w:p w14:paraId="156AE02E">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olor w:val="000000"/>
          <w:sz w:val="32"/>
          <w:szCs w:val="32"/>
        </w:rPr>
        <w:t>应积极配合区委、区政府相关工作。</w:t>
      </w:r>
    </w:p>
    <w:p w14:paraId="74274B02">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1510223C">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14:paraId="5EC213C1">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14:paraId="07F818BC">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14:paraId="0EBEA90F">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p>
    <w:p w14:paraId="0F7A6FC2">
      <w:pPr>
        <w:pStyle w:val="14"/>
        <w:widowControl/>
        <w:adjustRightInd w:val="0"/>
        <w:snapToGrid w:val="0"/>
        <w:spacing w:line="560" w:lineRule="exact"/>
        <w:ind w:left="709" w:firstLine="0" w:firstLineChars="0"/>
        <w:rPr>
          <w:rFonts w:ascii="黑体" w:eastAsia="黑体"/>
          <w:sz w:val="32"/>
          <w:szCs w:val="32"/>
        </w:rPr>
      </w:pPr>
      <w:r>
        <w:rPr>
          <w:rFonts w:hint="eastAsia" w:ascii="黑体" w:eastAsia="黑体"/>
          <w:sz w:val="32"/>
          <w:szCs w:val="32"/>
        </w:rPr>
        <w:t>五、办理流程</w:t>
      </w:r>
    </w:p>
    <w:p w14:paraId="4A52252E">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（一）申请单位按照相关资金操作规程的具体要求备齐资料，通过南山区产业发展综合服务平台提出资助申请，并按要求将有关材料递交指定窗口；</w:t>
      </w:r>
    </w:p>
    <w:p w14:paraId="3927BC2A">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445C3739">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14:paraId="2962E95A">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14:paraId="5F0EC740">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2BE0AC2C">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001445A2">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6A650FDF">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4FB6CF6E">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六、申请材料</w:t>
      </w:r>
    </w:p>
    <w:p w14:paraId="4A56CDBF">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w:t>
      </w:r>
      <w:bookmarkStart w:id="6" w:name="_GoBack"/>
      <w:bookmarkEnd w:id="6"/>
      <w:r>
        <w:rPr>
          <w:rFonts w:hint="eastAsia" w:ascii="仿宋_GB2312" w:eastAsia="仿宋_GB2312"/>
          <w:sz w:val="32"/>
          <w:szCs w:val="32"/>
        </w:rPr>
        <w:t>在线填写，待审核通过后提供通过该系统打印的申请书纸质文件原件）；</w:t>
      </w:r>
    </w:p>
    <w:p w14:paraId="6DE5B5EC">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新版“三证合一”营业执照（网上提交资料要求：原件彩色扫描上传；纸质材料要求：验原件，复印件加盖公章）</w:t>
      </w:r>
      <w:r>
        <w:rPr>
          <w:rFonts w:hint="eastAsia" w:ascii="仿宋_GB2312" w:eastAsia="仿宋_GB2312"/>
          <w:sz w:val="32"/>
          <w:szCs w:val="32"/>
        </w:rPr>
        <w:t>；</w:t>
      </w:r>
    </w:p>
    <w:p w14:paraId="7936D8CE">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（三）法定代</w:t>
      </w:r>
      <w:r>
        <w:rPr>
          <w:rFonts w:hint="eastAsia" w:ascii="仿宋_GB2312" w:hAnsi="宋体" w:eastAsia="仿宋_GB2312" w:cs="宋体"/>
          <w:sz w:val="32"/>
          <w:szCs w:val="32"/>
        </w:rPr>
        <w:t>表人身份证[网上提交资料要求：原件（复印件加盖公章）彩色扫描上传；纸质材料要求：复印件加盖公章）]；</w:t>
      </w:r>
    </w:p>
    <w:p w14:paraId="646B30B9">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（四）税务部门开具的单位上年度纳税证明（网上提交资料要求：</w:t>
      </w:r>
      <w:r>
        <w:rPr>
          <w:rFonts w:hint="eastAsia" w:ascii="仿宋_GB2312" w:eastAsia="仿宋_GB2312"/>
          <w:sz w:val="32"/>
          <w:szCs w:val="32"/>
        </w:rPr>
        <w:t>上传税务申报系统下载的电子版</w:t>
      </w:r>
      <w:r>
        <w:rPr>
          <w:rFonts w:hint="eastAsia" w:ascii="仿宋_GB2312" w:hAnsi="宋体" w:eastAsia="仿宋_GB2312" w:cs="宋体"/>
          <w:sz w:val="32"/>
          <w:szCs w:val="32"/>
        </w:rPr>
        <w:t>；纸质材料要求：</w:t>
      </w:r>
      <w:r>
        <w:rPr>
          <w:rFonts w:hint="eastAsia" w:ascii="仿宋_GB2312" w:eastAsia="仿宋_GB2312"/>
          <w:sz w:val="32"/>
          <w:szCs w:val="32"/>
        </w:rPr>
        <w:t>税务申报系统下载电子版打印并加盖企业公章</w:t>
      </w:r>
      <w:r>
        <w:rPr>
          <w:rFonts w:hint="eastAsia" w:ascii="仿宋_GB2312" w:hAnsi="宋体" w:eastAsia="仿宋_GB2312" w:cs="宋体"/>
          <w:sz w:val="32"/>
          <w:szCs w:val="32"/>
        </w:rPr>
        <w:t>）；</w:t>
      </w:r>
    </w:p>
    <w:p w14:paraId="5452E4B3">
      <w:pPr>
        <w:tabs>
          <w:tab w:val="left" w:pos="1050"/>
        </w:tabs>
        <w:spacing w:line="560"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（五）发债登记证明（交易所公司债券提供上市公告书或发行结果公告书，银行间债券提供发行情况公告书，</w:t>
      </w:r>
      <w:r>
        <w:rPr>
          <w:rFonts w:ascii="仿宋_GB2312" w:hAnsi="仿宋" w:eastAsia="仿宋_GB2312"/>
          <w:color w:val="000000"/>
          <w:sz w:val="32"/>
          <w:szCs w:val="32"/>
        </w:rPr>
        <w:t>前海股权交易中心发行的各类创新性融资工具提供发行情况公告书</w:t>
      </w:r>
      <w:r>
        <w:rPr>
          <w:rFonts w:hint="eastAsia" w:ascii="仿宋_GB2312" w:hAnsi="仿宋" w:eastAsia="仿宋_GB2312"/>
          <w:color w:val="000000"/>
          <w:sz w:val="32"/>
          <w:szCs w:val="32"/>
        </w:rPr>
        <w:t>，</w:t>
      </w:r>
      <w:r>
        <w:rPr>
          <w:rFonts w:ascii="仿宋_GB2312" w:hAnsi="仿宋" w:eastAsia="仿宋_GB2312"/>
          <w:color w:val="000000"/>
          <w:sz w:val="32"/>
          <w:szCs w:val="32"/>
        </w:rPr>
        <w:t>资产证券化类产品提供募集说明书和托管</w:t>
      </w:r>
      <w:r>
        <w:rPr>
          <w:rFonts w:hint="eastAsia" w:ascii="仿宋_GB2312" w:hAnsi="仿宋" w:eastAsia="仿宋_GB2312"/>
          <w:color w:val="000000"/>
          <w:sz w:val="32"/>
          <w:szCs w:val="32"/>
        </w:rPr>
        <w:t>银行融资额</w:t>
      </w:r>
      <w:r>
        <w:rPr>
          <w:rFonts w:ascii="仿宋_GB2312" w:hAnsi="仿宋" w:eastAsia="仿宋_GB2312"/>
          <w:color w:val="000000"/>
          <w:sz w:val="32"/>
          <w:szCs w:val="32"/>
        </w:rPr>
        <w:t>转账凭证，</w:t>
      </w:r>
      <w:r>
        <w:rPr>
          <w:rFonts w:hint="eastAsia" w:ascii="仿宋_GB2312" w:hAnsi="仿宋" w:eastAsia="仿宋_GB2312"/>
          <w:color w:val="000000"/>
          <w:sz w:val="32"/>
          <w:szCs w:val="32"/>
        </w:rPr>
        <w:t>资管计划提交备案证明和托管银行融资额</w:t>
      </w:r>
      <w:r>
        <w:rPr>
          <w:rFonts w:ascii="仿宋_GB2312" w:hAnsi="仿宋" w:eastAsia="仿宋_GB2312"/>
          <w:color w:val="000000"/>
          <w:sz w:val="32"/>
          <w:szCs w:val="32"/>
        </w:rPr>
        <w:t>转账凭证</w:t>
      </w:r>
      <w:r>
        <w:rPr>
          <w:rFonts w:hint="eastAsia" w:ascii="仿宋_GB2312" w:hAnsi="仿宋" w:eastAsia="仿宋_GB2312"/>
          <w:color w:val="000000"/>
          <w:sz w:val="32"/>
          <w:szCs w:val="32"/>
        </w:rPr>
        <w:t>，信托计划提交信托登记证明文书和托管银行融资额</w:t>
      </w:r>
      <w:r>
        <w:rPr>
          <w:rFonts w:ascii="仿宋_GB2312" w:hAnsi="仿宋" w:eastAsia="仿宋_GB2312"/>
          <w:color w:val="000000"/>
          <w:sz w:val="32"/>
          <w:szCs w:val="32"/>
        </w:rPr>
        <w:t>转账凭证</w:t>
      </w:r>
      <w:r>
        <w:rPr>
          <w:rFonts w:hint="eastAsia" w:ascii="仿宋_GB2312" w:hAnsi="宋体" w:eastAsia="仿宋_GB2312" w:cs="宋体"/>
          <w:sz w:val="32"/>
          <w:szCs w:val="32"/>
        </w:rPr>
        <w:t>（网上提交资料要求：原件彩色扫描上传；纸质材料要求：验原件，复印件加盖公章）</w:t>
      </w:r>
      <w:r>
        <w:rPr>
          <w:rFonts w:hint="eastAsia" w:ascii="仿宋_GB2312" w:hAnsi="仿宋" w:eastAsia="仿宋_GB2312"/>
          <w:color w:val="000000"/>
          <w:sz w:val="32"/>
          <w:szCs w:val="32"/>
        </w:rPr>
        <w:t>；</w:t>
      </w:r>
    </w:p>
    <w:p w14:paraId="455543C1">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（六）企业股权架构图（需股权穿透，列明各公司持股比例及企业实际控制人）（网上提交资料要求：加盖公章，原件彩色扫描上传；纸质材料要求：验原件，复印件加盖公章）；</w:t>
      </w:r>
    </w:p>
    <w:p w14:paraId="1407F0C4">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（七）</w:t>
      </w:r>
      <w:r>
        <w:rPr>
          <w:rFonts w:hint="eastAsia" w:ascii="仿宋_GB2312" w:eastAsia="仿宋_GB2312"/>
          <w:sz w:val="32"/>
          <w:szCs w:val="32"/>
        </w:rPr>
        <w:t>审核部门认为需要提供的其它材料。</w:t>
      </w:r>
    </w:p>
    <w:p w14:paraId="2B6F270B">
      <w:pPr>
        <w:widowControl/>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说明：以上材料按照要求在线填写或采用附件形式在线提交，接到递交纸质材料通知后，将上述材料按顺序装订，一式一份，A4纸正反面打印/复印，非空白页（含封面）需连续编写页码，装订成册（胶装）提交，需验原件的请同时提供</w:t>
      </w:r>
      <w:r>
        <w:rPr>
          <w:rFonts w:hint="eastAsia" w:ascii="仿宋_GB2312" w:eastAsia="仿宋_GB2312"/>
          <w:sz w:val="32"/>
          <w:szCs w:val="32"/>
        </w:rPr>
        <w:t>原件待验。</w:t>
      </w:r>
    </w:p>
    <w:p w14:paraId="4349FA47">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七、时限要求</w:t>
      </w:r>
    </w:p>
    <w:p w14:paraId="72D5B47F">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区工业和信息化局每年安排1-2次集中受理企业申请（具体时间以发布的申报通知为准），资助计划下达1个月内受资助单位须办理资金拨付手续，逾期不办理者视为自动放弃。</w:t>
      </w:r>
    </w:p>
    <w:p w14:paraId="0E19CC70">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八、其他事项</w:t>
      </w:r>
    </w:p>
    <w:p w14:paraId="022C157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5EBEB9B1">
      <w:pPr>
        <w:widowControl/>
        <w:spacing w:line="560" w:lineRule="exact"/>
        <w:ind w:firstLine="640" w:firstLineChars="200"/>
        <w:rPr>
          <w:rFonts w:ascii="黑体" w:eastAsia="黑体"/>
          <w:sz w:val="32"/>
          <w:szCs w:val="32"/>
        </w:rPr>
      </w:pPr>
      <w:r>
        <w:rPr>
          <w:rFonts w:hint="eastAsia" w:ascii="黑体" w:eastAsia="黑体"/>
          <w:sz w:val="32"/>
          <w:szCs w:val="32"/>
        </w:rPr>
        <w:t>九、附则</w:t>
      </w:r>
    </w:p>
    <w:p w14:paraId="09E296BA">
      <w:pPr>
        <w:spacing w:line="360" w:lineRule="auto"/>
        <w:rPr>
          <w:rFonts w:ascii="仿宋_GB2312" w:hAnsi="仿宋" w:eastAsia="仿宋_GB2312"/>
          <w:sz w:val="32"/>
          <w:szCs w:val="32"/>
        </w:rPr>
      </w:pPr>
      <w:r>
        <w:rPr>
          <w:rFonts w:hint="eastAsia" w:ascii="仿宋_GB2312" w:eastAsia="仿宋_GB2312"/>
          <w:sz w:val="32"/>
          <w:szCs w:val="32"/>
        </w:rPr>
        <w:t xml:space="preserve">    本操作规程由南山区工业和信息化局负责解释，自发布之日起施行。</w:t>
      </w:r>
    </w:p>
    <w:sectPr>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3A1D98"/>
    <w:rsid w:val="000101B3"/>
    <w:rsid w:val="000104E9"/>
    <w:rsid w:val="0001052C"/>
    <w:rsid w:val="00011724"/>
    <w:rsid w:val="00021BE0"/>
    <w:rsid w:val="00022F6F"/>
    <w:rsid w:val="00027639"/>
    <w:rsid w:val="000354E9"/>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2CEB"/>
    <w:rsid w:val="000B4C3F"/>
    <w:rsid w:val="000B6989"/>
    <w:rsid w:val="000C1AE7"/>
    <w:rsid w:val="000C21F1"/>
    <w:rsid w:val="000C24FC"/>
    <w:rsid w:val="000C5213"/>
    <w:rsid w:val="000C5506"/>
    <w:rsid w:val="000C5D2E"/>
    <w:rsid w:val="000C6630"/>
    <w:rsid w:val="000C7200"/>
    <w:rsid w:val="000C7F9F"/>
    <w:rsid w:val="000D253C"/>
    <w:rsid w:val="000D3EC8"/>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234F1"/>
    <w:rsid w:val="00135F81"/>
    <w:rsid w:val="00137CB4"/>
    <w:rsid w:val="001455F7"/>
    <w:rsid w:val="0014565E"/>
    <w:rsid w:val="001461C9"/>
    <w:rsid w:val="0017395C"/>
    <w:rsid w:val="00177805"/>
    <w:rsid w:val="00181CD2"/>
    <w:rsid w:val="00183C11"/>
    <w:rsid w:val="00184CC7"/>
    <w:rsid w:val="001856D0"/>
    <w:rsid w:val="001955CA"/>
    <w:rsid w:val="0019715A"/>
    <w:rsid w:val="001A1626"/>
    <w:rsid w:val="001A51FA"/>
    <w:rsid w:val="001B0C7B"/>
    <w:rsid w:val="001B2C5B"/>
    <w:rsid w:val="001C28D1"/>
    <w:rsid w:val="001C5067"/>
    <w:rsid w:val="001C532E"/>
    <w:rsid w:val="001C5B08"/>
    <w:rsid w:val="001D0BFD"/>
    <w:rsid w:val="001D5CD7"/>
    <w:rsid w:val="001E6680"/>
    <w:rsid w:val="001F6C02"/>
    <w:rsid w:val="00200D0D"/>
    <w:rsid w:val="00220278"/>
    <w:rsid w:val="002202EF"/>
    <w:rsid w:val="00220312"/>
    <w:rsid w:val="00222233"/>
    <w:rsid w:val="00224B7A"/>
    <w:rsid w:val="002308DF"/>
    <w:rsid w:val="00230CAB"/>
    <w:rsid w:val="00230E8D"/>
    <w:rsid w:val="002346AE"/>
    <w:rsid w:val="00235BA5"/>
    <w:rsid w:val="002368A4"/>
    <w:rsid w:val="0024056C"/>
    <w:rsid w:val="00246DAB"/>
    <w:rsid w:val="00250BA7"/>
    <w:rsid w:val="00252154"/>
    <w:rsid w:val="00253991"/>
    <w:rsid w:val="00253E78"/>
    <w:rsid w:val="002649BD"/>
    <w:rsid w:val="00265088"/>
    <w:rsid w:val="00267407"/>
    <w:rsid w:val="00271865"/>
    <w:rsid w:val="00271874"/>
    <w:rsid w:val="00271E3F"/>
    <w:rsid w:val="00272A0C"/>
    <w:rsid w:val="00273893"/>
    <w:rsid w:val="002767A5"/>
    <w:rsid w:val="00277616"/>
    <w:rsid w:val="00287C4E"/>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7F43"/>
    <w:rsid w:val="0034327A"/>
    <w:rsid w:val="00353D16"/>
    <w:rsid w:val="00356646"/>
    <w:rsid w:val="00363933"/>
    <w:rsid w:val="003646EF"/>
    <w:rsid w:val="003649A6"/>
    <w:rsid w:val="003668F0"/>
    <w:rsid w:val="00370915"/>
    <w:rsid w:val="00377650"/>
    <w:rsid w:val="00382FF0"/>
    <w:rsid w:val="00386BC6"/>
    <w:rsid w:val="00391697"/>
    <w:rsid w:val="00391844"/>
    <w:rsid w:val="00394C5E"/>
    <w:rsid w:val="00397BFC"/>
    <w:rsid w:val="003A1D98"/>
    <w:rsid w:val="003A4EB8"/>
    <w:rsid w:val="003A6E51"/>
    <w:rsid w:val="003B3334"/>
    <w:rsid w:val="003B3ED3"/>
    <w:rsid w:val="003B5FD5"/>
    <w:rsid w:val="003C58FB"/>
    <w:rsid w:val="003D2365"/>
    <w:rsid w:val="003D2D2F"/>
    <w:rsid w:val="003E1026"/>
    <w:rsid w:val="003E4E3D"/>
    <w:rsid w:val="003F1085"/>
    <w:rsid w:val="003F4BF2"/>
    <w:rsid w:val="004030B9"/>
    <w:rsid w:val="00405D09"/>
    <w:rsid w:val="00410EC1"/>
    <w:rsid w:val="00413095"/>
    <w:rsid w:val="00414BB9"/>
    <w:rsid w:val="004150B8"/>
    <w:rsid w:val="00420EF4"/>
    <w:rsid w:val="0042190A"/>
    <w:rsid w:val="004252E9"/>
    <w:rsid w:val="004264EC"/>
    <w:rsid w:val="00427FB5"/>
    <w:rsid w:val="004305CF"/>
    <w:rsid w:val="004444EA"/>
    <w:rsid w:val="004450F2"/>
    <w:rsid w:val="004514BA"/>
    <w:rsid w:val="004719FF"/>
    <w:rsid w:val="004738A7"/>
    <w:rsid w:val="004749E0"/>
    <w:rsid w:val="004866B8"/>
    <w:rsid w:val="00487E6E"/>
    <w:rsid w:val="00490025"/>
    <w:rsid w:val="00490CCC"/>
    <w:rsid w:val="00495F84"/>
    <w:rsid w:val="00497A13"/>
    <w:rsid w:val="004A01C7"/>
    <w:rsid w:val="004A0A37"/>
    <w:rsid w:val="004A7869"/>
    <w:rsid w:val="004B1DE9"/>
    <w:rsid w:val="004B5440"/>
    <w:rsid w:val="004B737A"/>
    <w:rsid w:val="004C0EE6"/>
    <w:rsid w:val="004D31F9"/>
    <w:rsid w:val="004D46DE"/>
    <w:rsid w:val="004E5476"/>
    <w:rsid w:val="004F196F"/>
    <w:rsid w:val="004F75FD"/>
    <w:rsid w:val="005011ED"/>
    <w:rsid w:val="00504AD1"/>
    <w:rsid w:val="00511669"/>
    <w:rsid w:val="005162E6"/>
    <w:rsid w:val="00522839"/>
    <w:rsid w:val="0052314A"/>
    <w:rsid w:val="00524D6C"/>
    <w:rsid w:val="00526CB8"/>
    <w:rsid w:val="00531A39"/>
    <w:rsid w:val="005336BC"/>
    <w:rsid w:val="00533FD8"/>
    <w:rsid w:val="00534597"/>
    <w:rsid w:val="00534743"/>
    <w:rsid w:val="00534C6A"/>
    <w:rsid w:val="00537904"/>
    <w:rsid w:val="00542638"/>
    <w:rsid w:val="005437FB"/>
    <w:rsid w:val="00544B06"/>
    <w:rsid w:val="0054542B"/>
    <w:rsid w:val="005533C4"/>
    <w:rsid w:val="005537BD"/>
    <w:rsid w:val="00553E71"/>
    <w:rsid w:val="00562302"/>
    <w:rsid w:val="00564E24"/>
    <w:rsid w:val="00566350"/>
    <w:rsid w:val="0057074D"/>
    <w:rsid w:val="005803BD"/>
    <w:rsid w:val="00584C85"/>
    <w:rsid w:val="00592BD1"/>
    <w:rsid w:val="0059784B"/>
    <w:rsid w:val="005A511F"/>
    <w:rsid w:val="005A62B5"/>
    <w:rsid w:val="005A65FA"/>
    <w:rsid w:val="005B1337"/>
    <w:rsid w:val="005B544C"/>
    <w:rsid w:val="005C1198"/>
    <w:rsid w:val="005C26DF"/>
    <w:rsid w:val="005C47B5"/>
    <w:rsid w:val="005D5491"/>
    <w:rsid w:val="005E04AD"/>
    <w:rsid w:val="005E1EEC"/>
    <w:rsid w:val="005E34B8"/>
    <w:rsid w:val="005E3846"/>
    <w:rsid w:val="005E4489"/>
    <w:rsid w:val="005E52EA"/>
    <w:rsid w:val="005E5635"/>
    <w:rsid w:val="005E5F77"/>
    <w:rsid w:val="005E6B97"/>
    <w:rsid w:val="005F0B02"/>
    <w:rsid w:val="005F3725"/>
    <w:rsid w:val="005F620F"/>
    <w:rsid w:val="005F6F80"/>
    <w:rsid w:val="00602A30"/>
    <w:rsid w:val="00612482"/>
    <w:rsid w:val="00614183"/>
    <w:rsid w:val="00614B48"/>
    <w:rsid w:val="00620203"/>
    <w:rsid w:val="00623342"/>
    <w:rsid w:val="00626EE4"/>
    <w:rsid w:val="00630503"/>
    <w:rsid w:val="00635AF9"/>
    <w:rsid w:val="0064202C"/>
    <w:rsid w:val="00646693"/>
    <w:rsid w:val="00650FC0"/>
    <w:rsid w:val="00655276"/>
    <w:rsid w:val="00656E3D"/>
    <w:rsid w:val="00657A66"/>
    <w:rsid w:val="00665CF0"/>
    <w:rsid w:val="00666A56"/>
    <w:rsid w:val="00672F65"/>
    <w:rsid w:val="0067472F"/>
    <w:rsid w:val="00674DF8"/>
    <w:rsid w:val="00677BAE"/>
    <w:rsid w:val="006800BD"/>
    <w:rsid w:val="00681139"/>
    <w:rsid w:val="00683E16"/>
    <w:rsid w:val="006936C7"/>
    <w:rsid w:val="0069562A"/>
    <w:rsid w:val="00696E1C"/>
    <w:rsid w:val="00697882"/>
    <w:rsid w:val="006B7338"/>
    <w:rsid w:val="006C138D"/>
    <w:rsid w:val="006C22D1"/>
    <w:rsid w:val="006C2DE1"/>
    <w:rsid w:val="006D15BC"/>
    <w:rsid w:val="006D346E"/>
    <w:rsid w:val="006D49B7"/>
    <w:rsid w:val="006E7F79"/>
    <w:rsid w:val="006F26EE"/>
    <w:rsid w:val="006F4B07"/>
    <w:rsid w:val="006F53B3"/>
    <w:rsid w:val="00701870"/>
    <w:rsid w:val="0070294A"/>
    <w:rsid w:val="0071020E"/>
    <w:rsid w:val="00710782"/>
    <w:rsid w:val="0072236F"/>
    <w:rsid w:val="00722E75"/>
    <w:rsid w:val="00723CF4"/>
    <w:rsid w:val="00732E63"/>
    <w:rsid w:val="00736130"/>
    <w:rsid w:val="00743CEC"/>
    <w:rsid w:val="00744D0B"/>
    <w:rsid w:val="00746B2B"/>
    <w:rsid w:val="00747D8E"/>
    <w:rsid w:val="0075000C"/>
    <w:rsid w:val="00750BED"/>
    <w:rsid w:val="0075164D"/>
    <w:rsid w:val="00752968"/>
    <w:rsid w:val="007531C2"/>
    <w:rsid w:val="00754642"/>
    <w:rsid w:val="007605F0"/>
    <w:rsid w:val="00762AEB"/>
    <w:rsid w:val="00763BC8"/>
    <w:rsid w:val="00766B7D"/>
    <w:rsid w:val="007712FB"/>
    <w:rsid w:val="00795AFC"/>
    <w:rsid w:val="007A0FC9"/>
    <w:rsid w:val="007A2F5A"/>
    <w:rsid w:val="007B266C"/>
    <w:rsid w:val="007C4763"/>
    <w:rsid w:val="007C7BE7"/>
    <w:rsid w:val="007D013D"/>
    <w:rsid w:val="007D4B61"/>
    <w:rsid w:val="007D5BF6"/>
    <w:rsid w:val="007F0A8B"/>
    <w:rsid w:val="007F569A"/>
    <w:rsid w:val="007F5FD8"/>
    <w:rsid w:val="00801047"/>
    <w:rsid w:val="00802FE6"/>
    <w:rsid w:val="00815713"/>
    <w:rsid w:val="00831322"/>
    <w:rsid w:val="008317E9"/>
    <w:rsid w:val="00832BB1"/>
    <w:rsid w:val="00842A05"/>
    <w:rsid w:val="008552B2"/>
    <w:rsid w:val="00862D15"/>
    <w:rsid w:val="00875132"/>
    <w:rsid w:val="0088387D"/>
    <w:rsid w:val="008852DC"/>
    <w:rsid w:val="00887081"/>
    <w:rsid w:val="00892A68"/>
    <w:rsid w:val="00894F37"/>
    <w:rsid w:val="00897716"/>
    <w:rsid w:val="00897F01"/>
    <w:rsid w:val="008A48E9"/>
    <w:rsid w:val="008A556B"/>
    <w:rsid w:val="008A7B04"/>
    <w:rsid w:val="008B3964"/>
    <w:rsid w:val="008B4B24"/>
    <w:rsid w:val="008C3BDF"/>
    <w:rsid w:val="008C3DB8"/>
    <w:rsid w:val="008C4184"/>
    <w:rsid w:val="008C770D"/>
    <w:rsid w:val="008C7C54"/>
    <w:rsid w:val="008D3A9F"/>
    <w:rsid w:val="008F0CE8"/>
    <w:rsid w:val="008F0D38"/>
    <w:rsid w:val="008F1F6E"/>
    <w:rsid w:val="00905E26"/>
    <w:rsid w:val="00907289"/>
    <w:rsid w:val="00913504"/>
    <w:rsid w:val="00915DCB"/>
    <w:rsid w:val="009279E0"/>
    <w:rsid w:val="00941D52"/>
    <w:rsid w:val="009435BC"/>
    <w:rsid w:val="00945703"/>
    <w:rsid w:val="00973953"/>
    <w:rsid w:val="00975F3C"/>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E3591"/>
    <w:rsid w:val="009E35B3"/>
    <w:rsid w:val="009F00C1"/>
    <w:rsid w:val="009F1033"/>
    <w:rsid w:val="00A03634"/>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90D89"/>
    <w:rsid w:val="00A916A8"/>
    <w:rsid w:val="00A954F2"/>
    <w:rsid w:val="00A976C1"/>
    <w:rsid w:val="00A97871"/>
    <w:rsid w:val="00AC2334"/>
    <w:rsid w:val="00AC44D5"/>
    <w:rsid w:val="00AC4FB5"/>
    <w:rsid w:val="00AC615F"/>
    <w:rsid w:val="00AD1950"/>
    <w:rsid w:val="00AD5B6B"/>
    <w:rsid w:val="00AD7D54"/>
    <w:rsid w:val="00AE27FD"/>
    <w:rsid w:val="00AE2B8E"/>
    <w:rsid w:val="00AE4B57"/>
    <w:rsid w:val="00AE707E"/>
    <w:rsid w:val="00AF00AB"/>
    <w:rsid w:val="00AF10E0"/>
    <w:rsid w:val="00AF542C"/>
    <w:rsid w:val="00AF6D19"/>
    <w:rsid w:val="00B122D8"/>
    <w:rsid w:val="00B13E64"/>
    <w:rsid w:val="00B175BE"/>
    <w:rsid w:val="00B25C04"/>
    <w:rsid w:val="00B322E0"/>
    <w:rsid w:val="00B32E5B"/>
    <w:rsid w:val="00B349D0"/>
    <w:rsid w:val="00B360E7"/>
    <w:rsid w:val="00B365B1"/>
    <w:rsid w:val="00B42529"/>
    <w:rsid w:val="00B43128"/>
    <w:rsid w:val="00B432A1"/>
    <w:rsid w:val="00B43843"/>
    <w:rsid w:val="00B4428F"/>
    <w:rsid w:val="00B4692C"/>
    <w:rsid w:val="00B50448"/>
    <w:rsid w:val="00B51E92"/>
    <w:rsid w:val="00B55AA2"/>
    <w:rsid w:val="00B66824"/>
    <w:rsid w:val="00B670BA"/>
    <w:rsid w:val="00B7011F"/>
    <w:rsid w:val="00B77F93"/>
    <w:rsid w:val="00B80054"/>
    <w:rsid w:val="00B8205D"/>
    <w:rsid w:val="00B8403D"/>
    <w:rsid w:val="00B8456F"/>
    <w:rsid w:val="00B84B1D"/>
    <w:rsid w:val="00B8615D"/>
    <w:rsid w:val="00B91150"/>
    <w:rsid w:val="00B91444"/>
    <w:rsid w:val="00BA609D"/>
    <w:rsid w:val="00BA7664"/>
    <w:rsid w:val="00BB1267"/>
    <w:rsid w:val="00BB19DC"/>
    <w:rsid w:val="00BB4192"/>
    <w:rsid w:val="00BB5D47"/>
    <w:rsid w:val="00BB6B92"/>
    <w:rsid w:val="00BB6D45"/>
    <w:rsid w:val="00BB72D9"/>
    <w:rsid w:val="00BB78AC"/>
    <w:rsid w:val="00BC1696"/>
    <w:rsid w:val="00BC2BBD"/>
    <w:rsid w:val="00BC2C40"/>
    <w:rsid w:val="00BC5BD5"/>
    <w:rsid w:val="00BD0EF5"/>
    <w:rsid w:val="00BD4D72"/>
    <w:rsid w:val="00BD6B97"/>
    <w:rsid w:val="00BE71A8"/>
    <w:rsid w:val="00BF6D39"/>
    <w:rsid w:val="00C30563"/>
    <w:rsid w:val="00C34A10"/>
    <w:rsid w:val="00C420D9"/>
    <w:rsid w:val="00C42313"/>
    <w:rsid w:val="00C46942"/>
    <w:rsid w:val="00C51FD6"/>
    <w:rsid w:val="00C54C50"/>
    <w:rsid w:val="00C56D0A"/>
    <w:rsid w:val="00C61C30"/>
    <w:rsid w:val="00C67735"/>
    <w:rsid w:val="00C71569"/>
    <w:rsid w:val="00C734B9"/>
    <w:rsid w:val="00C74CAA"/>
    <w:rsid w:val="00C8209A"/>
    <w:rsid w:val="00C85DDF"/>
    <w:rsid w:val="00C902C2"/>
    <w:rsid w:val="00C90F59"/>
    <w:rsid w:val="00C96983"/>
    <w:rsid w:val="00C97484"/>
    <w:rsid w:val="00CB3338"/>
    <w:rsid w:val="00CC7319"/>
    <w:rsid w:val="00CC7C3F"/>
    <w:rsid w:val="00CD0975"/>
    <w:rsid w:val="00CD363E"/>
    <w:rsid w:val="00CD66D8"/>
    <w:rsid w:val="00CE55AC"/>
    <w:rsid w:val="00CF4AFA"/>
    <w:rsid w:val="00CF63FD"/>
    <w:rsid w:val="00D008CC"/>
    <w:rsid w:val="00D02DB3"/>
    <w:rsid w:val="00D11EDF"/>
    <w:rsid w:val="00D2029C"/>
    <w:rsid w:val="00D20741"/>
    <w:rsid w:val="00D20FEE"/>
    <w:rsid w:val="00D21BE4"/>
    <w:rsid w:val="00D2678E"/>
    <w:rsid w:val="00D33252"/>
    <w:rsid w:val="00D4085E"/>
    <w:rsid w:val="00D42ABD"/>
    <w:rsid w:val="00D42FF6"/>
    <w:rsid w:val="00D45C95"/>
    <w:rsid w:val="00D474A5"/>
    <w:rsid w:val="00D50B67"/>
    <w:rsid w:val="00D51A06"/>
    <w:rsid w:val="00D54648"/>
    <w:rsid w:val="00D57465"/>
    <w:rsid w:val="00D649FC"/>
    <w:rsid w:val="00D66C38"/>
    <w:rsid w:val="00D72570"/>
    <w:rsid w:val="00D728FB"/>
    <w:rsid w:val="00D822CB"/>
    <w:rsid w:val="00D9466F"/>
    <w:rsid w:val="00DA3C86"/>
    <w:rsid w:val="00DA7D41"/>
    <w:rsid w:val="00DC0AEA"/>
    <w:rsid w:val="00DC2AAA"/>
    <w:rsid w:val="00DD2755"/>
    <w:rsid w:val="00DD706B"/>
    <w:rsid w:val="00DE61A1"/>
    <w:rsid w:val="00DF2643"/>
    <w:rsid w:val="00DF288D"/>
    <w:rsid w:val="00DF514A"/>
    <w:rsid w:val="00DF6FFE"/>
    <w:rsid w:val="00E01C30"/>
    <w:rsid w:val="00E025F7"/>
    <w:rsid w:val="00E03E77"/>
    <w:rsid w:val="00E1672A"/>
    <w:rsid w:val="00E23353"/>
    <w:rsid w:val="00E26AC2"/>
    <w:rsid w:val="00E27C8A"/>
    <w:rsid w:val="00E33766"/>
    <w:rsid w:val="00E35DF4"/>
    <w:rsid w:val="00E37E70"/>
    <w:rsid w:val="00E40837"/>
    <w:rsid w:val="00E44AC4"/>
    <w:rsid w:val="00E46408"/>
    <w:rsid w:val="00E5348F"/>
    <w:rsid w:val="00E54BA5"/>
    <w:rsid w:val="00E5587C"/>
    <w:rsid w:val="00E57310"/>
    <w:rsid w:val="00E67889"/>
    <w:rsid w:val="00E76956"/>
    <w:rsid w:val="00E76B08"/>
    <w:rsid w:val="00E77E47"/>
    <w:rsid w:val="00E85F11"/>
    <w:rsid w:val="00E92232"/>
    <w:rsid w:val="00E974E8"/>
    <w:rsid w:val="00EA3F39"/>
    <w:rsid w:val="00EB6124"/>
    <w:rsid w:val="00EB6E14"/>
    <w:rsid w:val="00EB745A"/>
    <w:rsid w:val="00EB7C2B"/>
    <w:rsid w:val="00EC3869"/>
    <w:rsid w:val="00EC40F8"/>
    <w:rsid w:val="00EC6EC4"/>
    <w:rsid w:val="00EC7BB9"/>
    <w:rsid w:val="00ED015B"/>
    <w:rsid w:val="00ED09B7"/>
    <w:rsid w:val="00ED0F9C"/>
    <w:rsid w:val="00ED46A6"/>
    <w:rsid w:val="00ED56B3"/>
    <w:rsid w:val="00ED708C"/>
    <w:rsid w:val="00EE2D51"/>
    <w:rsid w:val="00EE74EE"/>
    <w:rsid w:val="00EF7385"/>
    <w:rsid w:val="00F0218A"/>
    <w:rsid w:val="00F03124"/>
    <w:rsid w:val="00F129BA"/>
    <w:rsid w:val="00F14608"/>
    <w:rsid w:val="00F15E09"/>
    <w:rsid w:val="00F23BAC"/>
    <w:rsid w:val="00F260F5"/>
    <w:rsid w:val="00F308F6"/>
    <w:rsid w:val="00F44A3A"/>
    <w:rsid w:val="00F4641B"/>
    <w:rsid w:val="00F46F16"/>
    <w:rsid w:val="00F47093"/>
    <w:rsid w:val="00F53BAF"/>
    <w:rsid w:val="00F719F4"/>
    <w:rsid w:val="00F77341"/>
    <w:rsid w:val="00F91539"/>
    <w:rsid w:val="00FB3B33"/>
    <w:rsid w:val="00FB7095"/>
    <w:rsid w:val="00FC30E0"/>
    <w:rsid w:val="00FC43E3"/>
    <w:rsid w:val="00FC654B"/>
    <w:rsid w:val="00FC73E8"/>
    <w:rsid w:val="00FC7AA0"/>
    <w:rsid w:val="00FD44A9"/>
    <w:rsid w:val="00FD6D25"/>
    <w:rsid w:val="00FE53DF"/>
    <w:rsid w:val="00FF31FB"/>
    <w:rsid w:val="01647684"/>
    <w:rsid w:val="16ED4934"/>
    <w:rsid w:val="2A231F6B"/>
    <w:rsid w:val="35DF29AC"/>
    <w:rsid w:val="4BF743F5"/>
    <w:rsid w:val="4C4237EA"/>
    <w:rsid w:val="5FFD1251"/>
    <w:rsid w:val="7874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pPr>
      <w:jc w:val="left"/>
    </w:pPr>
  </w:style>
  <w:style w:type="paragraph" w:styleId="3">
    <w:name w:val="Balloon Text"/>
    <w:basedOn w:val="1"/>
    <w:semiHidden/>
    <w:uiPriority w:val="0"/>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Emphasis"/>
    <w:basedOn w:val="8"/>
    <w:qFormat/>
    <w:uiPriority w:val="20"/>
    <w:rPr>
      <w:i/>
      <w:i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默认段落字体 Para Char Char"/>
    <w:basedOn w:val="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1"/>
    <w:basedOn w:val="1"/>
    <w:qFormat/>
    <w:uiPriority w:val="34"/>
    <w:pPr>
      <w:ind w:firstLine="420" w:firstLineChars="200"/>
    </w:p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31"/>
    <w:qFormat/>
    <w:uiPriority w:val="0"/>
    <w:rPr>
      <w:rFonts w:hint="eastAsia" w:ascii="宋体" w:hAnsi="宋体" w:eastAsia="宋体" w:cs="宋体"/>
      <w:b/>
      <w:color w:val="000000"/>
      <w:sz w:val="28"/>
      <w:szCs w:val="28"/>
      <w:u w:val="none"/>
    </w:rPr>
  </w:style>
  <w:style w:type="character" w:customStyle="1" w:styleId="18">
    <w:name w:val="font01"/>
    <w:qFormat/>
    <w:uiPriority w:val="0"/>
    <w:rPr>
      <w:rFonts w:hint="eastAsia" w:ascii="宋体" w:hAnsi="宋体" w:eastAsia="宋体" w:cs="宋体"/>
      <w:b/>
      <w:color w:val="000000"/>
      <w:sz w:val="28"/>
      <w:szCs w:val="28"/>
      <w:u w:val="single"/>
    </w:rPr>
  </w:style>
  <w:style w:type="character" w:customStyle="1" w:styleId="19">
    <w:name w:val="批注文字 Char"/>
    <w:link w:val="2"/>
    <w:qFormat/>
    <w:uiPriority w:val="0"/>
    <w:rPr>
      <w:kern w:val="2"/>
      <w:sz w:val="21"/>
      <w:szCs w:val="24"/>
    </w:rPr>
  </w:style>
  <w:style w:type="character" w:customStyle="1" w:styleId="20">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2BB2-D9AA-48E9-9E44-E866771EA0E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2316</Words>
  <Characters>2366</Characters>
  <Lines>17</Lines>
  <Paragraphs>4</Paragraphs>
  <TotalTime>0</TotalTime>
  <ScaleCrop>false</ScaleCrop>
  <LinksUpToDate>false</LinksUpToDate>
  <CharactersWithSpaces>2383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2020-05-29T10:44:00Z</dcterms:created>
  <dc:creator>微软用户</dc:creator>
  <cp:lastModifiedBy>微信用户</cp:lastModifiedBy>
  <cp:lastPrinted>2019-12-13T09:03:00Z</cp:lastPrinted>
  <dcterms:modified xsi:type="dcterms:W3CDTF">2024-10-17T09:37:32Z</dcterms:modified>
  <dc:title>南山区 “上市促进贷” 贷款贴息计划操作规程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BAC34599587F4C7D92711EA0A9002941_12</vt:lpwstr>
  </property>
</Properties>
</file>