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48298">
      <w:pPr>
        <w:spacing w:line="560" w:lineRule="exact"/>
        <w:jc w:val="center"/>
        <w:rPr>
          <w:rFonts w:ascii="黑体" w:eastAsia="黑体"/>
          <w:sz w:val="32"/>
          <w:szCs w:val="32"/>
        </w:rPr>
      </w:pPr>
    </w:p>
    <w:p w14:paraId="09A8BA8C">
      <w:pPr>
        <w:spacing w:line="560" w:lineRule="exact"/>
        <w:jc w:val="center"/>
        <w:outlineLvl w:val="0"/>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南山区自主创新产业发展专项资金—经济发展分项资金</w:t>
      </w:r>
    </w:p>
    <w:p w14:paraId="3ADE238B">
      <w:pPr>
        <w:spacing w:line="560" w:lineRule="exact"/>
        <w:jc w:val="center"/>
        <w:outlineLvl w:val="0"/>
        <w:rPr>
          <w:rFonts w:ascii="宋体" w:hAnsi="宋体"/>
          <w:b/>
          <w:sz w:val="44"/>
          <w:szCs w:val="44"/>
        </w:rPr>
      </w:pPr>
      <w:r>
        <w:rPr>
          <w:rFonts w:hint="eastAsia" w:ascii="黑体" w:eastAsia="黑体"/>
          <w:sz w:val="32"/>
          <w:szCs w:val="32"/>
        </w:rPr>
        <w:t>企业发债支持项目操作规程（</w:t>
      </w:r>
      <w:r>
        <w:rPr>
          <w:rFonts w:hint="eastAsia" w:ascii="黑体" w:eastAsia="黑体"/>
          <w:sz w:val="32"/>
          <w:szCs w:val="32"/>
          <w:lang w:eastAsia="zh-CN"/>
        </w:rPr>
        <w:t>202</w:t>
      </w:r>
      <w:r>
        <w:rPr>
          <w:rFonts w:hint="eastAsia" w:ascii="黑体" w:eastAsia="黑体"/>
          <w:sz w:val="32"/>
          <w:szCs w:val="32"/>
          <w:lang w:val="en-US" w:eastAsia="zh-CN"/>
        </w:rPr>
        <w:t>2</w:t>
      </w:r>
      <w:r>
        <w:rPr>
          <w:rFonts w:hint="eastAsia" w:ascii="黑体" w:eastAsia="黑体"/>
          <w:sz w:val="32"/>
          <w:szCs w:val="32"/>
        </w:rPr>
        <w:t>年度）</w:t>
      </w:r>
    </w:p>
    <w:p w14:paraId="3D672A51">
      <w:pPr>
        <w:spacing w:line="560" w:lineRule="exact"/>
        <w:ind w:firstLine="640" w:firstLineChars="200"/>
        <w:rPr>
          <w:rFonts w:ascii="仿宋_GB2312" w:hAnsi="仿宋_GB2312" w:eastAsia="仿宋_GB2312" w:cs="仿宋_GB2312"/>
          <w:sz w:val="32"/>
          <w:szCs w:val="32"/>
        </w:rPr>
      </w:pPr>
    </w:p>
    <w:p w14:paraId="0C1E9DE3">
      <w:pPr>
        <w:spacing w:line="560" w:lineRule="exact"/>
        <w:ind w:firstLine="640" w:firstLineChars="200"/>
        <w:rPr>
          <w:rFonts w:eastAsia="仿宋"/>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支持企业多渠道融资，降低企业融资成本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根据《南山区自主创新产业发展专项资金管理办法》及《南山区自主创新产业发展专项资金经济发展分项资金实施细则》，制定本操作规程。</w:t>
      </w:r>
    </w:p>
    <w:p w14:paraId="353DA1A5">
      <w:pPr>
        <w:widowControl/>
        <w:adjustRightInd w:val="0"/>
        <w:snapToGrid w:val="0"/>
        <w:spacing w:line="560" w:lineRule="exact"/>
        <w:ind w:firstLine="640" w:firstLineChars="200"/>
        <w:outlineLvl w:val="0"/>
        <w:rPr>
          <w:rFonts w:ascii="黑体" w:eastAsia="黑体"/>
          <w:sz w:val="32"/>
          <w:szCs w:val="32"/>
        </w:rPr>
      </w:pPr>
      <w:r>
        <w:rPr>
          <w:rFonts w:hint="eastAsia" w:ascii="黑体" w:eastAsia="黑体"/>
          <w:sz w:val="32"/>
          <w:szCs w:val="32"/>
        </w:rPr>
        <w:t>一、政策内容</w:t>
      </w:r>
    </w:p>
    <w:p w14:paraId="0C6CF91B">
      <w:pPr>
        <w:widowControl/>
        <w:adjustRightInd w:val="0"/>
        <w:snapToGrid w:val="0"/>
        <w:spacing w:line="560" w:lineRule="exact"/>
        <w:ind w:firstLine="627" w:firstLineChars="196"/>
        <w:rPr>
          <w:rFonts w:ascii="仿宋_GB2312" w:hAnsi="仿宋" w:eastAsia="仿宋_GB2312"/>
          <w:b/>
          <w:color w:val="000000"/>
          <w:sz w:val="32"/>
          <w:szCs w:val="32"/>
        </w:rPr>
      </w:pPr>
      <w:r>
        <w:rPr>
          <w:rFonts w:hint="eastAsia" w:ascii="仿宋_GB2312" w:hAnsi="仿宋" w:eastAsia="仿宋_GB2312"/>
          <w:color w:val="000000"/>
          <w:sz w:val="32"/>
          <w:szCs w:val="32"/>
        </w:rPr>
        <w:t>南山区的民营法人企业通过发债方式成功获得融资的，</w:t>
      </w:r>
      <w:r>
        <w:rPr>
          <w:rFonts w:hint="eastAsia" w:ascii="仿宋_GB2312" w:hAnsi="宋体" w:eastAsia="仿宋_GB2312"/>
          <w:color w:val="000000"/>
          <w:sz w:val="32"/>
          <w:szCs w:val="32"/>
        </w:rPr>
        <w:t>按发行规模的2%给予补贴，</w:t>
      </w:r>
      <w:r>
        <w:rPr>
          <w:rFonts w:hint="eastAsia" w:ascii="仿宋_GB2312" w:hAnsi="仿宋" w:eastAsia="仿宋_GB2312"/>
          <w:sz w:val="32"/>
          <w:szCs w:val="32"/>
        </w:rPr>
        <w:t>单个项目单家企业最高总额</w:t>
      </w:r>
      <w:r>
        <w:rPr>
          <w:rFonts w:hint="eastAsia" w:ascii="仿宋_GB2312" w:hAnsi="仿宋" w:eastAsia="仿宋_GB2312"/>
          <w:color w:val="000000"/>
          <w:sz w:val="32"/>
          <w:szCs w:val="32"/>
        </w:rPr>
        <w:t>不超过200万元</w:t>
      </w:r>
      <w:r>
        <w:rPr>
          <w:rFonts w:hint="eastAsia" w:ascii="仿宋_GB2312" w:hAnsi="仿宋" w:eastAsia="仿宋_GB2312"/>
          <w:b/>
          <w:color w:val="000000"/>
          <w:sz w:val="32"/>
          <w:szCs w:val="32"/>
        </w:rPr>
        <w:t>。</w:t>
      </w:r>
    </w:p>
    <w:p w14:paraId="5CE19AF2">
      <w:pPr>
        <w:widowControl/>
        <w:adjustRightInd w:val="0"/>
        <w:snapToGrid w:val="0"/>
        <w:spacing w:line="560" w:lineRule="exact"/>
        <w:ind w:firstLine="640" w:firstLineChars="200"/>
        <w:outlineLvl w:val="0"/>
        <w:rPr>
          <w:rFonts w:ascii="黑体" w:eastAsia="黑体"/>
          <w:sz w:val="32"/>
          <w:szCs w:val="32"/>
        </w:rPr>
      </w:pPr>
      <w:r>
        <w:rPr>
          <w:rFonts w:hint="eastAsia" w:ascii="黑体" w:eastAsia="黑体"/>
          <w:sz w:val="32"/>
          <w:szCs w:val="32"/>
        </w:rPr>
        <w:t>二、资助方式</w:t>
      </w:r>
    </w:p>
    <w:p w14:paraId="300961BB">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22950DCA">
      <w:pPr>
        <w:adjustRightInd w:val="0"/>
        <w:snapToGrid w:val="0"/>
        <w:spacing w:line="560" w:lineRule="exact"/>
        <w:ind w:firstLine="640" w:firstLineChars="200"/>
        <w:outlineLvl w:val="0"/>
        <w:rPr>
          <w:rFonts w:ascii="黑体" w:hAnsi="仿宋" w:eastAsia="黑体"/>
          <w:sz w:val="32"/>
          <w:szCs w:val="32"/>
        </w:rPr>
      </w:pPr>
      <w:r>
        <w:rPr>
          <w:rFonts w:hint="eastAsia" w:ascii="黑体" w:hAnsi="仿宋" w:eastAsia="黑体"/>
          <w:sz w:val="32"/>
          <w:szCs w:val="32"/>
        </w:rPr>
        <w:t>三、资助标准</w:t>
      </w:r>
    </w:p>
    <w:p w14:paraId="10451CEB">
      <w:pPr>
        <w:adjustRightInd w:val="0"/>
        <w:snapToGrid w:val="0"/>
        <w:spacing w:line="560" w:lineRule="exact"/>
        <w:ind w:firstLine="640" w:firstLineChars="200"/>
        <w:rPr>
          <w:rFonts w:ascii="仿宋_GB2312" w:hAnsi="仿宋" w:eastAsia="仿宋_GB2312"/>
          <w:b/>
          <w:color w:val="000000"/>
          <w:sz w:val="32"/>
          <w:szCs w:val="32"/>
        </w:rPr>
      </w:pPr>
      <w:r>
        <w:rPr>
          <w:rFonts w:hint="eastAsia" w:ascii="仿宋_GB2312" w:eastAsia="仿宋_GB2312"/>
          <w:color w:val="000000"/>
          <w:sz w:val="32"/>
          <w:szCs w:val="32"/>
        </w:rPr>
        <w:t>（一）按发行规模的2%给予财政补贴，单个项目</w:t>
      </w:r>
      <w:r>
        <w:rPr>
          <w:rFonts w:hint="eastAsia" w:ascii="仿宋_GB2312" w:hAnsi="仿宋" w:eastAsia="仿宋_GB2312"/>
          <w:sz w:val="32"/>
          <w:szCs w:val="32"/>
        </w:rPr>
        <w:t>单家企业资助总额</w:t>
      </w:r>
      <w:r>
        <w:rPr>
          <w:rFonts w:hint="eastAsia" w:ascii="仿宋_GB2312" w:hAnsi="仿宋" w:eastAsia="仿宋_GB2312"/>
          <w:color w:val="000000"/>
          <w:sz w:val="32"/>
          <w:szCs w:val="32"/>
        </w:rPr>
        <w:t>不超过200万元</w:t>
      </w:r>
      <w:r>
        <w:rPr>
          <w:rFonts w:hint="eastAsia" w:ascii="仿宋_GB2312" w:hAnsi="仿宋" w:eastAsia="仿宋_GB2312"/>
          <w:b/>
          <w:color w:val="000000"/>
          <w:sz w:val="32"/>
          <w:szCs w:val="32"/>
        </w:rPr>
        <w:t>。</w:t>
      </w:r>
    </w:p>
    <w:p w14:paraId="3D2518C0">
      <w:pPr>
        <w:widowControl/>
        <w:adjustRightInd w:val="0"/>
        <w:snapToGrid w:val="0"/>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短期债务融资工具发行规模计算方式：</w:t>
      </w:r>
    </w:p>
    <w:p w14:paraId="727DD56C">
      <w:pPr>
        <w:widowControl/>
        <w:adjustRightInd w:val="0"/>
        <w:snapToGrid w:val="0"/>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发行规模</w:t>
      </w:r>
      <w:r>
        <w:rPr>
          <w:rFonts w:ascii="仿宋_GB2312" w:hAnsi="宋体" w:eastAsia="仿宋_GB2312"/>
          <w:color w:val="000000"/>
          <w:sz w:val="32"/>
          <w:szCs w:val="32"/>
        </w:rPr>
        <w:t>=发行额度/12*发行期限</w:t>
      </w:r>
    </w:p>
    <w:p w14:paraId="5C9909A5">
      <w:pPr>
        <w:widowControl/>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本规程所指短期债务融资工具，为期限在一年以内的债务融资工具，不含到期日不足一年的中长期债务融资工具。</w:t>
      </w:r>
    </w:p>
    <w:p w14:paraId="01FA1782">
      <w:pPr>
        <w:widowControl/>
        <w:adjustRightInd w:val="0"/>
        <w:snapToGrid w:val="0"/>
        <w:spacing w:line="560" w:lineRule="exact"/>
        <w:ind w:firstLine="640" w:firstLineChars="200"/>
        <w:rPr>
          <w:rFonts w:ascii="仿宋_GB2312" w:eastAsia="仿宋_GB2312" w:cs="宋体"/>
          <w:bCs/>
          <w:sz w:val="32"/>
          <w:szCs w:val="32"/>
        </w:rPr>
      </w:pPr>
      <w:r>
        <w:rPr>
          <w:rFonts w:hint="eastAsia" w:ascii="仿宋_GB2312" w:hAnsi="宋体" w:eastAsia="仿宋_GB2312"/>
          <w:color w:val="000000"/>
          <w:sz w:val="32"/>
          <w:szCs w:val="32"/>
        </w:rPr>
        <w:t>申请企业为底层融资方。</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第十三条第（四）款“每家单位同一年度获得的资助金额原则上不超过其上一年度形成的区级地方财力贡献”限制。</w:t>
      </w:r>
    </w:p>
    <w:p w14:paraId="45F7DD42">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14:paraId="47081FDC">
      <w:pPr>
        <w:adjustRightInd w:val="0"/>
        <w:snapToGrid w:val="0"/>
        <w:spacing w:line="560" w:lineRule="exact"/>
        <w:ind w:firstLine="640" w:firstLineChars="200"/>
        <w:outlineLvl w:val="0"/>
        <w:rPr>
          <w:rFonts w:ascii="黑体" w:hAnsi="仿宋" w:eastAsia="黑体"/>
          <w:sz w:val="32"/>
          <w:szCs w:val="32"/>
        </w:rPr>
      </w:pPr>
      <w:r>
        <w:rPr>
          <w:rFonts w:hint="eastAsia" w:ascii="黑体" w:hAnsi="仿宋" w:eastAsia="黑体"/>
          <w:sz w:val="32"/>
          <w:szCs w:val="32"/>
        </w:rPr>
        <w:t>四、申请条件</w:t>
      </w:r>
    </w:p>
    <w:p w14:paraId="1CE9FF5A">
      <w:pPr>
        <w:adjustRightInd w:val="0"/>
        <w:snapToGrid w:val="0"/>
        <w:spacing w:line="560" w:lineRule="exact"/>
        <w:ind w:firstLine="627" w:firstLineChars="196"/>
        <w:outlineLvl w:val="1"/>
        <w:rPr>
          <w:rFonts w:ascii="仿宋_GB2312" w:hAnsi="仿宋" w:eastAsia="仿宋_GB2312"/>
          <w:color w:val="000000"/>
          <w:sz w:val="32"/>
          <w:szCs w:val="32"/>
        </w:rPr>
      </w:pPr>
      <w:bookmarkStart w:id="0" w:name="OLE_LINK4"/>
      <w:bookmarkStart w:id="1" w:name="OLE_LINK3"/>
      <w:r>
        <w:rPr>
          <w:rFonts w:hint="eastAsia" w:ascii="仿宋_GB2312" w:hAnsi="仿宋" w:eastAsia="仿宋_GB2312"/>
          <w:color w:val="000000"/>
          <w:sz w:val="32"/>
          <w:szCs w:val="32"/>
        </w:rPr>
        <w:t>（一）</w:t>
      </w:r>
      <w:r>
        <w:rPr>
          <w:rFonts w:hint="eastAsia" w:ascii="仿宋_GB2312" w:eastAsia="仿宋_GB2312"/>
          <w:color w:val="000000"/>
          <w:sz w:val="32"/>
          <w:szCs w:val="32"/>
        </w:rPr>
        <w:t>申请本项资金资助的企业应符合以下条件：</w:t>
      </w:r>
    </w:p>
    <w:p w14:paraId="1B6E6BD6">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eastAsia="仿宋_GB2312"/>
          <w:color w:val="000000"/>
          <w:sz w:val="32"/>
          <w:szCs w:val="32"/>
        </w:rPr>
        <w:t>在南山辖区内登记注册、具有独立法人资格的民营企业，企业需注册成立满一年以上（含）</w:t>
      </w:r>
      <w:r>
        <w:rPr>
          <w:rFonts w:hint="eastAsia" w:ascii="仿宋_GB2312" w:hAnsi="仿宋" w:eastAsia="仿宋_GB2312"/>
          <w:color w:val="000000"/>
          <w:sz w:val="32"/>
          <w:szCs w:val="32"/>
        </w:rPr>
        <w:t>；</w:t>
      </w:r>
    </w:p>
    <w:p w14:paraId="76EB2895">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2、符合南山区产业发展导向；</w:t>
      </w:r>
    </w:p>
    <w:p w14:paraId="05F52ECC">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3、上年度企业自缴税费合计总额大于零；</w:t>
      </w:r>
    </w:p>
    <w:p w14:paraId="0EB4AD42">
      <w:pPr>
        <w:widowControl/>
        <w:numPr>
          <w:ilvl w:val="255"/>
          <w:numId w:val="0"/>
        </w:numPr>
        <w:spacing w:line="52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、发债类型属于以下范围：</w:t>
      </w:r>
      <w:bookmarkStart w:id="2" w:name="OLE_LINK6"/>
      <w:bookmarkStart w:id="3" w:name="OLE_LINK5"/>
      <w:r>
        <w:rPr>
          <w:rFonts w:ascii="仿宋_GB2312" w:hAnsi="仿宋" w:eastAsia="仿宋_GB2312"/>
          <w:color w:val="000000"/>
          <w:sz w:val="32"/>
          <w:szCs w:val="32"/>
        </w:rPr>
        <w:t>交易所公司债券、</w:t>
      </w:r>
      <w:r>
        <w:rPr>
          <w:rFonts w:hint="eastAsia" w:ascii="仿宋_GB2312" w:hAnsi="仿宋" w:eastAsia="仿宋_GB2312"/>
          <w:color w:val="000000"/>
          <w:sz w:val="32"/>
          <w:szCs w:val="32"/>
        </w:rPr>
        <w:t>银行间市场</w:t>
      </w:r>
      <w:r>
        <w:rPr>
          <w:rFonts w:ascii="仿宋_GB2312" w:hAnsi="仿宋" w:eastAsia="仿宋_GB2312"/>
          <w:color w:val="000000"/>
          <w:sz w:val="32"/>
          <w:szCs w:val="32"/>
        </w:rPr>
        <w:t>中期票据</w:t>
      </w:r>
      <w:r>
        <w:rPr>
          <w:rFonts w:hint="eastAsia" w:ascii="仿宋_GB2312" w:hAnsi="仿宋" w:eastAsia="仿宋_GB2312"/>
          <w:color w:val="000000"/>
          <w:sz w:val="32"/>
          <w:szCs w:val="32"/>
        </w:rPr>
        <w:t>、</w:t>
      </w:r>
      <w:r>
        <w:rPr>
          <w:rFonts w:ascii="仿宋_GB2312" w:hAnsi="仿宋" w:eastAsia="仿宋_GB2312"/>
          <w:color w:val="000000"/>
          <w:sz w:val="32"/>
          <w:szCs w:val="32"/>
        </w:rPr>
        <w:t>短期融资券</w:t>
      </w:r>
      <w:r>
        <w:rPr>
          <w:rFonts w:hint="eastAsia" w:ascii="仿宋_GB2312" w:hAnsi="仿宋" w:eastAsia="仿宋_GB2312"/>
          <w:color w:val="000000"/>
          <w:sz w:val="32"/>
          <w:szCs w:val="32"/>
        </w:rPr>
        <w:t>、超短期融资券、非公开</w:t>
      </w:r>
      <w:r>
        <w:rPr>
          <w:rFonts w:ascii="仿宋_GB2312" w:hAnsi="仿宋" w:eastAsia="仿宋_GB2312"/>
          <w:color w:val="000000"/>
          <w:sz w:val="32"/>
          <w:szCs w:val="32"/>
        </w:rPr>
        <w:t>定向债务融资</w:t>
      </w:r>
      <w:r>
        <w:rPr>
          <w:rFonts w:hint="eastAsia" w:ascii="仿宋_GB2312" w:hAnsi="仿宋" w:eastAsia="仿宋_GB2312"/>
          <w:color w:val="000000"/>
          <w:sz w:val="32"/>
          <w:szCs w:val="32"/>
        </w:rPr>
        <w:t>工具（</w:t>
      </w:r>
      <w:r>
        <w:rPr>
          <w:rFonts w:ascii="仿宋_GB2312" w:hAnsi="仿宋" w:eastAsia="仿宋_GB2312"/>
          <w:color w:val="000000"/>
          <w:sz w:val="32"/>
          <w:szCs w:val="32"/>
        </w:rPr>
        <w:t>PPN）、企业债券</w:t>
      </w:r>
      <w:r>
        <w:rPr>
          <w:rFonts w:hint="eastAsia" w:ascii="仿宋_GB2312" w:hAnsi="仿宋" w:eastAsia="仿宋_GB2312"/>
          <w:color w:val="000000"/>
          <w:sz w:val="32"/>
          <w:szCs w:val="32"/>
        </w:rPr>
        <w:t>、</w:t>
      </w:r>
      <w:bookmarkStart w:id="4" w:name="OLE_LINK2"/>
      <w:bookmarkStart w:id="5" w:name="OLE_LINK1"/>
      <w:r>
        <w:rPr>
          <w:rFonts w:ascii="仿宋_GB2312" w:hAnsi="仿宋" w:eastAsia="仿宋_GB2312"/>
          <w:color w:val="000000"/>
          <w:sz w:val="32"/>
          <w:szCs w:val="32"/>
        </w:rPr>
        <w:t>前海股权交易中心发行的各类创新性融资工具</w:t>
      </w:r>
      <w:bookmarkEnd w:id="4"/>
      <w:bookmarkEnd w:id="5"/>
      <w:r>
        <w:rPr>
          <w:rFonts w:hint="eastAsia" w:ascii="仿宋_GB2312" w:hAnsi="仿宋" w:eastAsia="仿宋_GB2312"/>
          <w:color w:val="000000"/>
          <w:sz w:val="32"/>
          <w:szCs w:val="32"/>
        </w:rPr>
        <w:t>、</w:t>
      </w:r>
      <w:r>
        <w:rPr>
          <w:rFonts w:ascii="仿宋_GB2312" w:hAnsi="仿宋" w:eastAsia="仿宋_GB2312"/>
          <w:color w:val="000000"/>
          <w:sz w:val="32"/>
          <w:szCs w:val="32"/>
        </w:rPr>
        <w:t>资产证券化类产品（ABS、ABN，不含知识产权类和涉房类产品）</w:t>
      </w:r>
      <w:r>
        <w:rPr>
          <w:rFonts w:hint="eastAsia" w:ascii="仿宋_GB2312" w:hAnsi="仿宋" w:eastAsia="仿宋_GB2312"/>
          <w:color w:val="000000"/>
          <w:sz w:val="32"/>
          <w:szCs w:val="32"/>
        </w:rPr>
        <w:t>、</w:t>
      </w:r>
      <w:r>
        <w:rPr>
          <w:rFonts w:ascii="仿宋_GB2312" w:hAnsi="仿宋" w:eastAsia="仿宋_GB2312"/>
          <w:color w:val="000000"/>
          <w:sz w:val="32"/>
          <w:szCs w:val="32"/>
        </w:rPr>
        <w:t>其他各类用于支持深圳民企的非标债务融资工具（</w:t>
      </w:r>
      <w:r>
        <w:rPr>
          <w:rFonts w:hint="eastAsia" w:ascii="仿宋_GB2312" w:hAnsi="仿宋" w:eastAsia="仿宋_GB2312"/>
          <w:color w:val="000000"/>
          <w:sz w:val="32"/>
          <w:szCs w:val="32"/>
        </w:rPr>
        <w:t>如</w:t>
      </w:r>
      <w:r>
        <w:rPr>
          <w:rFonts w:ascii="仿宋_GB2312" w:hAnsi="仿宋" w:eastAsia="仿宋_GB2312"/>
          <w:color w:val="000000"/>
          <w:sz w:val="32"/>
          <w:szCs w:val="32"/>
        </w:rPr>
        <w:t>资管计划、信托计划）</w:t>
      </w:r>
      <w:r>
        <w:rPr>
          <w:rFonts w:hint="eastAsia" w:ascii="仿宋_GB2312" w:hAnsi="仿宋" w:eastAsia="仿宋_GB2312"/>
          <w:color w:val="000000"/>
          <w:sz w:val="32"/>
          <w:szCs w:val="32"/>
        </w:rPr>
        <w:t>等；</w:t>
      </w:r>
    </w:p>
    <w:p w14:paraId="443A7B6B">
      <w:pPr>
        <w:widowControl/>
        <w:numPr>
          <w:ilvl w:val="255"/>
          <w:numId w:val="0"/>
        </w:num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color w:val="000000"/>
          <w:sz w:val="32"/>
          <w:szCs w:val="32"/>
          <w:lang w:eastAsia="zh-CN"/>
        </w:rPr>
        <w:t>2021</w:t>
      </w:r>
      <w:r>
        <w:rPr>
          <w:rFonts w:hint="eastAsia" w:ascii="仿宋_GB2312" w:hAnsi="仿宋" w:eastAsia="仿宋_GB2312"/>
          <w:color w:val="000000"/>
          <w:sz w:val="32"/>
          <w:szCs w:val="32"/>
        </w:rPr>
        <w:t>年内发债成功；</w:t>
      </w:r>
    </w:p>
    <w:p w14:paraId="4BE391DB">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、守法经营、诚实守信，有规范健全的财务制度；</w:t>
      </w:r>
    </w:p>
    <w:bookmarkEnd w:id="0"/>
    <w:bookmarkEnd w:id="1"/>
    <w:bookmarkEnd w:id="2"/>
    <w:bookmarkEnd w:id="3"/>
    <w:p w14:paraId="6F116176">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color w:val="000000"/>
          <w:sz w:val="32"/>
          <w:szCs w:val="32"/>
        </w:rPr>
        <w:t>应积极配合区委、区政府相关工作。</w:t>
      </w:r>
    </w:p>
    <w:p w14:paraId="37FE5B6F">
      <w:pPr>
        <w:adjustRightInd w:val="0"/>
        <w:snapToGrid w:val="0"/>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（二）有下列情况之一的，本资金不予资助：</w:t>
      </w:r>
    </w:p>
    <w:p w14:paraId="51FC1B02">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14:paraId="3F0FCC55">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14:paraId="07BF2244">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14:paraId="7BBA0717">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14:paraId="147CABC8">
      <w:pPr>
        <w:pStyle w:val="14"/>
        <w:widowControl/>
        <w:adjustRightInd w:val="0"/>
        <w:snapToGrid w:val="0"/>
        <w:spacing w:line="560" w:lineRule="exact"/>
        <w:ind w:left="709" w:firstLine="0" w:firstLineChars="0"/>
        <w:outlineLvl w:val="0"/>
        <w:rPr>
          <w:rFonts w:ascii="黑体" w:eastAsia="黑体"/>
          <w:sz w:val="32"/>
          <w:szCs w:val="32"/>
        </w:rPr>
      </w:pPr>
      <w:r>
        <w:rPr>
          <w:rFonts w:hint="eastAsia" w:ascii="黑体" w:eastAsia="黑体"/>
          <w:sz w:val="32"/>
          <w:szCs w:val="32"/>
        </w:rPr>
        <w:t>五、办理流程</w:t>
      </w:r>
    </w:p>
    <w:p w14:paraId="54BC4A62">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（一）申请单位按照相关资金操作规程的具体要求备齐资料，通过南山区产业发展综合服务平台提出资助申请；</w:t>
      </w:r>
    </w:p>
    <w:p w14:paraId="2C164255">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631FE01F">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13590906">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02C1A74B">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7F79EB6A">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48F5B214">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4BDBCC14">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776C15AC">
      <w:pPr>
        <w:adjustRightInd w:val="0"/>
        <w:snapToGrid w:val="0"/>
        <w:spacing w:line="560" w:lineRule="exact"/>
        <w:ind w:firstLine="640" w:firstLineChars="200"/>
        <w:outlineLvl w:val="0"/>
        <w:rPr>
          <w:rFonts w:ascii="黑体" w:hAnsi="仿宋" w:eastAsia="黑体"/>
          <w:sz w:val="32"/>
          <w:szCs w:val="32"/>
        </w:rPr>
      </w:pPr>
      <w:r>
        <w:rPr>
          <w:rFonts w:hint="eastAsia" w:ascii="黑体" w:hAnsi="仿宋" w:eastAsia="黑体"/>
          <w:sz w:val="32"/>
          <w:szCs w:val="32"/>
        </w:rPr>
        <w:t>六、申请材料</w:t>
      </w:r>
    </w:p>
    <w:p w14:paraId="7D54F829">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bookmarkStart w:id="6" w:name="_GoBack"/>
      <w:bookmarkEnd w:id="6"/>
      <w:r>
        <w:rPr>
          <w:rFonts w:hint="eastAsia" w:ascii="仿宋_GB2312" w:eastAsia="仿宋_GB2312"/>
          <w:sz w:val="32"/>
          <w:szCs w:val="32"/>
        </w:rPr>
        <w:t>在线填写）；</w:t>
      </w:r>
    </w:p>
    <w:p w14:paraId="4140E3FE">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w:t>
      </w:r>
      <w:r>
        <w:rPr>
          <w:rFonts w:hint="eastAsia" w:ascii="仿宋_GB2312" w:eastAsia="仿宋_GB2312"/>
          <w:sz w:val="32"/>
          <w:szCs w:val="32"/>
        </w:rPr>
        <w:t>；</w:t>
      </w:r>
    </w:p>
    <w:p w14:paraId="2E153547">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w:t>
      </w:r>
      <w:r>
        <w:rPr>
          <w:rFonts w:hint="eastAsia" w:ascii="仿宋_GB2312" w:hAnsi="宋体" w:eastAsia="仿宋_GB2312" w:cs="宋体"/>
          <w:sz w:val="32"/>
          <w:szCs w:val="32"/>
        </w:rPr>
        <w:t>表人身份证[网上提交资料要求：原件（复印件加盖公章）彩色扫描上传）]；</w:t>
      </w:r>
    </w:p>
    <w:p w14:paraId="51977C1F">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（四）税务部门开具的单位上年度纳税证明（网上提交资料要求：</w:t>
      </w:r>
      <w:r>
        <w:rPr>
          <w:rFonts w:hint="eastAsia" w:ascii="仿宋_GB2312" w:eastAsia="仿宋_GB2312"/>
          <w:sz w:val="32"/>
          <w:szCs w:val="32"/>
        </w:rPr>
        <w:t>上传税务申报系统下载的电子版</w:t>
      </w:r>
      <w:r>
        <w:rPr>
          <w:rFonts w:hint="eastAsia" w:ascii="仿宋_GB2312" w:hAnsi="宋体" w:eastAsia="仿宋_GB2312" w:cs="宋体"/>
          <w:sz w:val="32"/>
          <w:szCs w:val="32"/>
        </w:rPr>
        <w:t>）；</w:t>
      </w:r>
    </w:p>
    <w:p w14:paraId="2E99A210">
      <w:pPr>
        <w:tabs>
          <w:tab w:val="left" w:pos="1050"/>
        </w:tabs>
        <w:spacing w:line="560"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（五）发债登记证明（交易所公司债券提供上市公告书或发行结果公告书，银行间债券提供发行情况公告书，</w:t>
      </w:r>
      <w:r>
        <w:rPr>
          <w:rFonts w:ascii="仿宋_GB2312" w:hAnsi="仿宋" w:eastAsia="仿宋_GB2312"/>
          <w:color w:val="000000"/>
          <w:sz w:val="32"/>
          <w:szCs w:val="32"/>
        </w:rPr>
        <w:t>前海股权交易中心发行的各类创新性融资工具提供发行情况公告书</w:t>
      </w:r>
      <w:r>
        <w:rPr>
          <w:rFonts w:hint="eastAsia" w:ascii="仿宋_GB2312" w:hAnsi="仿宋" w:eastAsia="仿宋_GB2312"/>
          <w:color w:val="000000"/>
          <w:sz w:val="32"/>
          <w:szCs w:val="32"/>
        </w:rPr>
        <w:t>，</w:t>
      </w:r>
      <w:r>
        <w:rPr>
          <w:rFonts w:ascii="仿宋_GB2312" w:hAnsi="仿宋" w:eastAsia="仿宋_GB2312"/>
          <w:color w:val="000000"/>
          <w:sz w:val="32"/>
          <w:szCs w:val="32"/>
        </w:rPr>
        <w:t>资产证券化类产品提供募集说明书和托管</w:t>
      </w:r>
      <w:r>
        <w:rPr>
          <w:rFonts w:hint="eastAsia" w:ascii="仿宋_GB2312" w:hAnsi="仿宋" w:eastAsia="仿宋_GB2312"/>
          <w:color w:val="000000"/>
          <w:sz w:val="32"/>
          <w:szCs w:val="32"/>
        </w:rPr>
        <w:t>银行融资额</w:t>
      </w:r>
      <w:r>
        <w:rPr>
          <w:rFonts w:ascii="仿宋_GB2312" w:hAnsi="仿宋" w:eastAsia="仿宋_GB2312"/>
          <w:color w:val="000000"/>
          <w:sz w:val="32"/>
          <w:szCs w:val="32"/>
        </w:rPr>
        <w:t>转账凭证，</w:t>
      </w:r>
      <w:r>
        <w:rPr>
          <w:rFonts w:hint="eastAsia" w:ascii="仿宋_GB2312" w:hAnsi="仿宋" w:eastAsia="仿宋_GB2312"/>
          <w:color w:val="000000"/>
          <w:sz w:val="32"/>
          <w:szCs w:val="32"/>
        </w:rPr>
        <w:t>资管计划提交备案证明和托管银行融资额</w:t>
      </w:r>
      <w:r>
        <w:rPr>
          <w:rFonts w:ascii="仿宋_GB2312" w:hAnsi="仿宋" w:eastAsia="仿宋_GB2312"/>
          <w:color w:val="000000"/>
          <w:sz w:val="32"/>
          <w:szCs w:val="32"/>
        </w:rPr>
        <w:t>转账凭证</w:t>
      </w:r>
      <w:r>
        <w:rPr>
          <w:rFonts w:hint="eastAsia" w:ascii="仿宋_GB2312" w:hAnsi="仿宋" w:eastAsia="仿宋_GB2312"/>
          <w:color w:val="000000"/>
          <w:sz w:val="32"/>
          <w:szCs w:val="32"/>
        </w:rPr>
        <w:t>，信托计划提交信托登记证明文书和托管银行融资额</w:t>
      </w:r>
      <w:r>
        <w:rPr>
          <w:rFonts w:ascii="仿宋_GB2312" w:hAnsi="仿宋" w:eastAsia="仿宋_GB2312"/>
          <w:color w:val="000000"/>
          <w:sz w:val="32"/>
          <w:szCs w:val="32"/>
        </w:rPr>
        <w:t>转账凭证</w:t>
      </w:r>
      <w:r>
        <w:rPr>
          <w:rFonts w:hint="eastAsia" w:ascii="仿宋_GB2312" w:hAnsi="宋体" w:eastAsia="仿宋_GB2312" w:cs="宋体"/>
          <w:sz w:val="32"/>
          <w:szCs w:val="32"/>
        </w:rPr>
        <w:t>（网上提交资料要求：原件彩色扫描上传）</w:t>
      </w:r>
      <w:r>
        <w:rPr>
          <w:rFonts w:hint="eastAsia" w:ascii="仿宋_GB2312" w:hAnsi="仿宋" w:eastAsia="仿宋_GB2312"/>
          <w:color w:val="000000"/>
          <w:sz w:val="32"/>
          <w:szCs w:val="32"/>
        </w:rPr>
        <w:t>；</w:t>
      </w:r>
    </w:p>
    <w:p w14:paraId="152E64F9">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（六）企业股权架构图（需股权穿透，列明各公司持股比例及企业实际控制人）（网上提交资料要求：加盖公章，原件彩色扫描上传）；</w:t>
      </w:r>
    </w:p>
    <w:p w14:paraId="24393DA0">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（七）</w:t>
      </w:r>
      <w:r>
        <w:rPr>
          <w:rFonts w:hint="eastAsia" w:ascii="仿宋_GB2312" w:eastAsia="仿宋_GB2312"/>
          <w:sz w:val="32"/>
          <w:szCs w:val="32"/>
        </w:rPr>
        <w:t>审核部门认为需要提供的其它材料。</w:t>
      </w:r>
    </w:p>
    <w:p w14:paraId="214055B3">
      <w:pPr>
        <w:widowControl/>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说明：以上材料按照要求在线填写或采用附件形式在线提交</w:t>
      </w:r>
      <w:r>
        <w:rPr>
          <w:rFonts w:hint="eastAsia" w:ascii="仿宋_GB2312" w:eastAsia="仿宋_GB2312"/>
          <w:sz w:val="32"/>
          <w:szCs w:val="32"/>
        </w:rPr>
        <w:t>。</w:t>
      </w:r>
    </w:p>
    <w:p w14:paraId="10749647">
      <w:pPr>
        <w:widowControl/>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七、时限要求</w:t>
      </w:r>
    </w:p>
    <w:p w14:paraId="1487C98D">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区工业和信息化局每年安排1-2次集中受理企业申请（具体时间以发布的申报通知为准），资助计划下达1个月内受资助单位须办理资金拨付手续，逾期不办理者视为自动放弃。</w:t>
      </w:r>
    </w:p>
    <w:p w14:paraId="18E0D3E1">
      <w:pPr>
        <w:widowControl/>
        <w:adjustRightInd w:val="0"/>
        <w:snapToGrid w:val="0"/>
        <w:spacing w:line="560" w:lineRule="exact"/>
        <w:ind w:firstLine="640" w:firstLineChars="200"/>
        <w:outlineLvl w:val="0"/>
        <w:rPr>
          <w:rFonts w:ascii="黑体" w:eastAsia="黑体"/>
          <w:sz w:val="32"/>
          <w:szCs w:val="32"/>
        </w:rPr>
      </w:pPr>
      <w:r>
        <w:rPr>
          <w:rFonts w:hint="eastAsia" w:ascii="黑体" w:eastAsia="黑体"/>
          <w:sz w:val="32"/>
          <w:szCs w:val="32"/>
        </w:rPr>
        <w:t>八、其他事项</w:t>
      </w:r>
    </w:p>
    <w:p w14:paraId="128E4F0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4860262A">
      <w:pPr>
        <w:widowControl/>
        <w:spacing w:line="560" w:lineRule="exact"/>
        <w:ind w:firstLine="640" w:firstLineChars="200"/>
        <w:outlineLvl w:val="0"/>
        <w:rPr>
          <w:rFonts w:ascii="黑体" w:eastAsia="黑体"/>
          <w:sz w:val="32"/>
          <w:szCs w:val="32"/>
        </w:rPr>
      </w:pPr>
      <w:r>
        <w:rPr>
          <w:rFonts w:hint="eastAsia" w:ascii="黑体" w:eastAsia="黑体"/>
          <w:sz w:val="32"/>
          <w:szCs w:val="32"/>
        </w:rPr>
        <w:t>九、附则</w:t>
      </w:r>
    </w:p>
    <w:p w14:paraId="0D9BEEFF">
      <w:pPr>
        <w:spacing w:line="360" w:lineRule="auto"/>
        <w:rPr>
          <w:rFonts w:ascii="仿宋_GB2312" w:hAnsi="仿宋" w:eastAsia="仿宋_GB2312"/>
          <w:sz w:val="32"/>
          <w:szCs w:val="32"/>
        </w:rPr>
      </w:pPr>
      <w:r>
        <w:rPr>
          <w:rFonts w:hint="eastAsia" w:ascii="仿宋_GB2312" w:eastAsia="仿宋_GB2312"/>
          <w:sz w:val="32"/>
          <w:szCs w:val="32"/>
        </w:rPr>
        <w:t xml:space="preserve">    本操作规程由南山区工业和信息化局负责解释，自发布之日起施行。</w:t>
      </w:r>
    </w:p>
    <w:sectPr>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3A1D98"/>
    <w:rsid w:val="000101B3"/>
    <w:rsid w:val="000104E9"/>
    <w:rsid w:val="0001052C"/>
    <w:rsid w:val="00011724"/>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2CEB"/>
    <w:rsid w:val="000B4C3F"/>
    <w:rsid w:val="000B6989"/>
    <w:rsid w:val="000C1AE7"/>
    <w:rsid w:val="000C21F1"/>
    <w:rsid w:val="000C24FC"/>
    <w:rsid w:val="000C5213"/>
    <w:rsid w:val="000C5506"/>
    <w:rsid w:val="000C5D2E"/>
    <w:rsid w:val="000C6630"/>
    <w:rsid w:val="000C7200"/>
    <w:rsid w:val="000C7F9F"/>
    <w:rsid w:val="000D253C"/>
    <w:rsid w:val="000D3EC8"/>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7CB4"/>
    <w:rsid w:val="001455F7"/>
    <w:rsid w:val="0014565E"/>
    <w:rsid w:val="001461C9"/>
    <w:rsid w:val="0017395C"/>
    <w:rsid w:val="00177805"/>
    <w:rsid w:val="00181CD2"/>
    <w:rsid w:val="00183C11"/>
    <w:rsid w:val="00184CC7"/>
    <w:rsid w:val="001856D0"/>
    <w:rsid w:val="001955CA"/>
    <w:rsid w:val="0019715A"/>
    <w:rsid w:val="001A1626"/>
    <w:rsid w:val="001A51FA"/>
    <w:rsid w:val="001B0C7B"/>
    <w:rsid w:val="001B2C5B"/>
    <w:rsid w:val="001C28D1"/>
    <w:rsid w:val="001C5067"/>
    <w:rsid w:val="001C532E"/>
    <w:rsid w:val="001C5B08"/>
    <w:rsid w:val="001D0BFD"/>
    <w:rsid w:val="001D5CD7"/>
    <w:rsid w:val="001E6680"/>
    <w:rsid w:val="001F6C02"/>
    <w:rsid w:val="00200D0D"/>
    <w:rsid w:val="002153E3"/>
    <w:rsid w:val="00220278"/>
    <w:rsid w:val="002202EF"/>
    <w:rsid w:val="00220312"/>
    <w:rsid w:val="00222233"/>
    <w:rsid w:val="00224B7A"/>
    <w:rsid w:val="002308DF"/>
    <w:rsid w:val="00230CAB"/>
    <w:rsid w:val="00230E8D"/>
    <w:rsid w:val="002346AE"/>
    <w:rsid w:val="00235BA5"/>
    <w:rsid w:val="002368A4"/>
    <w:rsid w:val="0024056C"/>
    <w:rsid w:val="00246DAB"/>
    <w:rsid w:val="00250BA7"/>
    <w:rsid w:val="00252154"/>
    <w:rsid w:val="00253991"/>
    <w:rsid w:val="00253E78"/>
    <w:rsid w:val="002649BD"/>
    <w:rsid w:val="00265088"/>
    <w:rsid w:val="00267407"/>
    <w:rsid w:val="00271865"/>
    <w:rsid w:val="00271874"/>
    <w:rsid w:val="00271E3F"/>
    <w:rsid w:val="00272A0C"/>
    <w:rsid w:val="00273893"/>
    <w:rsid w:val="002767A5"/>
    <w:rsid w:val="00277616"/>
    <w:rsid w:val="00287C4E"/>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4CAC"/>
    <w:rsid w:val="00327F43"/>
    <w:rsid w:val="0034327A"/>
    <w:rsid w:val="00353D16"/>
    <w:rsid w:val="00356646"/>
    <w:rsid w:val="00363933"/>
    <w:rsid w:val="003646EF"/>
    <w:rsid w:val="003649A6"/>
    <w:rsid w:val="003668F0"/>
    <w:rsid w:val="00370915"/>
    <w:rsid w:val="00377650"/>
    <w:rsid w:val="00382FF0"/>
    <w:rsid w:val="00386BC6"/>
    <w:rsid w:val="00391697"/>
    <w:rsid w:val="00391844"/>
    <w:rsid w:val="00394C5E"/>
    <w:rsid w:val="00397BFC"/>
    <w:rsid w:val="003A1D98"/>
    <w:rsid w:val="003A4EB8"/>
    <w:rsid w:val="003A6E51"/>
    <w:rsid w:val="003B3334"/>
    <w:rsid w:val="003B3ED3"/>
    <w:rsid w:val="003B5FD5"/>
    <w:rsid w:val="003C58FB"/>
    <w:rsid w:val="003D2365"/>
    <w:rsid w:val="003D2D2F"/>
    <w:rsid w:val="003E1026"/>
    <w:rsid w:val="003E4E3D"/>
    <w:rsid w:val="003F1085"/>
    <w:rsid w:val="003F4BF2"/>
    <w:rsid w:val="004030B9"/>
    <w:rsid w:val="00405D09"/>
    <w:rsid w:val="00410EC1"/>
    <w:rsid w:val="00413095"/>
    <w:rsid w:val="00414BB9"/>
    <w:rsid w:val="004150B8"/>
    <w:rsid w:val="00420EF4"/>
    <w:rsid w:val="0042190A"/>
    <w:rsid w:val="004252E9"/>
    <w:rsid w:val="004264EC"/>
    <w:rsid w:val="00427FB5"/>
    <w:rsid w:val="004305CF"/>
    <w:rsid w:val="004444EA"/>
    <w:rsid w:val="004450F2"/>
    <w:rsid w:val="004514BA"/>
    <w:rsid w:val="004719FF"/>
    <w:rsid w:val="004738A7"/>
    <w:rsid w:val="004749E0"/>
    <w:rsid w:val="004866B8"/>
    <w:rsid w:val="00487E6E"/>
    <w:rsid w:val="00490025"/>
    <w:rsid w:val="00490CCC"/>
    <w:rsid w:val="00495F84"/>
    <w:rsid w:val="00497A13"/>
    <w:rsid w:val="004A01C7"/>
    <w:rsid w:val="004A0A37"/>
    <w:rsid w:val="004A7869"/>
    <w:rsid w:val="004B1DE9"/>
    <w:rsid w:val="004B5440"/>
    <w:rsid w:val="004B737A"/>
    <w:rsid w:val="004C0EE6"/>
    <w:rsid w:val="004D31F9"/>
    <w:rsid w:val="004D46DE"/>
    <w:rsid w:val="004E5476"/>
    <w:rsid w:val="004F196F"/>
    <w:rsid w:val="004F75FD"/>
    <w:rsid w:val="005011ED"/>
    <w:rsid w:val="00504AD1"/>
    <w:rsid w:val="00511669"/>
    <w:rsid w:val="005162E6"/>
    <w:rsid w:val="00522839"/>
    <w:rsid w:val="0052314A"/>
    <w:rsid w:val="00524D6C"/>
    <w:rsid w:val="00526CB8"/>
    <w:rsid w:val="00531A39"/>
    <w:rsid w:val="005336BC"/>
    <w:rsid w:val="00533FD8"/>
    <w:rsid w:val="00534597"/>
    <w:rsid w:val="00534743"/>
    <w:rsid w:val="00534C6A"/>
    <w:rsid w:val="00537904"/>
    <w:rsid w:val="00542638"/>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511F"/>
    <w:rsid w:val="005A62B5"/>
    <w:rsid w:val="005A65FA"/>
    <w:rsid w:val="005B1337"/>
    <w:rsid w:val="005B544C"/>
    <w:rsid w:val="005C1198"/>
    <w:rsid w:val="005C26DF"/>
    <w:rsid w:val="005C3C8E"/>
    <w:rsid w:val="005C47B5"/>
    <w:rsid w:val="005D5491"/>
    <w:rsid w:val="005E04AD"/>
    <w:rsid w:val="005E1EEC"/>
    <w:rsid w:val="005E34B8"/>
    <w:rsid w:val="005E3846"/>
    <w:rsid w:val="005E4489"/>
    <w:rsid w:val="005E52EA"/>
    <w:rsid w:val="005E5635"/>
    <w:rsid w:val="005E5F77"/>
    <w:rsid w:val="005E6B97"/>
    <w:rsid w:val="005F0B02"/>
    <w:rsid w:val="005F3725"/>
    <w:rsid w:val="005F620F"/>
    <w:rsid w:val="005F6F80"/>
    <w:rsid w:val="00602A30"/>
    <w:rsid w:val="00612482"/>
    <w:rsid w:val="00614183"/>
    <w:rsid w:val="00614B48"/>
    <w:rsid w:val="00620203"/>
    <w:rsid w:val="00623342"/>
    <w:rsid w:val="00626EE4"/>
    <w:rsid w:val="00630503"/>
    <w:rsid w:val="00635AF9"/>
    <w:rsid w:val="0064202C"/>
    <w:rsid w:val="00646693"/>
    <w:rsid w:val="00650FC0"/>
    <w:rsid w:val="00655276"/>
    <w:rsid w:val="00656E3D"/>
    <w:rsid w:val="00657A66"/>
    <w:rsid w:val="00665CF0"/>
    <w:rsid w:val="00666A56"/>
    <w:rsid w:val="00672F65"/>
    <w:rsid w:val="0067472F"/>
    <w:rsid w:val="00674DF8"/>
    <w:rsid w:val="00677BAE"/>
    <w:rsid w:val="006800BD"/>
    <w:rsid w:val="00681139"/>
    <w:rsid w:val="00683E16"/>
    <w:rsid w:val="006936C7"/>
    <w:rsid w:val="0069562A"/>
    <w:rsid w:val="00696E1C"/>
    <w:rsid w:val="00697882"/>
    <w:rsid w:val="006B7338"/>
    <w:rsid w:val="006C138D"/>
    <w:rsid w:val="006C22D1"/>
    <w:rsid w:val="006C2DE1"/>
    <w:rsid w:val="006D15BC"/>
    <w:rsid w:val="006D346E"/>
    <w:rsid w:val="006D49B7"/>
    <w:rsid w:val="006E7F79"/>
    <w:rsid w:val="006F26EE"/>
    <w:rsid w:val="006F4B07"/>
    <w:rsid w:val="006F53B3"/>
    <w:rsid w:val="00701870"/>
    <w:rsid w:val="0070294A"/>
    <w:rsid w:val="0071020E"/>
    <w:rsid w:val="00710782"/>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6B7D"/>
    <w:rsid w:val="007712FB"/>
    <w:rsid w:val="00795AFC"/>
    <w:rsid w:val="007A0FC9"/>
    <w:rsid w:val="007A2F5A"/>
    <w:rsid w:val="007B266C"/>
    <w:rsid w:val="007C4763"/>
    <w:rsid w:val="007C7BE7"/>
    <w:rsid w:val="007D013D"/>
    <w:rsid w:val="007D4B61"/>
    <w:rsid w:val="007D5BF6"/>
    <w:rsid w:val="007F0A8B"/>
    <w:rsid w:val="007F569A"/>
    <w:rsid w:val="007F5FD8"/>
    <w:rsid w:val="00801047"/>
    <w:rsid w:val="00802FE6"/>
    <w:rsid w:val="00815713"/>
    <w:rsid w:val="00831322"/>
    <w:rsid w:val="008317E9"/>
    <w:rsid w:val="00832BB1"/>
    <w:rsid w:val="00842A05"/>
    <w:rsid w:val="008552B2"/>
    <w:rsid w:val="00862D15"/>
    <w:rsid w:val="00875132"/>
    <w:rsid w:val="0088387D"/>
    <w:rsid w:val="008852DC"/>
    <w:rsid w:val="00887081"/>
    <w:rsid w:val="00892A68"/>
    <w:rsid w:val="00894F37"/>
    <w:rsid w:val="00897716"/>
    <w:rsid w:val="00897F01"/>
    <w:rsid w:val="008A48E9"/>
    <w:rsid w:val="008A556B"/>
    <w:rsid w:val="008A7B04"/>
    <w:rsid w:val="008B3964"/>
    <w:rsid w:val="008B4B24"/>
    <w:rsid w:val="008C3BDF"/>
    <w:rsid w:val="008C3DB8"/>
    <w:rsid w:val="008C4184"/>
    <w:rsid w:val="008C770D"/>
    <w:rsid w:val="008C7C54"/>
    <w:rsid w:val="008D3A9F"/>
    <w:rsid w:val="008F0CE8"/>
    <w:rsid w:val="008F0D38"/>
    <w:rsid w:val="008F1F6E"/>
    <w:rsid w:val="00905E26"/>
    <w:rsid w:val="00907289"/>
    <w:rsid w:val="00913504"/>
    <w:rsid w:val="00915DCB"/>
    <w:rsid w:val="009279E0"/>
    <w:rsid w:val="00941D52"/>
    <w:rsid w:val="009435BC"/>
    <w:rsid w:val="00945703"/>
    <w:rsid w:val="00973953"/>
    <w:rsid w:val="00975F3C"/>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E3591"/>
    <w:rsid w:val="009E35B3"/>
    <w:rsid w:val="009F00C1"/>
    <w:rsid w:val="009F1033"/>
    <w:rsid w:val="00A03634"/>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0D89"/>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2A1"/>
    <w:rsid w:val="00B43843"/>
    <w:rsid w:val="00B4428F"/>
    <w:rsid w:val="00B4692C"/>
    <w:rsid w:val="00B50448"/>
    <w:rsid w:val="00B51E92"/>
    <w:rsid w:val="00B55AA2"/>
    <w:rsid w:val="00B66824"/>
    <w:rsid w:val="00B670BA"/>
    <w:rsid w:val="00B7011F"/>
    <w:rsid w:val="00B77F93"/>
    <w:rsid w:val="00B80054"/>
    <w:rsid w:val="00B8205D"/>
    <w:rsid w:val="00B8403D"/>
    <w:rsid w:val="00B8456F"/>
    <w:rsid w:val="00B84B1D"/>
    <w:rsid w:val="00B8615D"/>
    <w:rsid w:val="00B91150"/>
    <w:rsid w:val="00B91444"/>
    <w:rsid w:val="00BA609D"/>
    <w:rsid w:val="00BA7664"/>
    <w:rsid w:val="00BB1267"/>
    <w:rsid w:val="00BB19DC"/>
    <w:rsid w:val="00BB4192"/>
    <w:rsid w:val="00BB5D47"/>
    <w:rsid w:val="00BB6B92"/>
    <w:rsid w:val="00BB6D45"/>
    <w:rsid w:val="00BB72D9"/>
    <w:rsid w:val="00BB78AC"/>
    <w:rsid w:val="00BC1696"/>
    <w:rsid w:val="00BC2BBD"/>
    <w:rsid w:val="00BC2C40"/>
    <w:rsid w:val="00BC5BD5"/>
    <w:rsid w:val="00BD0EF5"/>
    <w:rsid w:val="00BD4D72"/>
    <w:rsid w:val="00BD6B97"/>
    <w:rsid w:val="00BE71A8"/>
    <w:rsid w:val="00BF6D39"/>
    <w:rsid w:val="00C30563"/>
    <w:rsid w:val="00C34A10"/>
    <w:rsid w:val="00C420D9"/>
    <w:rsid w:val="00C42313"/>
    <w:rsid w:val="00C46942"/>
    <w:rsid w:val="00C51FD6"/>
    <w:rsid w:val="00C54C50"/>
    <w:rsid w:val="00C56D0A"/>
    <w:rsid w:val="00C61C30"/>
    <w:rsid w:val="00C67735"/>
    <w:rsid w:val="00C71569"/>
    <w:rsid w:val="00C734B9"/>
    <w:rsid w:val="00C74CAA"/>
    <w:rsid w:val="00C8209A"/>
    <w:rsid w:val="00C85DDF"/>
    <w:rsid w:val="00C902C2"/>
    <w:rsid w:val="00C90F59"/>
    <w:rsid w:val="00C96983"/>
    <w:rsid w:val="00C97484"/>
    <w:rsid w:val="00CB3338"/>
    <w:rsid w:val="00CC7319"/>
    <w:rsid w:val="00CC7C3F"/>
    <w:rsid w:val="00CD0975"/>
    <w:rsid w:val="00CD363E"/>
    <w:rsid w:val="00CD66D8"/>
    <w:rsid w:val="00CE55AC"/>
    <w:rsid w:val="00CF4AFA"/>
    <w:rsid w:val="00CF63FD"/>
    <w:rsid w:val="00D008CC"/>
    <w:rsid w:val="00D02DB3"/>
    <w:rsid w:val="00D11EDF"/>
    <w:rsid w:val="00D2029C"/>
    <w:rsid w:val="00D20741"/>
    <w:rsid w:val="00D20FEE"/>
    <w:rsid w:val="00D21BE4"/>
    <w:rsid w:val="00D2678E"/>
    <w:rsid w:val="00D33252"/>
    <w:rsid w:val="00D4085E"/>
    <w:rsid w:val="00D42ABD"/>
    <w:rsid w:val="00D42FF6"/>
    <w:rsid w:val="00D45C95"/>
    <w:rsid w:val="00D474A5"/>
    <w:rsid w:val="00D50B67"/>
    <w:rsid w:val="00D51A06"/>
    <w:rsid w:val="00D54648"/>
    <w:rsid w:val="00D57465"/>
    <w:rsid w:val="00D649FC"/>
    <w:rsid w:val="00D66C38"/>
    <w:rsid w:val="00D72570"/>
    <w:rsid w:val="00D728FB"/>
    <w:rsid w:val="00D822CB"/>
    <w:rsid w:val="00D9466F"/>
    <w:rsid w:val="00DA3C86"/>
    <w:rsid w:val="00DA7D41"/>
    <w:rsid w:val="00DC0AEA"/>
    <w:rsid w:val="00DC2AAA"/>
    <w:rsid w:val="00DD2755"/>
    <w:rsid w:val="00DD706B"/>
    <w:rsid w:val="00DE61A1"/>
    <w:rsid w:val="00DF2643"/>
    <w:rsid w:val="00DF288D"/>
    <w:rsid w:val="00DF514A"/>
    <w:rsid w:val="00DF6FFE"/>
    <w:rsid w:val="00E01C30"/>
    <w:rsid w:val="00E025F7"/>
    <w:rsid w:val="00E03E77"/>
    <w:rsid w:val="00E1672A"/>
    <w:rsid w:val="00E23353"/>
    <w:rsid w:val="00E26AC2"/>
    <w:rsid w:val="00E27C8A"/>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85F11"/>
    <w:rsid w:val="00E92232"/>
    <w:rsid w:val="00E974E8"/>
    <w:rsid w:val="00EA3F39"/>
    <w:rsid w:val="00EB6124"/>
    <w:rsid w:val="00EB6E14"/>
    <w:rsid w:val="00EB745A"/>
    <w:rsid w:val="00EB7C2B"/>
    <w:rsid w:val="00EC3869"/>
    <w:rsid w:val="00EC40F8"/>
    <w:rsid w:val="00EC6EC4"/>
    <w:rsid w:val="00EC7BB9"/>
    <w:rsid w:val="00ED015B"/>
    <w:rsid w:val="00ED09B7"/>
    <w:rsid w:val="00ED0F9C"/>
    <w:rsid w:val="00ED46A6"/>
    <w:rsid w:val="00ED56B3"/>
    <w:rsid w:val="00ED708C"/>
    <w:rsid w:val="00EE2D51"/>
    <w:rsid w:val="00EE74EE"/>
    <w:rsid w:val="00EF7385"/>
    <w:rsid w:val="00F0218A"/>
    <w:rsid w:val="00F03124"/>
    <w:rsid w:val="00F129BA"/>
    <w:rsid w:val="00F14608"/>
    <w:rsid w:val="00F15E09"/>
    <w:rsid w:val="00F23BAC"/>
    <w:rsid w:val="00F260F5"/>
    <w:rsid w:val="00F308F6"/>
    <w:rsid w:val="00F44A3A"/>
    <w:rsid w:val="00F4641B"/>
    <w:rsid w:val="00F46F16"/>
    <w:rsid w:val="00F47093"/>
    <w:rsid w:val="00F53BAF"/>
    <w:rsid w:val="00F719F4"/>
    <w:rsid w:val="00F77341"/>
    <w:rsid w:val="00F91539"/>
    <w:rsid w:val="00FB3B33"/>
    <w:rsid w:val="00FB7095"/>
    <w:rsid w:val="00FC30E0"/>
    <w:rsid w:val="00FC43E3"/>
    <w:rsid w:val="00FC654B"/>
    <w:rsid w:val="00FC73E8"/>
    <w:rsid w:val="00FC7AA0"/>
    <w:rsid w:val="00FD44A9"/>
    <w:rsid w:val="00FD557E"/>
    <w:rsid w:val="00FD6D25"/>
    <w:rsid w:val="00FE53DF"/>
    <w:rsid w:val="00FF31FB"/>
    <w:rsid w:val="01647684"/>
    <w:rsid w:val="06EA45C6"/>
    <w:rsid w:val="16ED2245"/>
    <w:rsid w:val="16ED4934"/>
    <w:rsid w:val="1F770791"/>
    <w:rsid w:val="219B3E5A"/>
    <w:rsid w:val="35DF29AC"/>
    <w:rsid w:val="4BF743F5"/>
    <w:rsid w:val="4C4237EA"/>
    <w:rsid w:val="5FFD1251"/>
    <w:rsid w:val="73FB4AF5"/>
    <w:rsid w:val="78742385"/>
    <w:rsid w:val="79955B7E"/>
    <w:rsid w:val="7CFF8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Emphasis"/>
    <w:basedOn w:val="8"/>
    <w:qFormat/>
    <w:uiPriority w:val="20"/>
    <w:rPr>
      <w:i/>
      <w:i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默认段落字体 Para Char 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34"/>
    <w:pPr>
      <w:ind w:firstLine="420" w:firstLineChars="200"/>
    </w:p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31"/>
    <w:qFormat/>
    <w:uiPriority w:val="0"/>
    <w:rPr>
      <w:rFonts w:hint="eastAsia" w:ascii="宋体" w:hAnsi="宋体" w:eastAsia="宋体" w:cs="宋体"/>
      <w:b/>
      <w:color w:val="000000"/>
      <w:sz w:val="28"/>
      <w:szCs w:val="28"/>
      <w:u w:val="none"/>
    </w:rPr>
  </w:style>
  <w:style w:type="character" w:customStyle="1" w:styleId="18">
    <w:name w:val="font01"/>
    <w:qFormat/>
    <w:uiPriority w:val="0"/>
    <w:rPr>
      <w:rFonts w:hint="eastAsia" w:ascii="宋体" w:hAnsi="宋体" w:eastAsia="宋体" w:cs="宋体"/>
      <w:b/>
      <w:color w:val="000000"/>
      <w:sz w:val="28"/>
      <w:szCs w:val="28"/>
      <w:u w:val="single"/>
    </w:rPr>
  </w:style>
  <w:style w:type="character" w:customStyle="1" w:styleId="19">
    <w:name w:val="批注文字 Char"/>
    <w:link w:val="2"/>
    <w:qFormat/>
    <w:uiPriority w:val="0"/>
    <w:rPr>
      <w:kern w:val="2"/>
      <w:sz w:val="21"/>
      <w:szCs w:val="24"/>
    </w:rPr>
  </w:style>
  <w:style w:type="character" w:customStyle="1" w:styleId="20">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2056</Words>
  <Characters>2102</Characters>
  <Lines>17</Lines>
  <Paragraphs>4</Paragraphs>
  <TotalTime>6</TotalTime>
  <ScaleCrop>false</ScaleCrop>
  <LinksUpToDate>false</LinksUpToDate>
  <CharactersWithSpaces>2119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2020-05-29T18:44:00Z</dcterms:created>
  <dc:creator>微软用户</dc:creator>
  <cp:lastModifiedBy>微信用户</cp:lastModifiedBy>
  <cp:lastPrinted>2019-12-13T17:03:00Z</cp:lastPrinted>
  <dcterms:modified xsi:type="dcterms:W3CDTF">2024-10-17T09:35:09Z</dcterms:modified>
  <dc:title>南山区 “上市促进贷” 贷款贴息计划操作规程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0E5AFE986A1E4989A639899F97ED70A5</vt:lpwstr>
  </property>
</Properties>
</file>