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2FD1">
      <w:pPr>
        <w:spacing w:line="540" w:lineRule="exact"/>
        <w:jc w:val="center"/>
        <w:rPr>
          <w:rFonts w:ascii="黑体" w:hAnsi="黑体" w:eastAsia="黑体" w:cs="黑体"/>
          <w:spacing w:val="-2"/>
          <w:sz w:val="32"/>
          <w:szCs w:val="32"/>
        </w:rPr>
      </w:pPr>
      <w:r>
        <w:rPr>
          <w:rFonts w:hint="eastAsia" w:ascii="黑体" w:hAnsi="黑体" w:eastAsia="黑体" w:cs="黑体"/>
          <w:spacing w:val="-2"/>
          <w:sz w:val="32"/>
          <w:szCs w:val="32"/>
        </w:rPr>
        <w:t>南山区自主创新产业发展专项资金</w:t>
      </w:r>
      <w:r>
        <w:rPr>
          <w:rFonts w:ascii="黑体" w:hAnsi="黑体" w:eastAsia="黑体" w:cs="黑体"/>
          <w:spacing w:val="-2"/>
          <w:sz w:val="32"/>
          <w:szCs w:val="32"/>
        </w:rPr>
        <w:t>—</w:t>
      </w:r>
      <w:r>
        <w:rPr>
          <w:rFonts w:hint="eastAsia" w:ascii="黑体" w:hAnsi="黑体" w:eastAsia="黑体" w:cs="黑体"/>
          <w:spacing w:val="-2"/>
          <w:sz w:val="32"/>
          <w:szCs w:val="32"/>
        </w:rPr>
        <w:t>经济发展分项资金</w:t>
      </w:r>
    </w:p>
    <w:p w14:paraId="686FD6DD">
      <w:pPr>
        <w:spacing w:line="540" w:lineRule="exact"/>
        <w:jc w:val="center"/>
        <w:rPr>
          <w:rFonts w:ascii="黑体" w:hAnsi="黑体" w:eastAsia="黑体" w:cs="黑体"/>
          <w:sz w:val="32"/>
          <w:szCs w:val="32"/>
        </w:rPr>
      </w:pPr>
      <w:r>
        <w:rPr>
          <w:rFonts w:hint="eastAsia" w:ascii="黑体" w:hAnsi="黑体" w:eastAsia="黑体" w:cs="黑体"/>
          <w:sz w:val="32"/>
          <w:szCs w:val="32"/>
        </w:rPr>
        <w:t>总部企业办公用房扶持项目操作规程（</w:t>
      </w:r>
      <w:r>
        <w:rPr>
          <w:rFonts w:ascii="黑体" w:hAnsi="黑体" w:eastAsia="黑体" w:cs="黑体"/>
          <w:sz w:val="32"/>
          <w:szCs w:val="32"/>
        </w:rPr>
        <w:t>20</w:t>
      </w:r>
      <w:r>
        <w:rPr>
          <w:rFonts w:hint="eastAsia" w:ascii="黑体" w:hAnsi="黑体" w:eastAsia="黑体" w:cs="黑体"/>
          <w:sz w:val="32"/>
          <w:szCs w:val="32"/>
        </w:rPr>
        <w:t>2</w:t>
      </w:r>
      <w:r>
        <w:rPr>
          <w:rFonts w:hint="default" w:ascii="黑体" w:hAnsi="黑体" w:eastAsia="黑体" w:cs="黑体"/>
          <w:sz w:val="32"/>
          <w:szCs w:val="32"/>
          <w:lang w:eastAsia="zh-CN"/>
        </w:rPr>
        <w:t>2</w:t>
      </w:r>
      <w:r>
        <w:rPr>
          <w:rFonts w:hint="eastAsia" w:ascii="黑体" w:hAnsi="黑体" w:eastAsia="黑体" w:cs="黑体"/>
          <w:sz w:val="32"/>
          <w:szCs w:val="32"/>
        </w:rPr>
        <w:t>年度）</w:t>
      </w:r>
    </w:p>
    <w:p w14:paraId="6F3DA08D">
      <w:pPr>
        <w:spacing w:line="540" w:lineRule="exact"/>
        <w:jc w:val="center"/>
        <w:rPr>
          <w:rFonts w:ascii="黑体" w:eastAsia="黑体"/>
          <w:sz w:val="32"/>
          <w:szCs w:val="32"/>
        </w:rPr>
      </w:pPr>
    </w:p>
    <w:p w14:paraId="7767D52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w:t>
      </w:r>
      <w:r>
        <w:rPr>
          <w:rFonts w:hint="eastAsia" w:ascii="仿宋_GB2312" w:eastAsia="仿宋_GB2312"/>
          <w:kern w:val="0"/>
          <w:sz w:val="32"/>
          <w:szCs w:val="32"/>
        </w:rPr>
        <w:t>促进我区经济增长方式转变，推动产业结构优化升级，</w:t>
      </w:r>
      <w:r>
        <w:rPr>
          <w:rFonts w:hint="eastAsia" w:ascii="仿宋_GB2312" w:eastAsia="仿宋_GB2312" w:cs="宋体"/>
          <w:sz w:val="32"/>
          <w:szCs w:val="32"/>
        </w:rPr>
        <w:t>培育引进有国际竞争力的大型企业</w:t>
      </w:r>
      <w:r>
        <w:rPr>
          <w:rFonts w:hint="eastAsia" w:ascii="仿宋_GB2312" w:eastAsia="仿宋_GB2312"/>
          <w:sz w:val="32"/>
          <w:szCs w:val="32"/>
        </w:rPr>
        <w:t>，根据《南山区自主创新产业发展专项资金管理办法》及《南山区自主创新产业发展专项资金经济发展分项资金实施细则》，制定本操作规程。</w:t>
      </w:r>
    </w:p>
    <w:p w14:paraId="0FFC61B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一、政策内容</w:t>
      </w:r>
    </w:p>
    <w:p w14:paraId="37C5176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经认定的南山区总部企业，于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日后在南山区新购置或租赁自用办公用房（不含附属和配套用房以及南山区</w:t>
      </w:r>
      <w:r>
        <w:rPr>
          <w:rFonts w:hint="default" w:ascii="仿宋_GB2312" w:eastAsia="仿宋_GB2312" w:cs="宋体"/>
          <w:sz w:val="32"/>
          <w:szCs w:val="32"/>
        </w:rPr>
        <w:t>创新型</w:t>
      </w:r>
      <w:r>
        <w:rPr>
          <w:rFonts w:hint="eastAsia" w:ascii="仿宋_GB2312" w:eastAsia="仿宋_GB2312" w:cs="宋体"/>
          <w:sz w:val="32"/>
          <w:szCs w:val="32"/>
        </w:rPr>
        <w:t>产业用房）的，可申请相应资助。</w:t>
      </w:r>
    </w:p>
    <w:p w14:paraId="1DE4CE8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sz w:val="32"/>
          <w:szCs w:val="32"/>
        </w:rPr>
      </w:pPr>
      <w:r>
        <w:rPr>
          <w:rFonts w:hint="eastAsia" w:ascii="黑体" w:hAnsi="黑体" w:eastAsia="黑体" w:cs="黑体"/>
          <w:bCs/>
          <w:sz w:val="32"/>
          <w:szCs w:val="32"/>
        </w:rPr>
        <w:t>二、资助方式</w:t>
      </w:r>
    </w:p>
    <w:p w14:paraId="63606D5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2E031BF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sz w:val="32"/>
          <w:szCs w:val="32"/>
        </w:rPr>
      </w:pPr>
      <w:r>
        <w:rPr>
          <w:rFonts w:hint="eastAsia" w:ascii="黑体" w:hAnsi="黑体" w:eastAsia="黑体" w:cs="黑体"/>
          <w:bCs/>
          <w:sz w:val="32"/>
          <w:szCs w:val="32"/>
        </w:rPr>
        <w:t>三、资助标准</w:t>
      </w:r>
    </w:p>
    <w:p w14:paraId="526851F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楷体_GB2312" w:hAnsi="仿宋" w:eastAsia="楷体_GB2312" w:cs="Times New Roman"/>
          <w:b w:val="0"/>
          <w:bCs w:val="0"/>
          <w:color w:val="auto"/>
          <w:sz w:val="32"/>
          <w:szCs w:val="32"/>
          <w:highlight w:val="none"/>
        </w:rPr>
        <w:t>（一）购置办公用房</w:t>
      </w:r>
    </w:p>
    <w:p w14:paraId="1086C5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南山区总部企业于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日后在南山区新购置自用办公用房（同一栋建筑物；附属和配套用房以及南山区</w:t>
      </w:r>
      <w:r>
        <w:rPr>
          <w:rFonts w:hint="default" w:ascii="仿宋_GB2312" w:eastAsia="仿宋_GB2312" w:cs="宋体"/>
          <w:sz w:val="32"/>
          <w:szCs w:val="32"/>
        </w:rPr>
        <w:t>创新型</w:t>
      </w:r>
      <w:r>
        <w:rPr>
          <w:rFonts w:hint="eastAsia" w:ascii="仿宋_GB2312" w:eastAsia="仿宋_GB2312" w:cs="宋体"/>
          <w:sz w:val="32"/>
          <w:szCs w:val="32"/>
        </w:rPr>
        <w:t>产业用房；已获购房资助的总部企业，再次购置自用办公商品房的不纳入资助范围），</w:t>
      </w:r>
      <w:r>
        <w:rPr>
          <w:rFonts w:hint="eastAsia" w:ascii="仿宋_GB2312" w:eastAsia="仿宋_GB2312" w:cs="宋体"/>
          <w:sz w:val="32"/>
          <w:szCs w:val="32"/>
          <w:lang w:val="en-US" w:eastAsia="zh-CN"/>
        </w:rPr>
        <w:t>针对</w:t>
      </w:r>
      <w:r>
        <w:rPr>
          <w:rFonts w:hint="eastAsia" w:ascii="仿宋_GB2312" w:eastAsia="仿宋_GB2312" w:cs="宋体"/>
          <w:sz w:val="32"/>
          <w:szCs w:val="32"/>
        </w:rPr>
        <w:t>套内建筑面积</w:t>
      </w:r>
      <w:r>
        <w:rPr>
          <w:rFonts w:hint="eastAsia" w:ascii="仿宋_GB2312" w:eastAsia="仿宋_GB2312" w:cs="宋体"/>
          <w:sz w:val="32"/>
          <w:szCs w:val="32"/>
          <w:lang w:eastAsia="zh-CN"/>
        </w:rPr>
        <w:t>，</w:t>
      </w:r>
      <w:r>
        <w:rPr>
          <w:rFonts w:hint="eastAsia" w:ascii="仿宋_GB2312" w:eastAsia="仿宋_GB2312" w:cs="宋体"/>
          <w:sz w:val="32"/>
          <w:szCs w:val="32"/>
        </w:rPr>
        <w:t>按最高3</w:t>
      </w:r>
      <w:r>
        <w:rPr>
          <w:rFonts w:ascii="仿宋_GB2312" w:eastAsia="仿宋_GB2312" w:cs="宋体"/>
          <w:sz w:val="32"/>
          <w:szCs w:val="32"/>
        </w:rPr>
        <w:t>000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的标准分3年平均给予补贴，每年最高</w:t>
      </w:r>
      <w:r>
        <w:rPr>
          <w:rFonts w:ascii="仿宋_GB2312" w:eastAsia="仿宋_GB2312" w:cs="宋体"/>
          <w:sz w:val="32"/>
          <w:szCs w:val="32"/>
        </w:rPr>
        <w:t>1000</w:t>
      </w:r>
      <w:r>
        <w:rPr>
          <w:rFonts w:hint="eastAsia" w:ascii="仿宋_GB2312" w:eastAsia="仿宋_GB2312" w:cs="宋体"/>
          <w:sz w:val="32"/>
          <w:szCs w:val="32"/>
        </w:rPr>
        <w:t>万元。其中：</w:t>
      </w:r>
    </w:p>
    <w:p w14:paraId="1074614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宋体"/>
          <w:sz w:val="32"/>
          <w:szCs w:val="32"/>
        </w:rPr>
        <w:t>上一年度在南山区纳税6</w:t>
      </w:r>
      <w:r>
        <w:rPr>
          <w:rFonts w:ascii="仿宋_GB2312" w:eastAsia="仿宋_GB2312" w:cs="宋体"/>
          <w:sz w:val="32"/>
          <w:szCs w:val="32"/>
        </w:rPr>
        <w:t>000</w:t>
      </w:r>
      <w:r>
        <w:rPr>
          <w:rFonts w:hint="eastAsia" w:ascii="仿宋_GB2312" w:eastAsia="仿宋_GB2312" w:cs="宋体"/>
          <w:sz w:val="32"/>
          <w:szCs w:val="32"/>
        </w:rPr>
        <w:t>万元以</w:t>
      </w:r>
      <w:r>
        <w:rPr>
          <w:rFonts w:hint="eastAsia" w:ascii="仿宋_GB2312" w:eastAsia="仿宋_GB2312"/>
          <w:sz w:val="32"/>
          <w:szCs w:val="32"/>
        </w:rPr>
        <w:t>上的，资助标准为3</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sz w:val="32"/>
          <w:szCs w:val="32"/>
        </w:rPr>
        <w:t>㎡</w:t>
      </w:r>
      <w:r>
        <w:rPr>
          <w:rFonts w:hint="eastAsia" w:ascii="仿宋_GB2312" w:eastAsia="仿宋_GB2312"/>
          <w:sz w:val="32"/>
          <w:szCs w:val="32"/>
        </w:rPr>
        <w:t>且不超过房屋均价的</w:t>
      </w:r>
      <w:r>
        <w:rPr>
          <w:rFonts w:ascii="仿宋_GB2312" w:eastAsia="仿宋_GB2312"/>
          <w:sz w:val="32"/>
          <w:szCs w:val="32"/>
        </w:rPr>
        <w:t>10%</w:t>
      </w:r>
      <w:r>
        <w:rPr>
          <w:rFonts w:hint="eastAsia" w:ascii="仿宋_GB2312" w:eastAsia="仿宋_GB2312"/>
          <w:sz w:val="32"/>
          <w:szCs w:val="32"/>
        </w:rPr>
        <w:t>；</w:t>
      </w:r>
    </w:p>
    <w:p w14:paraId="05D8EBD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sz w:val="32"/>
          <w:szCs w:val="32"/>
        </w:rPr>
        <w:t>其他情况资助标准为</w:t>
      </w:r>
      <w:r>
        <w:rPr>
          <w:rFonts w:hint="eastAsia" w:ascii="仿宋_GB2312" w:eastAsia="仿宋_GB2312" w:cs="宋体"/>
          <w:sz w:val="32"/>
          <w:szCs w:val="32"/>
        </w:rPr>
        <w:t>20</w:t>
      </w:r>
      <w:r>
        <w:rPr>
          <w:rFonts w:ascii="仿宋_GB2312" w:eastAsia="仿宋_GB2312" w:cs="宋体"/>
          <w:sz w:val="32"/>
          <w:szCs w:val="32"/>
        </w:rPr>
        <w:t>00</w:t>
      </w:r>
      <w:r>
        <w:rPr>
          <w:rFonts w:hint="eastAsia" w:ascii="仿宋_GB2312" w:eastAsia="仿宋_GB2312" w:cs="宋体"/>
          <w:sz w:val="32"/>
          <w:szCs w:val="32"/>
        </w:rPr>
        <w:t>元</w:t>
      </w:r>
      <w:r>
        <w:rPr>
          <w:rFonts w:ascii="仿宋_GB2312" w:eastAsia="仿宋_GB2312" w:cs="宋体"/>
          <w:sz w:val="32"/>
          <w:szCs w:val="32"/>
        </w:rPr>
        <w:t>/</w:t>
      </w:r>
      <w:r>
        <w:rPr>
          <w:rFonts w:hint="eastAsia" w:ascii="仿宋_GB2312" w:cs="宋体"/>
          <w:sz w:val="32"/>
          <w:szCs w:val="32"/>
        </w:rPr>
        <w:t>㎡</w:t>
      </w:r>
      <w:r>
        <w:rPr>
          <w:rFonts w:hint="eastAsia" w:ascii="仿宋_GB2312" w:eastAsia="仿宋_GB2312" w:cs="宋体"/>
          <w:sz w:val="32"/>
          <w:szCs w:val="32"/>
        </w:rPr>
        <w:t>且不超过房屋均价的</w:t>
      </w:r>
      <w:r>
        <w:rPr>
          <w:rFonts w:ascii="仿宋_GB2312" w:eastAsia="仿宋_GB2312" w:cs="宋体"/>
          <w:sz w:val="32"/>
          <w:szCs w:val="32"/>
        </w:rPr>
        <w:t>10%</w:t>
      </w:r>
      <w:r>
        <w:rPr>
          <w:rFonts w:hint="eastAsia" w:ascii="仿宋_GB2312" w:eastAsia="仿宋_GB2312" w:cs="宋体"/>
          <w:sz w:val="32"/>
          <w:szCs w:val="32"/>
        </w:rPr>
        <w:t>。</w:t>
      </w:r>
    </w:p>
    <w:p w14:paraId="378776D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仿宋" w:eastAsia="楷体_GB2312" w:cs="Times New Roman"/>
          <w:b w:val="0"/>
          <w:bCs w:val="0"/>
          <w:color w:val="auto"/>
          <w:sz w:val="32"/>
          <w:szCs w:val="32"/>
          <w:highlight w:val="none"/>
        </w:rPr>
      </w:pPr>
      <w:r>
        <w:rPr>
          <w:rFonts w:hint="default" w:ascii="楷体_GB2312" w:hAnsi="仿宋" w:eastAsia="楷体_GB2312" w:cs="Times New Roman"/>
          <w:b w:val="0"/>
          <w:bCs w:val="0"/>
          <w:color w:val="auto"/>
          <w:sz w:val="32"/>
          <w:szCs w:val="32"/>
          <w:highlight w:val="none"/>
        </w:rPr>
        <w:t>（二）</w:t>
      </w:r>
      <w:r>
        <w:rPr>
          <w:rFonts w:hint="eastAsia" w:ascii="楷体_GB2312" w:hAnsi="仿宋" w:eastAsia="楷体_GB2312" w:cs="Times New Roman"/>
          <w:b w:val="0"/>
          <w:bCs w:val="0"/>
          <w:color w:val="auto"/>
          <w:sz w:val="32"/>
          <w:szCs w:val="32"/>
          <w:highlight w:val="none"/>
        </w:rPr>
        <w:t>租赁办公用房</w:t>
      </w:r>
    </w:p>
    <w:p w14:paraId="584D0CA0">
      <w:pPr>
        <w:keepNext w:val="0"/>
        <w:keepLines w:val="0"/>
        <w:pageBreakBefore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经认定的总部企业，于</w:t>
      </w:r>
      <w:r>
        <w:rPr>
          <w:rFonts w:ascii="仿宋_GB2312" w:eastAsia="仿宋_GB2312" w:cs="宋体"/>
          <w:sz w:val="32"/>
          <w:szCs w:val="32"/>
        </w:rPr>
        <w:t>2016</w:t>
      </w:r>
      <w:r>
        <w:rPr>
          <w:rFonts w:hint="eastAsia" w:ascii="仿宋_GB2312" w:eastAsia="仿宋_GB2312" w:cs="宋体"/>
          <w:sz w:val="32"/>
          <w:szCs w:val="32"/>
        </w:rPr>
        <w:t>年</w:t>
      </w:r>
      <w:r>
        <w:rPr>
          <w:rFonts w:ascii="仿宋_GB2312" w:eastAsia="仿宋_GB2312" w:cs="宋体"/>
          <w:sz w:val="32"/>
          <w:szCs w:val="32"/>
        </w:rPr>
        <w:t>1</w:t>
      </w:r>
      <w:r>
        <w:rPr>
          <w:rFonts w:hint="eastAsia" w:ascii="仿宋_GB2312" w:eastAsia="仿宋_GB2312" w:cs="宋体"/>
          <w:sz w:val="32"/>
          <w:szCs w:val="32"/>
        </w:rPr>
        <w:t>月</w:t>
      </w:r>
      <w:r>
        <w:rPr>
          <w:rFonts w:ascii="仿宋_GB2312" w:eastAsia="仿宋_GB2312" w:cs="宋体"/>
          <w:sz w:val="32"/>
          <w:szCs w:val="32"/>
        </w:rPr>
        <w:t>1</w:t>
      </w:r>
      <w:r>
        <w:rPr>
          <w:rFonts w:hint="eastAsia" w:ascii="仿宋_GB2312" w:eastAsia="仿宋_GB2312" w:cs="宋体"/>
          <w:sz w:val="32"/>
          <w:szCs w:val="32"/>
        </w:rPr>
        <w:t>日后在南山区新租赁、同一栋建筑物且租赁面积达1000平方米以上的自用办公用房（不含附属和配套用房以及南山区</w:t>
      </w:r>
      <w:r>
        <w:rPr>
          <w:rFonts w:hint="default" w:ascii="仿宋_GB2312" w:eastAsia="仿宋_GB2312" w:cs="宋体"/>
          <w:sz w:val="32"/>
          <w:szCs w:val="32"/>
        </w:rPr>
        <w:t>创新型</w:t>
      </w:r>
      <w:r>
        <w:rPr>
          <w:rFonts w:hint="eastAsia" w:ascii="仿宋_GB2312" w:eastAsia="仿宋_GB2312" w:cs="宋体"/>
          <w:sz w:val="32"/>
          <w:szCs w:val="32"/>
        </w:rPr>
        <w:t>产业用房），合同期在</w:t>
      </w:r>
      <w:r>
        <w:rPr>
          <w:rFonts w:hint="eastAsia" w:ascii="仿宋_GB2312" w:eastAsia="仿宋_GB2312" w:cs="宋体"/>
          <w:sz w:val="32"/>
          <w:szCs w:val="32"/>
          <w:lang w:val="en-US" w:eastAsia="zh-CN"/>
        </w:rPr>
        <w:t>1</w:t>
      </w:r>
      <w:r>
        <w:rPr>
          <w:rFonts w:hint="eastAsia" w:ascii="仿宋_GB2312" w:eastAsia="仿宋_GB2312" w:cs="宋体"/>
          <w:sz w:val="32"/>
          <w:szCs w:val="32"/>
        </w:rPr>
        <w:t>年</w:t>
      </w:r>
      <w:r>
        <w:rPr>
          <w:rFonts w:hint="eastAsia" w:ascii="仿宋_GB2312" w:eastAsia="仿宋_GB2312" w:cs="宋体"/>
          <w:sz w:val="32"/>
          <w:szCs w:val="32"/>
          <w:lang w:eastAsia="zh-CN"/>
        </w:rPr>
        <w:t>及</w:t>
      </w:r>
      <w:r>
        <w:rPr>
          <w:rFonts w:hint="eastAsia" w:ascii="仿宋_GB2312" w:eastAsia="仿宋_GB2312" w:cs="宋体"/>
          <w:sz w:val="32"/>
          <w:szCs w:val="32"/>
        </w:rPr>
        <w:t>以上的，5年内可给予租房补贴，其中前3年每年可按实际支付租金的30%给予最高4</w:t>
      </w:r>
      <w:r>
        <w:rPr>
          <w:rFonts w:ascii="仿宋_GB2312" w:eastAsia="仿宋_GB2312" w:cs="宋体"/>
          <w:sz w:val="32"/>
          <w:szCs w:val="32"/>
        </w:rPr>
        <w:t>00</w:t>
      </w:r>
      <w:r>
        <w:rPr>
          <w:rFonts w:hint="eastAsia" w:ascii="仿宋_GB2312" w:eastAsia="仿宋_GB2312" w:cs="宋体"/>
          <w:sz w:val="32"/>
          <w:szCs w:val="32"/>
        </w:rPr>
        <w:t>万元的</w:t>
      </w:r>
      <w:r>
        <w:rPr>
          <w:rFonts w:hint="eastAsia" w:ascii="仿宋_GB2312" w:eastAsia="仿宋_GB2312" w:cs="宋体"/>
          <w:sz w:val="32"/>
          <w:szCs w:val="32"/>
          <w:lang w:val="en-US" w:eastAsia="zh-CN"/>
        </w:rPr>
        <w:t>补贴</w:t>
      </w:r>
      <w:r>
        <w:rPr>
          <w:rFonts w:hint="eastAsia" w:ascii="仿宋_GB2312" w:eastAsia="仿宋_GB2312" w:cs="宋体"/>
          <w:sz w:val="32"/>
          <w:szCs w:val="32"/>
        </w:rPr>
        <w:t>；后2年每年按实际支付租金的15%给予</w:t>
      </w:r>
      <w:r>
        <w:rPr>
          <w:rFonts w:hint="eastAsia" w:ascii="仿宋_GB2312" w:eastAsia="仿宋_GB2312" w:cs="宋体"/>
          <w:sz w:val="32"/>
          <w:szCs w:val="32"/>
          <w:lang w:val="en-US" w:eastAsia="zh-CN"/>
        </w:rPr>
        <w:t>最高200万元的补贴</w:t>
      </w:r>
      <w:r>
        <w:rPr>
          <w:rFonts w:hint="eastAsia" w:ascii="仿宋_GB2312" w:eastAsia="仿宋_GB2312" w:cs="宋体"/>
          <w:sz w:val="32"/>
          <w:szCs w:val="32"/>
        </w:rPr>
        <w:t>。其中：</w:t>
      </w:r>
    </w:p>
    <w:p w14:paraId="606634F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上年度在南山区纳税超6000万元的总部企业，资助标准按前3年每年最高400万元，后2年每年最高200万元进行补贴。</w:t>
      </w:r>
    </w:p>
    <w:p w14:paraId="27CBA17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其他情况资助标准按前3年每年最高200万，后2年每年最高100万元进行补贴。</w:t>
      </w:r>
    </w:p>
    <w:p w14:paraId="59848EF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宋体"/>
          <w:sz w:val="32"/>
          <w:szCs w:val="32"/>
        </w:rPr>
        <w:t>（三）</w:t>
      </w:r>
      <w:r>
        <w:rPr>
          <w:rFonts w:hint="eastAsia" w:ascii="仿宋_GB2312" w:eastAsia="仿宋_GB2312"/>
          <w:sz w:val="32"/>
          <w:szCs w:val="32"/>
        </w:rPr>
        <w:t>每一总部企业原则上只能享受以上一项扶持政策。</w:t>
      </w:r>
    </w:p>
    <w:p w14:paraId="6D723BF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rPr>
      </w:pPr>
      <w:r>
        <w:rPr>
          <w:rFonts w:hint="eastAsia" w:ascii="仿宋_GB2312" w:hAnsi="仿宋_GB2312" w:eastAsia="仿宋_GB2312"/>
          <w:sz w:val="32"/>
        </w:rPr>
        <w:t>（四）</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第十三条第（四）款“每家单位同一年度获得的资助金额原则上不超过其上一年度形成的区级地方财力贡献”限制。</w:t>
      </w:r>
    </w:p>
    <w:p w14:paraId="288BEEB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四、申请条件</w:t>
      </w:r>
    </w:p>
    <w:p w14:paraId="33B2F4D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仿宋" w:eastAsia="楷体_GB2312" w:cs="Times New Roman"/>
          <w:b w:val="0"/>
          <w:bCs w:val="0"/>
          <w:color w:val="auto"/>
          <w:sz w:val="32"/>
          <w:szCs w:val="32"/>
          <w:highlight w:val="none"/>
        </w:rPr>
        <w:t>（一）申请本项资金资助的企业应符合以下条件：</w:t>
      </w:r>
    </w:p>
    <w:p w14:paraId="745E15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w:t>
      </w:r>
      <w:r>
        <w:rPr>
          <w:rFonts w:hint="eastAsia" w:ascii="仿宋_GB2312" w:eastAsia="仿宋_GB2312"/>
          <w:sz w:val="32"/>
          <w:szCs w:val="32"/>
          <w:lang w:val="en-US" w:eastAsia="zh-CN"/>
        </w:rPr>
        <w:t>登记</w:t>
      </w:r>
      <w:r>
        <w:rPr>
          <w:rFonts w:hint="eastAsia" w:ascii="仿宋_GB2312" w:eastAsia="仿宋_GB2312"/>
          <w:sz w:val="32"/>
          <w:szCs w:val="32"/>
        </w:rPr>
        <w:t>注册、具有独立法人资格；</w:t>
      </w:r>
    </w:p>
    <w:p w14:paraId="1C5FFE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14:paraId="183BDE9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经南山区政府认定的南山区总部企业</w:t>
      </w:r>
      <w:r>
        <w:rPr>
          <w:rFonts w:hint="eastAsia" w:ascii="仿宋_GB2312" w:hAnsi="仿宋_GB2312" w:eastAsia="仿宋_GB2312"/>
          <w:sz w:val="32"/>
        </w:rPr>
        <w:t>；</w:t>
      </w:r>
    </w:p>
    <w:p w14:paraId="21EF028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2016</w:t>
      </w:r>
      <w:r>
        <w:rPr>
          <w:rFonts w:hint="eastAsia" w:ascii="仿宋_GB2312" w:eastAsia="仿宋_GB2312"/>
          <w:sz w:val="32"/>
          <w:szCs w:val="32"/>
        </w:rPr>
        <w:t>年来未购买南山区政府</w:t>
      </w:r>
      <w:r>
        <w:rPr>
          <w:rFonts w:hint="default" w:ascii="仿宋_GB2312" w:eastAsia="仿宋_GB2312"/>
          <w:sz w:val="32"/>
          <w:szCs w:val="32"/>
        </w:rPr>
        <w:t>创新型</w:t>
      </w:r>
      <w:r>
        <w:rPr>
          <w:rFonts w:hint="eastAsia" w:ascii="仿宋_GB2312" w:eastAsia="仿宋_GB2312"/>
          <w:sz w:val="32"/>
          <w:szCs w:val="32"/>
        </w:rPr>
        <w:t>产业办公用房</w:t>
      </w:r>
      <w:r>
        <w:rPr>
          <w:rFonts w:hint="eastAsia" w:ascii="仿宋_GB2312" w:eastAsia="仿宋_GB2312"/>
          <w:sz w:val="32"/>
          <w:szCs w:val="32"/>
          <w:lang w:eastAsia="zh-CN"/>
        </w:rPr>
        <w:t>；</w:t>
      </w:r>
    </w:p>
    <w:p w14:paraId="0FACF8E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lang w:val="en-US" w:eastAsia="zh-CN"/>
        </w:rPr>
        <w:t>5.应积极配合区委、区政府相关工作。</w:t>
      </w:r>
    </w:p>
    <w:p w14:paraId="5E61A4E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仿宋" w:eastAsia="楷体_GB2312" w:cs="Times New Roman"/>
          <w:b w:val="0"/>
          <w:bCs w:val="0"/>
          <w:color w:val="auto"/>
          <w:sz w:val="32"/>
          <w:szCs w:val="32"/>
          <w:highlight w:val="none"/>
        </w:rPr>
        <w:t>（二）有下列情况之一的，本资金不予资助：</w:t>
      </w:r>
    </w:p>
    <w:p w14:paraId="4F9F0E0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.本年度</w:t>
      </w:r>
      <w:r>
        <w:rPr>
          <w:rFonts w:hint="eastAsia" w:ascii="仿宋_GB2312" w:hAnsi="宋体" w:eastAsia="仿宋_GB2312"/>
          <w:sz w:val="32"/>
          <w:szCs w:val="32"/>
          <w:highlight w:val="none"/>
        </w:rPr>
        <w:t>已获“上市公司办公用房扶持项目”“金融机构办公用房扶持”</w:t>
      </w:r>
      <w:r>
        <w:rPr>
          <w:rFonts w:hint="eastAsia" w:ascii="仿宋_GB2312" w:hAnsi="宋体" w:eastAsia="仿宋_GB2312"/>
          <w:sz w:val="32"/>
          <w:szCs w:val="32"/>
          <w:highlight w:val="none"/>
          <w:lang w:eastAsia="zh-CN"/>
        </w:rPr>
        <w:t>“工业企业租金补贴”</w:t>
      </w:r>
      <w:r>
        <w:rPr>
          <w:rFonts w:hint="eastAsia" w:ascii="仿宋_GB2312" w:hAnsi="宋体" w:eastAsia="仿宋_GB2312"/>
          <w:sz w:val="32"/>
          <w:szCs w:val="32"/>
          <w:highlight w:val="none"/>
        </w:rPr>
        <w:t>资助的企业，不得申请该扶持项目</w:t>
      </w:r>
      <w:r>
        <w:rPr>
          <w:rFonts w:hint="eastAsia" w:ascii="仿宋_GB2312" w:hAnsi="宋体" w:eastAsia="仿宋_GB2312"/>
          <w:sz w:val="32"/>
          <w:szCs w:val="32"/>
        </w:rPr>
        <w:t>；</w:t>
      </w:r>
    </w:p>
    <w:p w14:paraId="35B11D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14:paraId="38F0E15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14:paraId="3857631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14:paraId="68E3A02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提出资助申请后，将企业注册地搬离南山和未按规定提交统计报表、在</w:t>
      </w:r>
      <w:r>
        <w:rPr>
          <w:rFonts w:hint="eastAsia" w:ascii="仿宋_GB2312" w:hAnsi="宋体" w:eastAsia="仿宋_GB2312"/>
          <w:sz w:val="32"/>
          <w:szCs w:val="32"/>
          <w:lang w:val="en-US" w:eastAsia="zh-CN"/>
        </w:rPr>
        <w:t>南山区</w:t>
      </w:r>
      <w:r>
        <w:rPr>
          <w:rFonts w:hint="eastAsia" w:ascii="仿宋_GB2312" w:hAnsi="宋体" w:eastAsia="仿宋_GB2312"/>
          <w:sz w:val="32"/>
          <w:szCs w:val="32"/>
        </w:rPr>
        <w:t>产业发展综合服务平台填报相关数据的。</w:t>
      </w:r>
    </w:p>
    <w:p w14:paraId="3527252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五、办理流程</w:t>
      </w:r>
    </w:p>
    <w:p w14:paraId="07D1895E">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w:t>
      </w:r>
    </w:p>
    <w:p w14:paraId="6C7F689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（二）区企业服务中心统一受理单位申请；</w:t>
      </w:r>
    </w:p>
    <w:p w14:paraId="090B9DD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color w:val="auto"/>
          <w:sz w:val="32"/>
          <w:szCs w:val="32"/>
        </w:rPr>
        <w:t>）</w:t>
      </w:r>
      <w:r>
        <w:rPr>
          <w:rFonts w:hint="eastAsia" w:ascii="仿宋_GB2312" w:eastAsia="仿宋_GB2312"/>
          <w:color w:val="auto"/>
          <w:sz w:val="32"/>
          <w:szCs w:val="32"/>
        </w:rPr>
        <w:t>资金主管部门</w:t>
      </w:r>
      <w:r>
        <w:rPr>
          <w:rFonts w:hint="eastAsia" w:ascii="仿宋_GB2312" w:eastAsia="仿宋_GB2312"/>
          <w:color w:val="auto"/>
          <w:sz w:val="32"/>
          <w:szCs w:val="32"/>
          <w:lang w:eastAsia="zh-CN"/>
        </w:rPr>
        <w:t>对</w:t>
      </w:r>
      <w:r>
        <w:rPr>
          <w:rFonts w:hint="eastAsia" w:ascii="仿宋_GB2312" w:eastAsia="仿宋_GB2312"/>
          <w:color w:val="auto"/>
          <w:sz w:val="32"/>
          <w:szCs w:val="32"/>
        </w:rPr>
        <w:t>申</w:t>
      </w:r>
      <w:r>
        <w:rPr>
          <w:rFonts w:hint="eastAsia" w:ascii="仿宋_GB2312" w:eastAsia="仿宋_GB2312"/>
          <w:color w:val="auto"/>
          <w:sz w:val="32"/>
          <w:szCs w:val="32"/>
          <w:lang w:val="en-US" w:eastAsia="zh-CN"/>
        </w:rPr>
        <w:t>请</w:t>
      </w:r>
      <w:r>
        <w:rPr>
          <w:rFonts w:hint="eastAsia" w:ascii="仿宋_GB2312" w:eastAsia="仿宋_GB2312"/>
          <w:color w:val="auto"/>
          <w:sz w:val="32"/>
          <w:szCs w:val="32"/>
          <w:lang w:eastAsia="zh-CN"/>
        </w:rPr>
        <w:t>项目</w:t>
      </w:r>
      <w:r>
        <w:rPr>
          <w:rFonts w:hint="eastAsia" w:ascii="仿宋_GB2312" w:eastAsia="仿宋_GB2312"/>
          <w:color w:val="auto"/>
          <w:sz w:val="32"/>
          <w:szCs w:val="32"/>
        </w:rPr>
        <w:t>进行核准</w:t>
      </w:r>
      <w:r>
        <w:rPr>
          <w:rFonts w:hint="eastAsia" w:ascii="仿宋_GB2312" w:eastAsia="仿宋_GB2312"/>
          <w:color w:val="auto"/>
          <w:sz w:val="32"/>
          <w:szCs w:val="32"/>
          <w:lang w:val="en-US" w:eastAsia="zh-CN"/>
        </w:rPr>
        <w:t>或组织评审</w:t>
      </w:r>
      <w:r>
        <w:rPr>
          <w:rFonts w:hint="eastAsia" w:ascii="仿宋_GB2312" w:eastAsia="仿宋_GB2312"/>
          <w:color w:val="auto"/>
          <w:sz w:val="32"/>
          <w:szCs w:val="32"/>
        </w:rPr>
        <w:t>，并编制项目资助计划；</w:t>
      </w:r>
    </w:p>
    <w:p w14:paraId="6F89A39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（四）区财政局对资金主管部门的项目资助计划进行复核，区统计局对申报企业在地统计开展情况进行核查，市市场监督管理局南山监管局对申报企业注册地情况进行核查；</w:t>
      </w:r>
    </w:p>
    <w:p w14:paraId="7058032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638422D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C6CFC7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267DCA5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10A20C2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sz w:val="32"/>
          <w:szCs w:val="32"/>
        </w:rPr>
      </w:pPr>
      <w:r>
        <w:rPr>
          <w:rFonts w:hint="eastAsia" w:ascii="黑体" w:hAnsi="黑体" w:eastAsia="黑体" w:cs="黑体"/>
          <w:bCs/>
          <w:sz w:val="32"/>
          <w:szCs w:val="32"/>
        </w:rPr>
        <w:t>六、</w:t>
      </w:r>
      <w:r>
        <w:rPr>
          <w:rFonts w:hint="eastAsia" w:ascii="黑体" w:hAnsi="黑体" w:eastAsia="黑体" w:cs="黑体"/>
          <w:bCs/>
          <w:sz w:val="32"/>
          <w:szCs w:val="32"/>
          <w:lang w:val="en-US" w:eastAsia="zh-CN"/>
        </w:rPr>
        <w:t>申请</w:t>
      </w:r>
      <w:r>
        <w:rPr>
          <w:rFonts w:hint="eastAsia" w:ascii="黑体" w:hAnsi="黑体" w:eastAsia="黑体" w:cs="黑体"/>
          <w:bCs/>
          <w:sz w:val="32"/>
          <w:szCs w:val="32"/>
        </w:rPr>
        <w:t>材料</w:t>
      </w:r>
    </w:p>
    <w:p w14:paraId="703AB5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（一）《项目申请书》（登录南山区自主创新产业发展综合服务平台</w:t>
      </w:r>
      <w:bookmarkStart w:id="0" w:name="_GoBack"/>
      <w:bookmarkEnd w:id="0"/>
      <w:r>
        <w:rPr>
          <w:rFonts w:hint="eastAsia" w:ascii="仿宋_GB2312" w:eastAsia="仿宋_GB2312"/>
          <w:sz w:val="32"/>
          <w:szCs w:val="32"/>
        </w:rPr>
        <w:t>在线填写，</w:t>
      </w:r>
      <w:r>
        <w:rPr>
          <w:rFonts w:hint="eastAsia" w:eastAsia="仿宋_GB2312"/>
          <w:sz w:val="32"/>
          <w:szCs w:val="32"/>
        </w:rPr>
        <w:t>申请书</w:t>
      </w:r>
      <w:r>
        <w:rPr>
          <w:rFonts w:hint="eastAsia" w:eastAsia="仿宋_GB2312"/>
          <w:sz w:val="32"/>
          <w:szCs w:val="32"/>
          <w:lang w:val="en-US" w:eastAsia="zh-CN"/>
        </w:rPr>
        <w:t>按要求</w:t>
      </w:r>
      <w:r>
        <w:rPr>
          <w:rFonts w:hint="eastAsia" w:eastAsia="仿宋_GB2312"/>
          <w:sz w:val="32"/>
          <w:szCs w:val="32"/>
        </w:rPr>
        <w:t>签字盖章</w:t>
      </w:r>
      <w:r>
        <w:rPr>
          <w:rFonts w:hint="eastAsia" w:eastAsia="仿宋_GB2312"/>
          <w:sz w:val="32"/>
          <w:szCs w:val="32"/>
          <w:lang w:val="en-US" w:eastAsia="zh-CN"/>
        </w:rPr>
        <w:t>后彩色扫描上传</w:t>
      </w:r>
      <w:r>
        <w:rPr>
          <w:rFonts w:hint="eastAsia" w:ascii="仿宋_GB2312" w:eastAsia="仿宋_GB2312"/>
          <w:sz w:val="32"/>
          <w:szCs w:val="32"/>
        </w:rPr>
        <w:t>）；</w:t>
      </w:r>
    </w:p>
    <w:p w14:paraId="013C772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（二）新版“三证合一”营业执照（</w:t>
      </w:r>
      <w:r>
        <w:rPr>
          <w:rFonts w:hint="eastAsia" w:ascii="仿宋_GB2312" w:eastAsia="仿宋_GB2312"/>
          <w:color w:val="000000"/>
          <w:sz w:val="32"/>
          <w:szCs w:val="32"/>
        </w:rPr>
        <w:t>网上提交资料要求：原件彩色扫描上传）</w:t>
      </w:r>
      <w:r>
        <w:rPr>
          <w:rFonts w:hint="eastAsia" w:ascii="仿宋_GB2312" w:eastAsia="仿宋_GB2312"/>
          <w:sz w:val="32"/>
          <w:szCs w:val="32"/>
        </w:rPr>
        <w:t>；</w:t>
      </w:r>
    </w:p>
    <w:p w14:paraId="2BA7EB7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（三）法定代表人身份证[网上提交资料要求：原件（复印件加盖公章）彩色扫描上传]；</w:t>
      </w:r>
    </w:p>
    <w:p w14:paraId="620A909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（四）税务部门开具的单位上</w:t>
      </w:r>
      <w:r>
        <w:rPr>
          <w:rFonts w:hint="eastAsia" w:ascii="仿宋_GB2312" w:eastAsia="仿宋_GB2312"/>
          <w:sz w:val="32"/>
          <w:szCs w:val="32"/>
          <w:lang w:val="en-US" w:eastAsia="zh-CN"/>
        </w:rPr>
        <w:t>一</w:t>
      </w:r>
      <w:r>
        <w:rPr>
          <w:rFonts w:hint="eastAsia" w:ascii="仿宋_GB2312" w:eastAsia="仿宋_GB2312"/>
          <w:sz w:val="32"/>
          <w:szCs w:val="32"/>
        </w:rPr>
        <w:t>年度纳税证明[网上提交资料要求：税务申报系统下载后打印件（加盖公章）彩色扫描上传]；</w:t>
      </w:r>
    </w:p>
    <w:p w14:paraId="32B50E3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（五）申请购置办公用房资助的，提供购买办公用房的购买合同、房屋所有权证复印件以及相关付款凭证、发票[网上提供资料要求：（加盖公章）原件彩色扫描上传]；</w:t>
      </w:r>
    </w:p>
    <w:p w14:paraId="57AA90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申请租赁办公用房资助的，提供租赁办公用房书面合同及上年度付款凭证、发票[网上提供资料要求：（加盖公章）原件彩色扫描上传]，填报租赁办公用房信息明细表（格式参见附件1，按照统一模板填写打印并加盖企业公章，网上按照统一模板上传）；</w:t>
      </w:r>
    </w:p>
    <w:p w14:paraId="5CE799E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企业办公用房的情况说明书[包括现阶段的使用情况，有无租赁、购买政府政策性产业用房，有无享受用地政策，需注明办公用房功能用途、业务类型等内容</w:t>
      </w:r>
      <w:r>
        <w:rPr>
          <w:rFonts w:hint="default" w:ascii="仿宋_GB2312" w:eastAsia="仿宋_GB2312"/>
          <w:sz w:val="32"/>
          <w:szCs w:val="32"/>
        </w:rPr>
        <w:t>；</w:t>
      </w:r>
      <w:r>
        <w:rPr>
          <w:rFonts w:hint="eastAsia" w:ascii="仿宋_GB2312" w:eastAsia="仿宋_GB2312"/>
          <w:sz w:val="32"/>
          <w:szCs w:val="32"/>
        </w:rPr>
        <w:t>网上提供资料要求：</w:t>
      </w:r>
      <w:r>
        <w:rPr>
          <w:rFonts w:hint="default" w:ascii="仿宋_GB2312" w:eastAsia="仿宋_GB2312"/>
          <w:sz w:val="32"/>
          <w:szCs w:val="32"/>
        </w:rPr>
        <w:t>（加盖公章）</w:t>
      </w:r>
      <w:r>
        <w:rPr>
          <w:rFonts w:hint="eastAsia" w:ascii="仿宋_GB2312" w:eastAsia="仿宋_GB2312"/>
          <w:sz w:val="32"/>
          <w:szCs w:val="32"/>
        </w:rPr>
        <w:t>原件彩色扫描上传]；</w:t>
      </w:r>
    </w:p>
    <w:p w14:paraId="1EA90C7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（八）审核部门认为需要提供的其它材料。</w:t>
      </w:r>
    </w:p>
    <w:p w14:paraId="1672932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b/>
          <w:bCs/>
          <w:sz w:val="32"/>
          <w:szCs w:val="32"/>
          <w:lang w:eastAsia="zh-CN"/>
        </w:rPr>
        <w:t>备注：本项目无需提交纸质件</w:t>
      </w:r>
      <w:r>
        <w:rPr>
          <w:rFonts w:hint="eastAsia" w:ascii="仿宋_GB2312" w:eastAsia="仿宋_GB2312"/>
          <w:b/>
          <w:bCs/>
          <w:color w:val="000000"/>
          <w:sz w:val="32"/>
          <w:szCs w:val="32"/>
        </w:rPr>
        <w:t>。</w:t>
      </w:r>
    </w:p>
    <w:p w14:paraId="1CE8C97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七、时限要求</w:t>
      </w:r>
    </w:p>
    <w:p w14:paraId="5B4641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区工业和信息化局每年安排1-2次集中受理企业申请（具体时间以发布的申报通知为准），获得专项资金资助的单位应于资金计划下达后一个月内，持相关资料办理拨款手续，逾期不办理者视为自动放弃。</w:t>
      </w:r>
    </w:p>
    <w:p w14:paraId="721F1E1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color w:val="000000"/>
          <w:sz w:val="32"/>
          <w:szCs w:val="32"/>
        </w:rPr>
      </w:pPr>
      <w:r>
        <w:rPr>
          <w:rFonts w:hint="eastAsia" w:ascii="黑体" w:hAnsi="黑体" w:eastAsia="黑体" w:cs="黑体"/>
          <w:bCs/>
          <w:color w:val="000000"/>
          <w:sz w:val="32"/>
          <w:szCs w:val="32"/>
        </w:rPr>
        <w:t>八、其他事项</w:t>
      </w:r>
    </w:p>
    <w:p w14:paraId="50FC1F4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14:paraId="2CFFFCD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
          <w:sz w:val="32"/>
          <w:szCs w:val="32"/>
        </w:rPr>
      </w:pPr>
      <w:r>
        <w:rPr>
          <w:rFonts w:hint="eastAsia" w:ascii="黑体" w:hAnsi="黑体" w:eastAsia="黑体" w:cs="黑体"/>
          <w:bCs/>
          <w:sz w:val="32"/>
          <w:szCs w:val="32"/>
        </w:rPr>
        <w:t>九、附则</w:t>
      </w:r>
    </w:p>
    <w:p w14:paraId="385883F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本规程由南山区工业和信息化局负责解释，自发布之日起施行。</w:t>
      </w:r>
    </w:p>
    <w:p w14:paraId="0791AF1F">
      <w:pPr>
        <w:spacing w:line="580" w:lineRule="exact"/>
        <w:rPr>
          <w:rFonts w:ascii="仿宋_GB2312" w:eastAsia="仿宋_GB2312"/>
          <w:sz w:val="32"/>
          <w:szCs w:val="32"/>
        </w:rPr>
        <w:sectPr>
          <w:footerReference r:id="rId3" w:type="default"/>
          <w:pgSz w:w="11906" w:h="16838"/>
          <w:pgMar w:top="1440" w:right="1361" w:bottom="1440" w:left="1587" w:header="851" w:footer="992" w:gutter="0"/>
          <w:pgNumType w:fmt="decimal"/>
          <w:cols w:space="720" w:num="1"/>
          <w:docGrid w:type="linesAndChars" w:linePitch="312" w:charSpace="0"/>
        </w:sectPr>
      </w:pPr>
    </w:p>
    <w:p w14:paraId="6572FD17">
      <w:pPr>
        <w:spacing w:line="58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14:paraId="30027EE3">
      <w:pPr>
        <w:spacing w:line="580" w:lineRule="exact"/>
        <w:jc w:val="center"/>
        <w:rPr>
          <w:rFonts w:ascii="黑体" w:eastAsia="黑体"/>
          <w:sz w:val="32"/>
          <w:szCs w:val="32"/>
        </w:rPr>
      </w:pPr>
      <w:r>
        <w:rPr>
          <w:rFonts w:hint="eastAsia" w:ascii="黑体" w:eastAsia="黑体"/>
          <w:sz w:val="32"/>
          <w:szCs w:val="32"/>
        </w:rPr>
        <w:t>租赁办公用房信息明细表</w:t>
      </w:r>
    </w:p>
    <w:tbl>
      <w:tblPr>
        <w:tblStyle w:val="7"/>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541"/>
        <w:gridCol w:w="1079"/>
        <w:gridCol w:w="1071"/>
        <w:gridCol w:w="1089"/>
        <w:gridCol w:w="1980"/>
        <w:gridCol w:w="998"/>
        <w:gridCol w:w="802"/>
      </w:tblGrid>
      <w:tr w14:paraId="6391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4A9A1393">
            <w:pPr>
              <w:snapToGrid w:val="0"/>
              <w:spacing w:line="240" w:lineRule="atLeast"/>
              <w:rPr>
                <w:rFonts w:ascii="黑体" w:eastAsia="黑体"/>
              </w:rPr>
            </w:pPr>
            <w:r>
              <w:rPr>
                <w:rFonts w:hint="eastAsia" w:ascii="黑体" w:eastAsia="黑体"/>
              </w:rPr>
              <w:t>合同名称</w:t>
            </w:r>
          </w:p>
        </w:tc>
        <w:tc>
          <w:tcPr>
            <w:tcW w:w="8100" w:type="dxa"/>
            <w:gridSpan w:val="8"/>
            <w:vAlign w:val="center"/>
          </w:tcPr>
          <w:p w14:paraId="1693E769">
            <w:pPr>
              <w:snapToGrid w:val="0"/>
              <w:spacing w:line="240" w:lineRule="atLeast"/>
              <w:rPr>
                <w:rFonts w:ascii="黑体" w:eastAsia="黑体"/>
              </w:rPr>
            </w:pPr>
          </w:p>
        </w:tc>
      </w:tr>
      <w:tr w14:paraId="7317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3441666C">
            <w:pPr>
              <w:snapToGrid w:val="0"/>
              <w:spacing w:line="240" w:lineRule="atLeast"/>
              <w:rPr>
                <w:rFonts w:ascii="黑体" w:eastAsia="黑体"/>
              </w:rPr>
            </w:pPr>
            <w:r>
              <w:rPr>
                <w:rFonts w:hint="eastAsia" w:ascii="黑体" w:eastAsia="黑体"/>
              </w:rPr>
              <w:t>物业名称</w:t>
            </w:r>
          </w:p>
        </w:tc>
        <w:tc>
          <w:tcPr>
            <w:tcW w:w="8100" w:type="dxa"/>
            <w:gridSpan w:val="8"/>
            <w:vAlign w:val="center"/>
          </w:tcPr>
          <w:p w14:paraId="23BF1A37">
            <w:pPr>
              <w:snapToGrid w:val="0"/>
              <w:spacing w:line="240" w:lineRule="atLeast"/>
              <w:rPr>
                <w:rFonts w:ascii="黑体" w:eastAsia="黑体"/>
              </w:rPr>
            </w:pPr>
          </w:p>
        </w:tc>
      </w:tr>
      <w:tr w14:paraId="2D4D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1ED57186">
            <w:pPr>
              <w:snapToGrid w:val="0"/>
              <w:spacing w:line="240" w:lineRule="atLeast"/>
              <w:rPr>
                <w:rFonts w:ascii="黑体" w:eastAsia="黑体"/>
              </w:rPr>
            </w:pPr>
            <w:r>
              <w:rPr>
                <w:rFonts w:hint="eastAsia" w:ascii="黑体" w:eastAsia="黑体"/>
              </w:rPr>
              <w:t>物业地址</w:t>
            </w:r>
          </w:p>
        </w:tc>
        <w:tc>
          <w:tcPr>
            <w:tcW w:w="8100" w:type="dxa"/>
            <w:gridSpan w:val="8"/>
            <w:vAlign w:val="center"/>
          </w:tcPr>
          <w:p w14:paraId="33C7D987">
            <w:pPr>
              <w:snapToGrid w:val="0"/>
              <w:spacing w:line="240" w:lineRule="atLeast"/>
              <w:rPr>
                <w:rFonts w:ascii="黑体" w:eastAsia="黑体"/>
              </w:rPr>
            </w:pPr>
          </w:p>
        </w:tc>
      </w:tr>
      <w:tr w14:paraId="2BBA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398B3F89">
            <w:pPr>
              <w:snapToGrid w:val="0"/>
              <w:spacing w:line="240" w:lineRule="atLeast"/>
              <w:rPr>
                <w:rFonts w:ascii="黑体" w:eastAsia="黑体"/>
              </w:rPr>
            </w:pPr>
            <w:r>
              <w:rPr>
                <w:rFonts w:hint="eastAsia" w:ascii="黑体" w:eastAsia="黑体"/>
              </w:rPr>
              <w:t>起</w:t>
            </w:r>
            <w:r>
              <w:rPr>
                <w:rFonts w:hint="default" w:ascii="黑体" w:eastAsia="黑体"/>
              </w:rPr>
              <w:t>止</w:t>
            </w:r>
            <w:r>
              <w:rPr>
                <w:rFonts w:hint="eastAsia" w:ascii="黑体" w:eastAsia="黑体"/>
              </w:rPr>
              <w:t>时间</w:t>
            </w:r>
          </w:p>
        </w:tc>
        <w:tc>
          <w:tcPr>
            <w:tcW w:w="4320" w:type="dxa"/>
            <w:gridSpan w:val="5"/>
            <w:vAlign w:val="center"/>
          </w:tcPr>
          <w:p w14:paraId="4303B248">
            <w:pPr>
              <w:snapToGrid w:val="0"/>
              <w:spacing w:line="240" w:lineRule="atLeast"/>
              <w:rPr>
                <w:rFonts w:ascii="黑体" w:eastAsia="黑体"/>
              </w:rPr>
            </w:pPr>
            <w:r>
              <w:rPr>
                <w:rFonts w:ascii="宋体" w:hAnsi="宋体"/>
                <w:bCs/>
                <w:szCs w:val="21"/>
              </w:rPr>
              <w:t xml:space="preserve">    </w:t>
            </w:r>
          </w:p>
        </w:tc>
        <w:tc>
          <w:tcPr>
            <w:tcW w:w="1980" w:type="dxa"/>
            <w:vAlign w:val="center"/>
          </w:tcPr>
          <w:p w14:paraId="21266624">
            <w:pPr>
              <w:snapToGrid w:val="0"/>
              <w:spacing w:line="240" w:lineRule="atLeas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gridSpan w:val="2"/>
            <w:vAlign w:val="center"/>
          </w:tcPr>
          <w:p w14:paraId="7888BB14">
            <w:pPr>
              <w:snapToGrid w:val="0"/>
              <w:spacing w:line="240" w:lineRule="atLeast"/>
              <w:rPr>
                <w:rFonts w:ascii="黑体" w:eastAsia="黑体"/>
              </w:rPr>
            </w:pPr>
          </w:p>
        </w:tc>
      </w:tr>
      <w:tr w14:paraId="1785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14:paraId="6BA3CFA4">
            <w:pPr>
              <w:snapToGrid w:val="0"/>
              <w:spacing w:line="240" w:lineRule="atLeast"/>
              <w:rPr>
                <w:rFonts w:ascii="黑体" w:eastAsia="黑体"/>
              </w:rPr>
            </w:pPr>
            <w:r>
              <w:rPr>
                <w:rFonts w:hint="eastAsia"/>
                <w:bCs/>
                <w:szCs w:val="21"/>
              </w:rPr>
              <w:t>申请资助时段</w:t>
            </w:r>
          </w:p>
        </w:tc>
        <w:tc>
          <w:tcPr>
            <w:tcW w:w="3780" w:type="dxa"/>
            <w:gridSpan w:val="4"/>
            <w:vAlign w:val="center"/>
          </w:tcPr>
          <w:p w14:paraId="025A2094">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14:paraId="66E9994F">
            <w:pPr>
              <w:snapToGrid w:val="0"/>
              <w:spacing w:line="240" w:lineRule="atLeast"/>
              <w:rPr>
                <w:rFonts w:ascii="黑体" w:eastAsia="黑体"/>
              </w:rPr>
            </w:pPr>
            <w:r>
              <w:rPr>
                <w:rFonts w:hint="eastAsia"/>
                <w:bCs/>
                <w:szCs w:val="21"/>
              </w:rPr>
              <w:t>申请资助时段租金合计（元）</w:t>
            </w:r>
          </w:p>
        </w:tc>
        <w:tc>
          <w:tcPr>
            <w:tcW w:w="1800" w:type="dxa"/>
            <w:gridSpan w:val="2"/>
            <w:vAlign w:val="center"/>
          </w:tcPr>
          <w:p w14:paraId="359156D4">
            <w:pPr>
              <w:snapToGrid w:val="0"/>
              <w:spacing w:line="240" w:lineRule="atLeast"/>
              <w:rPr>
                <w:rFonts w:ascii="黑体" w:eastAsia="黑体"/>
              </w:rPr>
            </w:pPr>
          </w:p>
        </w:tc>
      </w:tr>
      <w:tr w14:paraId="737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2485DA29">
            <w:pPr>
              <w:snapToGrid w:val="0"/>
              <w:spacing w:line="240" w:lineRule="atLeast"/>
              <w:jc w:val="center"/>
              <w:rPr>
                <w:rFonts w:ascii="黑体" w:eastAsia="黑体"/>
              </w:rPr>
            </w:pPr>
            <w:r>
              <w:rPr>
                <w:rFonts w:hint="eastAsia" w:ascii="黑体" w:eastAsia="黑体"/>
              </w:rPr>
              <w:t>序号</w:t>
            </w:r>
          </w:p>
        </w:tc>
        <w:tc>
          <w:tcPr>
            <w:tcW w:w="1441" w:type="dxa"/>
            <w:gridSpan w:val="3"/>
            <w:vAlign w:val="center"/>
          </w:tcPr>
          <w:p w14:paraId="629B851C">
            <w:pPr>
              <w:snapToGrid w:val="0"/>
              <w:spacing w:line="240" w:lineRule="atLeast"/>
              <w:jc w:val="center"/>
              <w:rPr>
                <w:rFonts w:ascii="黑体" w:eastAsia="黑体"/>
              </w:rPr>
            </w:pPr>
            <w:r>
              <w:rPr>
                <w:rFonts w:hint="eastAsia" w:ascii="黑体" w:eastAsia="黑体"/>
              </w:rPr>
              <w:t>支付租金</w:t>
            </w:r>
          </w:p>
          <w:p w14:paraId="4BF1DE45">
            <w:pPr>
              <w:snapToGrid w:val="0"/>
              <w:spacing w:line="240" w:lineRule="atLeast"/>
              <w:jc w:val="center"/>
              <w:rPr>
                <w:rFonts w:ascii="黑体" w:eastAsia="黑体"/>
              </w:rPr>
            </w:pPr>
            <w:r>
              <w:rPr>
                <w:rFonts w:hint="eastAsia" w:ascii="黑体" w:eastAsia="黑体"/>
              </w:rPr>
              <w:t>时段</w:t>
            </w:r>
          </w:p>
        </w:tc>
        <w:tc>
          <w:tcPr>
            <w:tcW w:w="1079" w:type="dxa"/>
            <w:vAlign w:val="center"/>
          </w:tcPr>
          <w:p w14:paraId="393E3042">
            <w:pPr>
              <w:snapToGrid w:val="0"/>
              <w:spacing w:line="240" w:lineRule="atLeast"/>
              <w:jc w:val="center"/>
              <w:rPr>
                <w:rFonts w:ascii="黑体" w:eastAsia="黑体"/>
              </w:rPr>
            </w:pPr>
            <w:r>
              <w:rPr>
                <w:rFonts w:hint="eastAsia" w:ascii="黑体" w:eastAsia="黑体"/>
              </w:rPr>
              <w:t>付款金额</w:t>
            </w:r>
          </w:p>
        </w:tc>
        <w:tc>
          <w:tcPr>
            <w:tcW w:w="1071" w:type="dxa"/>
            <w:vAlign w:val="center"/>
          </w:tcPr>
          <w:p w14:paraId="7AC459CD">
            <w:pPr>
              <w:snapToGrid w:val="0"/>
              <w:spacing w:line="240" w:lineRule="atLeast"/>
              <w:jc w:val="center"/>
              <w:rPr>
                <w:rFonts w:ascii="黑体" w:eastAsia="黑体"/>
              </w:rPr>
            </w:pPr>
            <w:r>
              <w:rPr>
                <w:rFonts w:hint="eastAsia" w:ascii="黑体" w:eastAsia="黑体"/>
              </w:rPr>
              <w:t>付款时间</w:t>
            </w:r>
          </w:p>
        </w:tc>
        <w:tc>
          <w:tcPr>
            <w:tcW w:w="1089" w:type="dxa"/>
            <w:vAlign w:val="center"/>
          </w:tcPr>
          <w:p w14:paraId="561A65DD">
            <w:pPr>
              <w:snapToGrid w:val="0"/>
              <w:spacing w:line="240" w:lineRule="atLeast"/>
              <w:jc w:val="center"/>
              <w:rPr>
                <w:rFonts w:ascii="黑体" w:eastAsia="黑体"/>
              </w:rPr>
            </w:pPr>
            <w:r>
              <w:rPr>
                <w:rFonts w:hint="eastAsia" w:ascii="黑体" w:eastAsia="黑体"/>
              </w:rPr>
              <w:t>发票时间</w:t>
            </w:r>
          </w:p>
        </w:tc>
        <w:tc>
          <w:tcPr>
            <w:tcW w:w="1980" w:type="dxa"/>
            <w:vAlign w:val="center"/>
          </w:tcPr>
          <w:p w14:paraId="2ED602C5">
            <w:pPr>
              <w:snapToGrid w:val="0"/>
              <w:spacing w:line="240" w:lineRule="atLeast"/>
              <w:jc w:val="center"/>
              <w:rPr>
                <w:rFonts w:ascii="黑体" w:eastAsia="黑体"/>
              </w:rPr>
            </w:pPr>
            <w:r>
              <w:rPr>
                <w:rFonts w:hint="eastAsia" w:ascii="黑体" w:eastAsia="黑体"/>
              </w:rPr>
              <w:t>发票号</w:t>
            </w:r>
          </w:p>
        </w:tc>
        <w:tc>
          <w:tcPr>
            <w:tcW w:w="998" w:type="dxa"/>
            <w:vAlign w:val="center"/>
          </w:tcPr>
          <w:p w14:paraId="72FFD8D6">
            <w:pPr>
              <w:snapToGrid w:val="0"/>
              <w:spacing w:line="240" w:lineRule="atLeast"/>
              <w:jc w:val="center"/>
              <w:rPr>
                <w:rFonts w:ascii="黑体" w:eastAsia="黑体"/>
              </w:rPr>
            </w:pPr>
            <w:r>
              <w:rPr>
                <w:rFonts w:hint="eastAsia" w:ascii="黑体" w:eastAsia="黑体"/>
              </w:rPr>
              <w:t>发票金额</w:t>
            </w:r>
          </w:p>
        </w:tc>
        <w:tc>
          <w:tcPr>
            <w:tcW w:w="802" w:type="dxa"/>
            <w:vAlign w:val="center"/>
          </w:tcPr>
          <w:p w14:paraId="0AF1D559">
            <w:pPr>
              <w:snapToGrid w:val="0"/>
              <w:spacing w:line="240" w:lineRule="atLeast"/>
              <w:jc w:val="center"/>
              <w:rPr>
                <w:rFonts w:ascii="黑体" w:eastAsia="黑体"/>
              </w:rPr>
            </w:pPr>
            <w:r>
              <w:rPr>
                <w:rFonts w:hint="eastAsia" w:ascii="黑体" w:eastAsia="黑体"/>
              </w:rPr>
              <w:t>备注</w:t>
            </w:r>
          </w:p>
        </w:tc>
      </w:tr>
      <w:tr w14:paraId="6F75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0267907">
            <w:pPr>
              <w:snapToGrid w:val="0"/>
              <w:spacing w:line="240" w:lineRule="atLeast"/>
            </w:pPr>
          </w:p>
        </w:tc>
        <w:tc>
          <w:tcPr>
            <w:tcW w:w="1441" w:type="dxa"/>
            <w:gridSpan w:val="3"/>
            <w:vAlign w:val="center"/>
          </w:tcPr>
          <w:p w14:paraId="75F6BE12">
            <w:pPr>
              <w:snapToGrid w:val="0"/>
              <w:spacing w:line="240" w:lineRule="atLeast"/>
            </w:pPr>
          </w:p>
        </w:tc>
        <w:tc>
          <w:tcPr>
            <w:tcW w:w="1079" w:type="dxa"/>
            <w:vAlign w:val="center"/>
          </w:tcPr>
          <w:p w14:paraId="33412DCA">
            <w:pPr>
              <w:snapToGrid w:val="0"/>
              <w:spacing w:line="240" w:lineRule="atLeast"/>
            </w:pPr>
          </w:p>
        </w:tc>
        <w:tc>
          <w:tcPr>
            <w:tcW w:w="1071" w:type="dxa"/>
            <w:vAlign w:val="center"/>
          </w:tcPr>
          <w:p w14:paraId="1E208A83">
            <w:pPr>
              <w:snapToGrid w:val="0"/>
              <w:spacing w:line="240" w:lineRule="atLeast"/>
            </w:pPr>
          </w:p>
        </w:tc>
        <w:tc>
          <w:tcPr>
            <w:tcW w:w="1089" w:type="dxa"/>
            <w:vAlign w:val="center"/>
          </w:tcPr>
          <w:p w14:paraId="027B9F7D">
            <w:pPr>
              <w:snapToGrid w:val="0"/>
              <w:spacing w:line="240" w:lineRule="atLeast"/>
            </w:pPr>
          </w:p>
        </w:tc>
        <w:tc>
          <w:tcPr>
            <w:tcW w:w="1980" w:type="dxa"/>
            <w:vAlign w:val="center"/>
          </w:tcPr>
          <w:p w14:paraId="57321C9D">
            <w:pPr>
              <w:snapToGrid w:val="0"/>
              <w:spacing w:line="240" w:lineRule="atLeast"/>
            </w:pPr>
          </w:p>
        </w:tc>
        <w:tc>
          <w:tcPr>
            <w:tcW w:w="998" w:type="dxa"/>
            <w:vAlign w:val="center"/>
          </w:tcPr>
          <w:p w14:paraId="0882E453">
            <w:pPr>
              <w:snapToGrid w:val="0"/>
              <w:spacing w:line="240" w:lineRule="atLeast"/>
            </w:pPr>
          </w:p>
        </w:tc>
        <w:tc>
          <w:tcPr>
            <w:tcW w:w="802" w:type="dxa"/>
            <w:vAlign w:val="center"/>
          </w:tcPr>
          <w:p w14:paraId="5827086F">
            <w:pPr>
              <w:snapToGrid w:val="0"/>
              <w:spacing w:line="240" w:lineRule="atLeast"/>
            </w:pPr>
          </w:p>
        </w:tc>
      </w:tr>
      <w:tr w14:paraId="5C7E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C1AB0CB">
            <w:pPr>
              <w:snapToGrid w:val="0"/>
              <w:spacing w:line="240" w:lineRule="atLeast"/>
            </w:pPr>
          </w:p>
        </w:tc>
        <w:tc>
          <w:tcPr>
            <w:tcW w:w="1441" w:type="dxa"/>
            <w:gridSpan w:val="3"/>
            <w:vAlign w:val="center"/>
          </w:tcPr>
          <w:p w14:paraId="5E4B30C8">
            <w:pPr>
              <w:snapToGrid w:val="0"/>
              <w:spacing w:line="240" w:lineRule="atLeast"/>
            </w:pPr>
          </w:p>
        </w:tc>
        <w:tc>
          <w:tcPr>
            <w:tcW w:w="1079" w:type="dxa"/>
            <w:vAlign w:val="center"/>
          </w:tcPr>
          <w:p w14:paraId="614587E9">
            <w:pPr>
              <w:snapToGrid w:val="0"/>
              <w:spacing w:line="240" w:lineRule="atLeast"/>
            </w:pPr>
          </w:p>
        </w:tc>
        <w:tc>
          <w:tcPr>
            <w:tcW w:w="1071" w:type="dxa"/>
            <w:vAlign w:val="center"/>
          </w:tcPr>
          <w:p w14:paraId="299E17E3">
            <w:pPr>
              <w:snapToGrid w:val="0"/>
              <w:spacing w:line="240" w:lineRule="atLeast"/>
            </w:pPr>
          </w:p>
        </w:tc>
        <w:tc>
          <w:tcPr>
            <w:tcW w:w="1089" w:type="dxa"/>
            <w:vAlign w:val="center"/>
          </w:tcPr>
          <w:p w14:paraId="519E890F">
            <w:pPr>
              <w:snapToGrid w:val="0"/>
              <w:spacing w:line="240" w:lineRule="atLeast"/>
            </w:pPr>
          </w:p>
        </w:tc>
        <w:tc>
          <w:tcPr>
            <w:tcW w:w="1980" w:type="dxa"/>
            <w:vAlign w:val="center"/>
          </w:tcPr>
          <w:p w14:paraId="209C5A80">
            <w:pPr>
              <w:snapToGrid w:val="0"/>
              <w:spacing w:line="240" w:lineRule="atLeast"/>
            </w:pPr>
          </w:p>
        </w:tc>
        <w:tc>
          <w:tcPr>
            <w:tcW w:w="998" w:type="dxa"/>
            <w:vAlign w:val="center"/>
          </w:tcPr>
          <w:p w14:paraId="6B0E25EF">
            <w:pPr>
              <w:snapToGrid w:val="0"/>
              <w:spacing w:line="240" w:lineRule="atLeast"/>
            </w:pPr>
          </w:p>
        </w:tc>
        <w:tc>
          <w:tcPr>
            <w:tcW w:w="802" w:type="dxa"/>
            <w:vAlign w:val="center"/>
          </w:tcPr>
          <w:p w14:paraId="16C1101A">
            <w:pPr>
              <w:snapToGrid w:val="0"/>
              <w:spacing w:line="240" w:lineRule="atLeast"/>
            </w:pPr>
          </w:p>
        </w:tc>
      </w:tr>
      <w:tr w14:paraId="0478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FCA78A6">
            <w:pPr>
              <w:snapToGrid w:val="0"/>
              <w:spacing w:line="240" w:lineRule="atLeast"/>
            </w:pPr>
          </w:p>
        </w:tc>
        <w:tc>
          <w:tcPr>
            <w:tcW w:w="1441" w:type="dxa"/>
            <w:gridSpan w:val="3"/>
            <w:vAlign w:val="center"/>
          </w:tcPr>
          <w:p w14:paraId="10968EEB">
            <w:pPr>
              <w:snapToGrid w:val="0"/>
              <w:spacing w:line="240" w:lineRule="atLeast"/>
            </w:pPr>
          </w:p>
        </w:tc>
        <w:tc>
          <w:tcPr>
            <w:tcW w:w="1079" w:type="dxa"/>
            <w:vAlign w:val="center"/>
          </w:tcPr>
          <w:p w14:paraId="08607E34">
            <w:pPr>
              <w:snapToGrid w:val="0"/>
              <w:spacing w:line="240" w:lineRule="atLeast"/>
            </w:pPr>
          </w:p>
        </w:tc>
        <w:tc>
          <w:tcPr>
            <w:tcW w:w="1071" w:type="dxa"/>
            <w:vAlign w:val="center"/>
          </w:tcPr>
          <w:p w14:paraId="55042140">
            <w:pPr>
              <w:snapToGrid w:val="0"/>
              <w:spacing w:line="240" w:lineRule="atLeast"/>
            </w:pPr>
          </w:p>
        </w:tc>
        <w:tc>
          <w:tcPr>
            <w:tcW w:w="1089" w:type="dxa"/>
            <w:vAlign w:val="center"/>
          </w:tcPr>
          <w:p w14:paraId="277C45F1">
            <w:pPr>
              <w:snapToGrid w:val="0"/>
              <w:spacing w:line="240" w:lineRule="atLeast"/>
            </w:pPr>
          </w:p>
        </w:tc>
        <w:tc>
          <w:tcPr>
            <w:tcW w:w="1980" w:type="dxa"/>
            <w:vAlign w:val="center"/>
          </w:tcPr>
          <w:p w14:paraId="355E6E3C">
            <w:pPr>
              <w:snapToGrid w:val="0"/>
              <w:spacing w:line="240" w:lineRule="atLeast"/>
            </w:pPr>
          </w:p>
        </w:tc>
        <w:tc>
          <w:tcPr>
            <w:tcW w:w="998" w:type="dxa"/>
            <w:vAlign w:val="center"/>
          </w:tcPr>
          <w:p w14:paraId="64144D36">
            <w:pPr>
              <w:snapToGrid w:val="0"/>
              <w:spacing w:line="240" w:lineRule="atLeast"/>
            </w:pPr>
          </w:p>
        </w:tc>
        <w:tc>
          <w:tcPr>
            <w:tcW w:w="802" w:type="dxa"/>
            <w:vAlign w:val="center"/>
          </w:tcPr>
          <w:p w14:paraId="6AB1A78F">
            <w:pPr>
              <w:snapToGrid w:val="0"/>
              <w:spacing w:line="240" w:lineRule="atLeast"/>
            </w:pPr>
          </w:p>
        </w:tc>
      </w:tr>
      <w:tr w14:paraId="29EC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1A17D9F">
            <w:pPr>
              <w:snapToGrid w:val="0"/>
              <w:spacing w:line="240" w:lineRule="atLeast"/>
            </w:pPr>
          </w:p>
        </w:tc>
        <w:tc>
          <w:tcPr>
            <w:tcW w:w="1441" w:type="dxa"/>
            <w:gridSpan w:val="3"/>
            <w:vAlign w:val="center"/>
          </w:tcPr>
          <w:p w14:paraId="53589040">
            <w:pPr>
              <w:snapToGrid w:val="0"/>
              <w:spacing w:line="240" w:lineRule="atLeast"/>
            </w:pPr>
          </w:p>
        </w:tc>
        <w:tc>
          <w:tcPr>
            <w:tcW w:w="1079" w:type="dxa"/>
            <w:vAlign w:val="center"/>
          </w:tcPr>
          <w:p w14:paraId="14F94FAC">
            <w:pPr>
              <w:snapToGrid w:val="0"/>
              <w:spacing w:line="240" w:lineRule="atLeast"/>
            </w:pPr>
          </w:p>
        </w:tc>
        <w:tc>
          <w:tcPr>
            <w:tcW w:w="1071" w:type="dxa"/>
            <w:vAlign w:val="center"/>
          </w:tcPr>
          <w:p w14:paraId="01FA9802">
            <w:pPr>
              <w:snapToGrid w:val="0"/>
              <w:spacing w:line="240" w:lineRule="atLeast"/>
            </w:pPr>
          </w:p>
        </w:tc>
        <w:tc>
          <w:tcPr>
            <w:tcW w:w="1089" w:type="dxa"/>
            <w:vAlign w:val="center"/>
          </w:tcPr>
          <w:p w14:paraId="51DF6622">
            <w:pPr>
              <w:snapToGrid w:val="0"/>
              <w:spacing w:line="240" w:lineRule="atLeast"/>
            </w:pPr>
          </w:p>
        </w:tc>
        <w:tc>
          <w:tcPr>
            <w:tcW w:w="1980" w:type="dxa"/>
            <w:vAlign w:val="center"/>
          </w:tcPr>
          <w:p w14:paraId="4610E5A5">
            <w:pPr>
              <w:snapToGrid w:val="0"/>
              <w:spacing w:line="240" w:lineRule="atLeast"/>
            </w:pPr>
          </w:p>
        </w:tc>
        <w:tc>
          <w:tcPr>
            <w:tcW w:w="998" w:type="dxa"/>
            <w:vAlign w:val="center"/>
          </w:tcPr>
          <w:p w14:paraId="2CF7A6EC">
            <w:pPr>
              <w:snapToGrid w:val="0"/>
              <w:spacing w:line="240" w:lineRule="atLeast"/>
            </w:pPr>
          </w:p>
        </w:tc>
        <w:tc>
          <w:tcPr>
            <w:tcW w:w="802" w:type="dxa"/>
            <w:vAlign w:val="center"/>
          </w:tcPr>
          <w:p w14:paraId="3BDFA604">
            <w:pPr>
              <w:snapToGrid w:val="0"/>
              <w:spacing w:line="240" w:lineRule="atLeast"/>
            </w:pPr>
          </w:p>
        </w:tc>
      </w:tr>
      <w:tr w14:paraId="6C2A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48352B2">
            <w:pPr>
              <w:snapToGrid w:val="0"/>
              <w:spacing w:line="240" w:lineRule="atLeast"/>
            </w:pPr>
          </w:p>
        </w:tc>
        <w:tc>
          <w:tcPr>
            <w:tcW w:w="1441" w:type="dxa"/>
            <w:gridSpan w:val="3"/>
            <w:vAlign w:val="center"/>
          </w:tcPr>
          <w:p w14:paraId="71F8C19C">
            <w:pPr>
              <w:snapToGrid w:val="0"/>
              <w:spacing w:line="240" w:lineRule="atLeast"/>
            </w:pPr>
          </w:p>
        </w:tc>
        <w:tc>
          <w:tcPr>
            <w:tcW w:w="1079" w:type="dxa"/>
            <w:vAlign w:val="center"/>
          </w:tcPr>
          <w:p w14:paraId="3AB7BC04">
            <w:pPr>
              <w:snapToGrid w:val="0"/>
              <w:spacing w:line="240" w:lineRule="atLeast"/>
            </w:pPr>
          </w:p>
        </w:tc>
        <w:tc>
          <w:tcPr>
            <w:tcW w:w="1071" w:type="dxa"/>
            <w:vAlign w:val="center"/>
          </w:tcPr>
          <w:p w14:paraId="03D5552E">
            <w:pPr>
              <w:snapToGrid w:val="0"/>
              <w:spacing w:line="240" w:lineRule="atLeast"/>
            </w:pPr>
          </w:p>
        </w:tc>
        <w:tc>
          <w:tcPr>
            <w:tcW w:w="1089" w:type="dxa"/>
            <w:vAlign w:val="center"/>
          </w:tcPr>
          <w:p w14:paraId="3396B83D">
            <w:pPr>
              <w:snapToGrid w:val="0"/>
              <w:spacing w:line="240" w:lineRule="atLeast"/>
            </w:pPr>
          </w:p>
        </w:tc>
        <w:tc>
          <w:tcPr>
            <w:tcW w:w="1980" w:type="dxa"/>
            <w:vAlign w:val="center"/>
          </w:tcPr>
          <w:p w14:paraId="7BA9048E">
            <w:pPr>
              <w:snapToGrid w:val="0"/>
              <w:spacing w:line="240" w:lineRule="atLeast"/>
            </w:pPr>
          </w:p>
        </w:tc>
        <w:tc>
          <w:tcPr>
            <w:tcW w:w="998" w:type="dxa"/>
            <w:vAlign w:val="center"/>
          </w:tcPr>
          <w:p w14:paraId="333DD00A">
            <w:pPr>
              <w:snapToGrid w:val="0"/>
              <w:spacing w:line="240" w:lineRule="atLeast"/>
            </w:pPr>
          </w:p>
        </w:tc>
        <w:tc>
          <w:tcPr>
            <w:tcW w:w="802" w:type="dxa"/>
            <w:vAlign w:val="center"/>
          </w:tcPr>
          <w:p w14:paraId="6555B357">
            <w:pPr>
              <w:snapToGrid w:val="0"/>
              <w:spacing w:line="240" w:lineRule="atLeast"/>
            </w:pPr>
          </w:p>
        </w:tc>
      </w:tr>
      <w:tr w14:paraId="14C8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3B639BD">
            <w:pPr>
              <w:snapToGrid w:val="0"/>
              <w:spacing w:line="240" w:lineRule="atLeast"/>
            </w:pPr>
          </w:p>
        </w:tc>
        <w:tc>
          <w:tcPr>
            <w:tcW w:w="1441" w:type="dxa"/>
            <w:gridSpan w:val="3"/>
            <w:vAlign w:val="center"/>
          </w:tcPr>
          <w:p w14:paraId="0DBAD508">
            <w:pPr>
              <w:snapToGrid w:val="0"/>
              <w:spacing w:line="240" w:lineRule="atLeast"/>
            </w:pPr>
          </w:p>
        </w:tc>
        <w:tc>
          <w:tcPr>
            <w:tcW w:w="1079" w:type="dxa"/>
            <w:vAlign w:val="center"/>
          </w:tcPr>
          <w:p w14:paraId="5746E6C4">
            <w:pPr>
              <w:snapToGrid w:val="0"/>
              <w:spacing w:line="240" w:lineRule="atLeast"/>
            </w:pPr>
          </w:p>
        </w:tc>
        <w:tc>
          <w:tcPr>
            <w:tcW w:w="1071" w:type="dxa"/>
            <w:vAlign w:val="center"/>
          </w:tcPr>
          <w:p w14:paraId="01E3B7C6">
            <w:pPr>
              <w:snapToGrid w:val="0"/>
              <w:spacing w:line="240" w:lineRule="atLeast"/>
            </w:pPr>
          </w:p>
        </w:tc>
        <w:tc>
          <w:tcPr>
            <w:tcW w:w="1089" w:type="dxa"/>
            <w:vAlign w:val="center"/>
          </w:tcPr>
          <w:p w14:paraId="53B9CDB2">
            <w:pPr>
              <w:snapToGrid w:val="0"/>
              <w:spacing w:line="240" w:lineRule="atLeast"/>
            </w:pPr>
          </w:p>
        </w:tc>
        <w:tc>
          <w:tcPr>
            <w:tcW w:w="1980" w:type="dxa"/>
            <w:vAlign w:val="center"/>
          </w:tcPr>
          <w:p w14:paraId="2E9B1810">
            <w:pPr>
              <w:snapToGrid w:val="0"/>
              <w:spacing w:line="240" w:lineRule="atLeast"/>
            </w:pPr>
          </w:p>
        </w:tc>
        <w:tc>
          <w:tcPr>
            <w:tcW w:w="998" w:type="dxa"/>
            <w:vAlign w:val="center"/>
          </w:tcPr>
          <w:p w14:paraId="019F8F0D">
            <w:pPr>
              <w:snapToGrid w:val="0"/>
              <w:spacing w:line="240" w:lineRule="atLeast"/>
            </w:pPr>
          </w:p>
        </w:tc>
        <w:tc>
          <w:tcPr>
            <w:tcW w:w="802" w:type="dxa"/>
            <w:vAlign w:val="center"/>
          </w:tcPr>
          <w:p w14:paraId="75FAAE24">
            <w:pPr>
              <w:snapToGrid w:val="0"/>
              <w:spacing w:line="240" w:lineRule="atLeast"/>
            </w:pPr>
          </w:p>
        </w:tc>
      </w:tr>
      <w:tr w14:paraId="48DB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6CA43717">
            <w:pPr>
              <w:snapToGrid w:val="0"/>
              <w:spacing w:line="240" w:lineRule="atLeast"/>
            </w:pPr>
          </w:p>
        </w:tc>
        <w:tc>
          <w:tcPr>
            <w:tcW w:w="1441" w:type="dxa"/>
            <w:gridSpan w:val="3"/>
            <w:vAlign w:val="center"/>
          </w:tcPr>
          <w:p w14:paraId="1BBF2634">
            <w:pPr>
              <w:snapToGrid w:val="0"/>
              <w:spacing w:line="240" w:lineRule="atLeast"/>
            </w:pPr>
          </w:p>
        </w:tc>
        <w:tc>
          <w:tcPr>
            <w:tcW w:w="1079" w:type="dxa"/>
            <w:vAlign w:val="center"/>
          </w:tcPr>
          <w:p w14:paraId="03442501">
            <w:pPr>
              <w:snapToGrid w:val="0"/>
              <w:spacing w:line="240" w:lineRule="atLeast"/>
            </w:pPr>
          </w:p>
        </w:tc>
        <w:tc>
          <w:tcPr>
            <w:tcW w:w="1071" w:type="dxa"/>
            <w:vAlign w:val="center"/>
          </w:tcPr>
          <w:p w14:paraId="55D4AAAA">
            <w:pPr>
              <w:snapToGrid w:val="0"/>
              <w:spacing w:line="240" w:lineRule="atLeast"/>
            </w:pPr>
          </w:p>
        </w:tc>
        <w:tc>
          <w:tcPr>
            <w:tcW w:w="1089" w:type="dxa"/>
            <w:vAlign w:val="center"/>
          </w:tcPr>
          <w:p w14:paraId="20EB8B03">
            <w:pPr>
              <w:snapToGrid w:val="0"/>
              <w:spacing w:line="240" w:lineRule="atLeast"/>
            </w:pPr>
          </w:p>
        </w:tc>
        <w:tc>
          <w:tcPr>
            <w:tcW w:w="1980" w:type="dxa"/>
            <w:vAlign w:val="center"/>
          </w:tcPr>
          <w:p w14:paraId="10589356">
            <w:pPr>
              <w:snapToGrid w:val="0"/>
              <w:spacing w:line="240" w:lineRule="atLeast"/>
            </w:pPr>
          </w:p>
        </w:tc>
        <w:tc>
          <w:tcPr>
            <w:tcW w:w="998" w:type="dxa"/>
            <w:vAlign w:val="center"/>
          </w:tcPr>
          <w:p w14:paraId="7F6357EB">
            <w:pPr>
              <w:snapToGrid w:val="0"/>
              <w:spacing w:line="240" w:lineRule="atLeast"/>
            </w:pPr>
          </w:p>
        </w:tc>
        <w:tc>
          <w:tcPr>
            <w:tcW w:w="802" w:type="dxa"/>
            <w:vAlign w:val="center"/>
          </w:tcPr>
          <w:p w14:paraId="0CBE4C04">
            <w:pPr>
              <w:snapToGrid w:val="0"/>
              <w:spacing w:line="240" w:lineRule="atLeast"/>
            </w:pPr>
          </w:p>
        </w:tc>
      </w:tr>
      <w:tr w14:paraId="17E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73EA18B">
            <w:pPr>
              <w:snapToGrid w:val="0"/>
              <w:spacing w:line="240" w:lineRule="atLeast"/>
            </w:pPr>
          </w:p>
        </w:tc>
        <w:tc>
          <w:tcPr>
            <w:tcW w:w="1441" w:type="dxa"/>
            <w:gridSpan w:val="3"/>
            <w:vAlign w:val="center"/>
          </w:tcPr>
          <w:p w14:paraId="0D19D642">
            <w:pPr>
              <w:snapToGrid w:val="0"/>
              <w:spacing w:line="240" w:lineRule="atLeast"/>
            </w:pPr>
          </w:p>
        </w:tc>
        <w:tc>
          <w:tcPr>
            <w:tcW w:w="1079" w:type="dxa"/>
            <w:vAlign w:val="center"/>
          </w:tcPr>
          <w:p w14:paraId="5E1C2C04">
            <w:pPr>
              <w:snapToGrid w:val="0"/>
              <w:spacing w:line="240" w:lineRule="atLeast"/>
            </w:pPr>
          </w:p>
        </w:tc>
        <w:tc>
          <w:tcPr>
            <w:tcW w:w="1071" w:type="dxa"/>
            <w:vAlign w:val="center"/>
          </w:tcPr>
          <w:p w14:paraId="4FFC8215">
            <w:pPr>
              <w:snapToGrid w:val="0"/>
              <w:spacing w:line="240" w:lineRule="atLeast"/>
            </w:pPr>
          </w:p>
        </w:tc>
        <w:tc>
          <w:tcPr>
            <w:tcW w:w="1089" w:type="dxa"/>
            <w:vAlign w:val="center"/>
          </w:tcPr>
          <w:p w14:paraId="07EB3B46">
            <w:pPr>
              <w:snapToGrid w:val="0"/>
              <w:spacing w:line="240" w:lineRule="atLeast"/>
            </w:pPr>
          </w:p>
        </w:tc>
        <w:tc>
          <w:tcPr>
            <w:tcW w:w="1980" w:type="dxa"/>
            <w:vAlign w:val="center"/>
          </w:tcPr>
          <w:p w14:paraId="117425E8">
            <w:pPr>
              <w:snapToGrid w:val="0"/>
              <w:spacing w:line="240" w:lineRule="atLeast"/>
            </w:pPr>
          </w:p>
        </w:tc>
        <w:tc>
          <w:tcPr>
            <w:tcW w:w="998" w:type="dxa"/>
            <w:vAlign w:val="center"/>
          </w:tcPr>
          <w:p w14:paraId="40578B65">
            <w:pPr>
              <w:snapToGrid w:val="0"/>
              <w:spacing w:line="240" w:lineRule="atLeast"/>
            </w:pPr>
          </w:p>
        </w:tc>
        <w:tc>
          <w:tcPr>
            <w:tcW w:w="802" w:type="dxa"/>
            <w:vAlign w:val="center"/>
          </w:tcPr>
          <w:p w14:paraId="0197BA07">
            <w:pPr>
              <w:snapToGrid w:val="0"/>
              <w:spacing w:line="240" w:lineRule="atLeast"/>
            </w:pPr>
          </w:p>
        </w:tc>
      </w:tr>
      <w:tr w14:paraId="69B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6C528976">
            <w:pPr>
              <w:snapToGrid w:val="0"/>
              <w:spacing w:line="240" w:lineRule="atLeast"/>
            </w:pPr>
          </w:p>
        </w:tc>
        <w:tc>
          <w:tcPr>
            <w:tcW w:w="1441" w:type="dxa"/>
            <w:gridSpan w:val="3"/>
            <w:vAlign w:val="center"/>
          </w:tcPr>
          <w:p w14:paraId="066CB11A">
            <w:pPr>
              <w:snapToGrid w:val="0"/>
              <w:spacing w:line="240" w:lineRule="atLeast"/>
            </w:pPr>
          </w:p>
        </w:tc>
        <w:tc>
          <w:tcPr>
            <w:tcW w:w="1079" w:type="dxa"/>
            <w:vAlign w:val="center"/>
          </w:tcPr>
          <w:p w14:paraId="7C3A0EB4">
            <w:pPr>
              <w:snapToGrid w:val="0"/>
              <w:spacing w:line="240" w:lineRule="atLeast"/>
            </w:pPr>
          </w:p>
        </w:tc>
        <w:tc>
          <w:tcPr>
            <w:tcW w:w="1071" w:type="dxa"/>
            <w:vAlign w:val="center"/>
          </w:tcPr>
          <w:p w14:paraId="2872EAF4">
            <w:pPr>
              <w:snapToGrid w:val="0"/>
              <w:spacing w:line="240" w:lineRule="atLeast"/>
            </w:pPr>
          </w:p>
        </w:tc>
        <w:tc>
          <w:tcPr>
            <w:tcW w:w="1089" w:type="dxa"/>
            <w:vAlign w:val="center"/>
          </w:tcPr>
          <w:p w14:paraId="0113D694">
            <w:pPr>
              <w:snapToGrid w:val="0"/>
              <w:spacing w:line="240" w:lineRule="atLeast"/>
            </w:pPr>
          </w:p>
        </w:tc>
        <w:tc>
          <w:tcPr>
            <w:tcW w:w="1980" w:type="dxa"/>
            <w:vAlign w:val="center"/>
          </w:tcPr>
          <w:p w14:paraId="7759D23D">
            <w:pPr>
              <w:snapToGrid w:val="0"/>
              <w:spacing w:line="240" w:lineRule="atLeast"/>
            </w:pPr>
          </w:p>
        </w:tc>
        <w:tc>
          <w:tcPr>
            <w:tcW w:w="998" w:type="dxa"/>
            <w:vAlign w:val="center"/>
          </w:tcPr>
          <w:p w14:paraId="4B6EF4D7">
            <w:pPr>
              <w:snapToGrid w:val="0"/>
              <w:spacing w:line="240" w:lineRule="atLeast"/>
            </w:pPr>
          </w:p>
        </w:tc>
        <w:tc>
          <w:tcPr>
            <w:tcW w:w="802" w:type="dxa"/>
            <w:vAlign w:val="center"/>
          </w:tcPr>
          <w:p w14:paraId="5F2BF2D1">
            <w:pPr>
              <w:snapToGrid w:val="0"/>
              <w:spacing w:line="240" w:lineRule="atLeast"/>
            </w:pPr>
          </w:p>
        </w:tc>
      </w:tr>
      <w:tr w14:paraId="335F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0BF159A">
            <w:pPr>
              <w:snapToGrid w:val="0"/>
              <w:spacing w:line="240" w:lineRule="atLeast"/>
            </w:pPr>
          </w:p>
        </w:tc>
        <w:tc>
          <w:tcPr>
            <w:tcW w:w="1441" w:type="dxa"/>
            <w:gridSpan w:val="3"/>
            <w:vAlign w:val="center"/>
          </w:tcPr>
          <w:p w14:paraId="44DBC075">
            <w:pPr>
              <w:snapToGrid w:val="0"/>
              <w:spacing w:line="240" w:lineRule="atLeast"/>
            </w:pPr>
          </w:p>
        </w:tc>
        <w:tc>
          <w:tcPr>
            <w:tcW w:w="1079" w:type="dxa"/>
            <w:vAlign w:val="center"/>
          </w:tcPr>
          <w:p w14:paraId="7EE79EBA">
            <w:pPr>
              <w:snapToGrid w:val="0"/>
              <w:spacing w:line="240" w:lineRule="atLeast"/>
            </w:pPr>
          </w:p>
        </w:tc>
        <w:tc>
          <w:tcPr>
            <w:tcW w:w="1071" w:type="dxa"/>
            <w:vAlign w:val="center"/>
          </w:tcPr>
          <w:p w14:paraId="7116345B">
            <w:pPr>
              <w:snapToGrid w:val="0"/>
              <w:spacing w:line="240" w:lineRule="atLeast"/>
            </w:pPr>
          </w:p>
        </w:tc>
        <w:tc>
          <w:tcPr>
            <w:tcW w:w="1089" w:type="dxa"/>
            <w:vAlign w:val="center"/>
          </w:tcPr>
          <w:p w14:paraId="6954072F">
            <w:pPr>
              <w:snapToGrid w:val="0"/>
              <w:spacing w:line="240" w:lineRule="atLeast"/>
            </w:pPr>
          </w:p>
        </w:tc>
        <w:tc>
          <w:tcPr>
            <w:tcW w:w="1980" w:type="dxa"/>
            <w:vAlign w:val="center"/>
          </w:tcPr>
          <w:p w14:paraId="398D3C47">
            <w:pPr>
              <w:snapToGrid w:val="0"/>
              <w:spacing w:line="240" w:lineRule="atLeast"/>
            </w:pPr>
          </w:p>
        </w:tc>
        <w:tc>
          <w:tcPr>
            <w:tcW w:w="998" w:type="dxa"/>
            <w:vAlign w:val="center"/>
          </w:tcPr>
          <w:p w14:paraId="5BE95FAE">
            <w:pPr>
              <w:snapToGrid w:val="0"/>
              <w:spacing w:line="240" w:lineRule="atLeast"/>
            </w:pPr>
          </w:p>
        </w:tc>
        <w:tc>
          <w:tcPr>
            <w:tcW w:w="802" w:type="dxa"/>
            <w:vAlign w:val="center"/>
          </w:tcPr>
          <w:p w14:paraId="670E0A8D">
            <w:pPr>
              <w:snapToGrid w:val="0"/>
              <w:spacing w:line="240" w:lineRule="atLeast"/>
            </w:pPr>
          </w:p>
        </w:tc>
      </w:tr>
      <w:tr w14:paraId="60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6641E45B">
            <w:pPr>
              <w:snapToGrid w:val="0"/>
              <w:spacing w:line="240" w:lineRule="atLeast"/>
            </w:pPr>
          </w:p>
        </w:tc>
        <w:tc>
          <w:tcPr>
            <w:tcW w:w="1441" w:type="dxa"/>
            <w:gridSpan w:val="3"/>
            <w:vAlign w:val="center"/>
          </w:tcPr>
          <w:p w14:paraId="7B109CDD">
            <w:pPr>
              <w:snapToGrid w:val="0"/>
              <w:spacing w:line="240" w:lineRule="atLeast"/>
            </w:pPr>
          </w:p>
        </w:tc>
        <w:tc>
          <w:tcPr>
            <w:tcW w:w="1079" w:type="dxa"/>
            <w:vAlign w:val="center"/>
          </w:tcPr>
          <w:p w14:paraId="7710833C">
            <w:pPr>
              <w:snapToGrid w:val="0"/>
              <w:spacing w:line="240" w:lineRule="atLeast"/>
            </w:pPr>
          </w:p>
        </w:tc>
        <w:tc>
          <w:tcPr>
            <w:tcW w:w="1071" w:type="dxa"/>
            <w:vAlign w:val="center"/>
          </w:tcPr>
          <w:p w14:paraId="0493167E">
            <w:pPr>
              <w:snapToGrid w:val="0"/>
              <w:spacing w:line="240" w:lineRule="atLeast"/>
            </w:pPr>
          </w:p>
        </w:tc>
        <w:tc>
          <w:tcPr>
            <w:tcW w:w="1089" w:type="dxa"/>
            <w:vAlign w:val="center"/>
          </w:tcPr>
          <w:p w14:paraId="1D5434DA">
            <w:pPr>
              <w:snapToGrid w:val="0"/>
              <w:spacing w:line="240" w:lineRule="atLeast"/>
            </w:pPr>
          </w:p>
        </w:tc>
        <w:tc>
          <w:tcPr>
            <w:tcW w:w="1980" w:type="dxa"/>
            <w:vAlign w:val="center"/>
          </w:tcPr>
          <w:p w14:paraId="441A0D8B">
            <w:pPr>
              <w:snapToGrid w:val="0"/>
              <w:spacing w:line="240" w:lineRule="atLeast"/>
            </w:pPr>
          </w:p>
        </w:tc>
        <w:tc>
          <w:tcPr>
            <w:tcW w:w="998" w:type="dxa"/>
            <w:vAlign w:val="center"/>
          </w:tcPr>
          <w:p w14:paraId="119C6385">
            <w:pPr>
              <w:snapToGrid w:val="0"/>
              <w:spacing w:line="240" w:lineRule="atLeast"/>
            </w:pPr>
          </w:p>
        </w:tc>
        <w:tc>
          <w:tcPr>
            <w:tcW w:w="802" w:type="dxa"/>
            <w:vAlign w:val="center"/>
          </w:tcPr>
          <w:p w14:paraId="1D397C08">
            <w:pPr>
              <w:snapToGrid w:val="0"/>
              <w:spacing w:line="240" w:lineRule="atLeast"/>
            </w:pPr>
          </w:p>
        </w:tc>
      </w:tr>
      <w:tr w14:paraId="75BB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F382BE6">
            <w:pPr>
              <w:snapToGrid w:val="0"/>
              <w:spacing w:line="240" w:lineRule="atLeast"/>
            </w:pPr>
          </w:p>
        </w:tc>
        <w:tc>
          <w:tcPr>
            <w:tcW w:w="1441" w:type="dxa"/>
            <w:gridSpan w:val="3"/>
            <w:vAlign w:val="center"/>
          </w:tcPr>
          <w:p w14:paraId="7D54CB53">
            <w:pPr>
              <w:snapToGrid w:val="0"/>
              <w:spacing w:line="240" w:lineRule="atLeast"/>
            </w:pPr>
          </w:p>
        </w:tc>
        <w:tc>
          <w:tcPr>
            <w:tcW w:w="1079" w:type="dxa"/>
            <w:vAlign w:val="center"/>
          </w:tcPr>
          <w:p w14:paraId="67096ED1">
            <w:pPr>
              <w:snapToGrid w:val="0"/>
              <w:spacing w:line="240" w:lineRule="atLeast"/>
            </w:pPr>
          </w:p>
        </w:tc>
        <w:tc>
          <w:tcPr>
            <w:tcW w:w="1071" w:type="dxa"/>
            <w:vAlign w:val="center"/>
          </w:tcPr>
          <w:p w14:paraId="19140519">
            <w:pPr>
              <w:snapToGrid w:val="0"/>
              <w:spacing w:line="240" w:lineRule="atLeast"/>
            </w:pPr>
          </w:p>
        </w:tc>
        <w:tc>
          <w:tcPr>
            <w:tcW w:w="1089" w:type="dxa"/>
            <w:vAlign w:val="center"/>
          </w:tcPr>
          <w:p w14:paraId="424F7E1E">
            <w:pPr>
              <w:snapToGrid w:val="0"/>
              <w:spacing w:line="240" w:lineRule="atLeast"/>
            </w:pPr>
          </w:p>
        </w:tc>
        <w:tc>
          <w:tcPr>
            <w:tcW w:w="1980" w:type="dxa"/>
            <w:vAlign w:val="center"/>
          </w:tcPr>
          <w:p w14:paraId="65D63B9E">
            <w:pPr>
              <w:snapToGrid w:val="0"/>
              <w:spacing w:line="240" w:lineRule="atLeast"/>
            </w:pPr>
          </w:p>
        </w:tc>
        <w:tc>
          <w:tcPr>
            <w:tcW w:w="998" w:type="dxa"/>
            <w:vAlign w:val="center"/>
          </w:tcPr>
          <w:p w14:paraId="501DEEA6">
            <w:pPr>
              <w:snapToGrid w:val="0"/>
              <w:spacing w:line="240" w:lineRule="atLeast"/>
            </w:pPr>
          </w:p>
        </w:tc>
        <w:tc>
          <w:tcPr>
            <w:tcW w:w="802" w:type="dxa"/>
            <w:vAlign w:val="center"/>
          </w:tcPr>
          <w:p w14:paraId="53E1CF34">
            <w:pPr>
              <w:snapToGrid w:val="0"/>
              <w:spacing w:line="240" w:lineRule="atLeast"/>
            </w:pPr>
          </w:p>
        </w:tc>
      </w:tr>
      <w:tr w14:paraId="1EA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8"/>
          </w:tcPr>
          <w:p w14:paraId="6BB5E405">
            <w:pPr>
              <w:snapToGrid w:val="0"/>
              <w:spacing w:line="240" w:lineRule="atLeast"/>
              <w:jc w:val="center"/>
            </w:pPr>
            <w:r>
              <w:rPr>
                <w:rFonts w:hint="eastAsia"/>
              </w:rPr>
              <w:t>金额合计</w:t>
            </w:r>
          </w:p>
        </w:tc>
        <w:tc>
          <w:tcPr>
            <w:tcW w:w="998" w:type="dxa"/>
          </w:tcPr>
          <w:p w14:paraId="4A92E586">
            <w:pPr>
              <w:snapToGrid w:val="0"/>
              <w:spacing w:line="240" w:lineRule="atLeast"/>
            </w:pPr>
          </w:p>
        </w:tc>
        <w:tc>
          <w:tcPr>
            <w:tcW w:w="802" w:type="dxa"/>
          </w:tcPr>
          <w:p w14:paraId="69413D92">
            <w:pPr>
              <w:snapToGrid w:val="0"/>
              <w:spacing w:line="240" w:lineRule="atLeast"/>
            </w:pPr>
          </w:p>
        </w:tc>
      </w:tr>
    </w:tbl>
    <w:p w14:paraId="73CE31E4">
      <w:pPr>
        <w:jc w:val="left"/>
        <w:rPr>
          <w:rFonts w:ascii="宋体" w:hAnsi="宋体"/>
          <w:szCs w:val="21"/>
        </w:rPr>
      </w:pPr>
      <w:r>
        <w:rPr>
          <w:rFonts w:hint="eastAsia" w:ascii="宋体" w:hAnsi="宋体"/>
          <w:szCs w:val="21"/>
        </w:rPr>
        <w:t>说明：</w:t>
      </w:r>
      <w:r>
        <w:rPr>
          <w:rFonts w:ascii="宋体" w:hAnsi="宋体"/>
          <w:szCs w:val="21"/>
        </w:rPr>
        <w:t>1</w:t>
      </w:r>
      <w:r>
        <w:rPr>
          <w:rFonts w:hint="default" w:ascii="宋体" w:hAnsi="宋体"/>
          <w:szCs w:val="21"/>
        </w:rPr>
        <w:t>.</w:t>
      </w:r>
      <w:r>
        <w:rPr>
          <w:rFonts w:hint="eastAsia" w:ascii="宋体" w:hAnsi="宋体"/>
          <w:szCs w:val="21"/>
        </w:rPr>
        <w:t>以上表格请按费用发生的时间先后顺序填写，并将附件证明材料按对应顺序整理</w:t>
      </w:r>
    </w:p>
    <w:p w14:paraId="3095A8EE">
      <w:pPr>
        <w:jc w:val="left"/>
        <w:rPr>
          <w:rFonts w:hint="default"/>
        </w:rPr>
      </w:pPr>
      <w:r>
        <w:rPr>
          <w:rFonts w:hint="eastAsia" w:ascii="宋体" w:hAnsi="宋体"/>
          <w:szCs w:val="21"/>
        </w:rPr>
        <w:t>编号；</w:t>
      </w:r>
      <w:r>
        <w:rPr>
          <w:rFonts w:ascii="宋体" w:hAnsi="宋体"/>
          <w:szCs w:val="21"/>
        </w:rPr>
        <w:t>2</w:t>
      </w:r>
      <w:r>
        <w:rPr>
          <w:rFonts w:hint="default" w:ascii="宋体" w:hAnsi="宋体"/>
          <w:szCs w:val="21"/>
        </w:rPr>
        <w:t>.</w:t>
      </w:r>
      <w:r>
        <w:rPr>
          <w:rFonts w:hint="eastAsia" w:ascii="宋体" w:hAnsi="宋体"/>
          <w:szCs w:val="21"/>
        </w:rPr>
        <w:t>发票及金额信息请按照发票实际内容填写；</w:t>
      </w:r>
      <w:r>
        <w:rPr>
          <w:rFonts w:ascii="宋体" w:hAnsi="宋体"/>
          <w:szCs w:val="21"/>
        </w:rPr>
        <w:t>3</w:t>
      </w:r>
      <w:r>
        <w:rPr>
          <w:rFonts w:hint="default" w:ascii="宋体" w:hAnsi="宋体"/>
          <w:szCs w:val="21"/>
        </w:rPr>
        <w:t>.</w:t>
      </w:r>
      <w:r>
        <w:rPr>
          <w:rFonts w:hint="eastAsia" w:ascii="宋体" w:hAnsi="宋体"/>
          <w:szCs w:val="21"/>
        </w:rPr>
        <w:t>每一张发票填写一行</w:t>
      </w:r>
      <w:r>
        <w:rPr>
          <w:rFonts w:hint="default" w:ascii="宋体" w:hAnsi="宋体"/>
          <w:szCs w:val="21"/>
        </w:rPr>
        <w:t>；4.如有租赁多个物业则每个物业分别填写一张表格；5.发票金额填写税前房租金额。</w:t>
      </w:r>
    </w:p>
    <w:p w14:paraId="0CA87768"/>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005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B36A0">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2B36A0">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A5A87F4"/>
    <w:rsid w:val="1A5A87F4"/>
    <w:rsid w:val="226F6613"/>
    <w:rsid w:val="37F2FB69"/>
    <w:rsid w:val="5F7FE6D9"/>
    <w:rsid w:val="6F792441"/>
    <w:rsid w:val="7B9E01FB"/>
    <w:rsid w:val="DF8AC7E8"/>
    <w:rsid w:val="DFF9CAB5"/>
    <w:rsid w:val="FEFCD760"/>
    <w:rsid w:val="FF7FB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2546</Words>
  <Characters>2645</Characters>
  <Lines>0</Lines>
  <Paragraphs>0</Paragraphs>
  <TotalTime>1</TotalTime>
  <ScaleCrop>false</ScaleCrop>
  <LinksUpToDate>false</LinksUpToDate>
  <CharactersWithSpaces>2670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2021-08-19T15:18:00Z</dcterms:created>
  <dc:creator>ns</dc:creator>
  <cp:lastModifiedBy>微信用户</cp:lastModifiedBy>
  <cp:lastPrinted>2022-04-26T10:13:00Z</cp:lastPrinted>
  <dcterms:modified xsi:type="dcterms:W3CDTF">2024-10-17T07:47:57Z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1742469502044035875DEC8987D38F40_12</vt:lpwstr>
  </property>
</Properties>
</file>