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深圳市瞪羚、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独角兽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梯度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遴选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“瞪羚”企业是指商业模式得到市场认可、收入或雇员人数达到一定规模，已成功跨越创业死亡谷并进入高速成长期的高成长企业。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“独角兽”企业是指成立10年以内，估值超过10亿美元（或70亿人民币）、获得过私募投资且尚未上市的企业。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公平公正。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组建专家评价委员会，委员会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参与遴选指标评估、遴选机制设计、遴选名单确定等环节，打造公平公正、权威专业的评价环境，树立评价体系的专业性和评价结果的权威性。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（二）梯度培育。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建立瞪羚企业、独角兽企业培育库。其中，瞪羚企业分为瞪羚、超级瞪羚两个梯度；独角兽企业分为种子独角兽、潜在独角兽、独角兽（含超级独角兽）三个梯度。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（三）精准服务。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编制瞪羚、独角兽企业服务清单，为瞪羚、独角兽入库企业提供产业对接、融资对接、人才对接等服务对接活动，赋能支持企业加快发展。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（四）动态管理。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每年开展瞪羚企业、独角兽企业遴选工作，持续发现和挖掘一批高成长创新型企业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对于不再符合认定条件的企业，建立退出机制。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行业要求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入库企业所属行业和细分领域符合深圳市“20+8”产业集群发展方向，具体如下：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（一）战略性新兴产业：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半导体与集成电路、人工智能、低空经济与空天、新能源、智能网联汽车、生物医药、高端医疗器械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网络与通信、超高清视频显示、智能终端、软件与信息服务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智能传感器、高端装备与仪器、机器人、高性能材料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数字创意、现代时尚、安全节能环保、大健康、海洋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（二）未来产业：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合成生物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光载信息、智能机器人、细胞与基因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脑科学与脑机工程、深地深海、量子信息、前沿新材料。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企业梯度培育体系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依据企业规模、成长速度、创新能力、融资金额、投后估值等指标，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瞪羚、超级瞪羚两个梯度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独角兽企业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种子独角兽、潜在独角兽、独角兽（含超级独角兽）三个梯度。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其中，瞪羚企业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以企业规模、成长速度、创新能力等为核心指标，独角兽企业以融资金额、投后估值等为核心指标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（一）申请主体位于深圳辖区内，具有健全的财务会计管理制度，经营纳税及信用情况良好，具有独立法人资格、实行独立核算的企业。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（二）申请主体所属行业和细分领域符合深圳市“20+8”产业集群发展方向。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（三）申请主体未列入经营异常名录和严重违法失信企业名单，且在申报年度的近三年内未发生重大安全、重大质量事故和严重环境违法、科研严重失信行为。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评价指标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（一）瞪羚企业。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瞪羚企业分为瞪羚、超级瞪羚两个梯度，主要以企业规模、成长速度、创新能力作为遴选的基本指标。瞪羚企业、超级瞪羚企业需为高新技术企业、创新型中小企业或专精特新中小企业。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瞪羚企业入选需满足以下条件之一：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（1）企业成立时间距基期年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不超过10年（不含基期年），基期年营业收入达到3000万元且三年复合增长率达到20%，且截止年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（2）企业成立时间距基期年不超过10年（不含基期年），基期年雇员总数达到100人且三年复合增长率达到30%，且截止年正增长。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（3）企业成立时间距截止年不超过5年（含截止年），截止年营业收入达到5亿元，且3年内营业收入无大幅下降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（4）企业成立时间距截止年不超过10年（含截止年），截止年营业收入达到10亿元，且3年内营业收入无大幅下降。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示例：若遴选2024年瞪羚企业，计算营收或雇员人数三年复合增长率需要2020年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sz w:val="28"/>
          <w:szCs w:val="28"/>
        </w:rPr>
        <w:t>2023年四年数据，则基期年为2020年，截止年为2023年，企业成立时间距基期年不超过10年是指成立时间不早于2010年，成立时间距截止年不超过5年是指成立时间不早于2019年，成立时间距截止年不超过10年是指成立时间不早于2014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企业三年复合增长率=</w:t>
      </w:r>
      <w:r>
        <w:rPr>
          <w:rFonts w:hint="eastAsia" w:ascii="Times New Roman" w:hAnsi="Times New Roman" w:eastAsia="黑体" w:cs="Times New Roman"/>
          <w:position w:val="-28"/>
          <w:sz w:val="28"/>
          <w:szCs w:val="28"/>
          <w:lang w:val="en-US" w:eastAsia="zh-CN"/>
        </w:rPr>
        <w:object>
          <v:shape id="_x0000_i1025" o:spt="75" type="#_x0000_t75" style="height:42.8pt;width:242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（二）独角兽企业。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独角兽企业分为种子独角兽、潜在独角兽、独角兽（含超级独角兽）三个梯度，主要以企业融资投后估值作为遴选的基本指标。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1.独角兽企业入选需同时满足以下条件：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（1）成立时间不超过10年；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（2）获得过股权投资，且尚未上市（不含新三板挂牌）；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（3）最新一轮融资投后估值超过（含）70亿元人民币以上，且累计融资金额超过（含）3.5亿元人民币；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（4）符合（1）（2）要求，且最新一轮融资投后估值超过（含）700亿元人民币以上，累计融资金额超过（含）3.5亿元人民币的企业为超级独角兽企业。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2.潜在独角兽企业入选需满足以下条件之一：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成立5年内，获得过股权投资，且尚未上市（不含新三板挂牌）；最新一轮融资投后估值超过（含）7亿元人民币以上，且累计融资金额超过（含）3500万元人民币。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成立5—9年，获得过股权投资，且尚未上市（不含新三板挂牌）；最新一轮融资投后估值超过（含）35亿元人民币以上，且累计融资金额超过（含）1.75亿元人民币。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3.种子独角兽企业入选需同时满足以下条件：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（1）成立时间不超过5年；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（2）获得过股权投资，且尚未上市（不含新三板挂牌）；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最新一轮融资投后估值超过（含）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3亿元人民币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，且累计融资金额超过（含）1000万元人民币。</w:t>
      </w:r>
    </w:p>
    <w:p/>
    <w:sectPr>
      <w:headerReference w:type="default" r:id="rId9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Style w:val="6"/>
          <w:rFonts w:cs="Times New Roman"/>
          <w:b w:val="0"/>
          <w:bCs w:val="0"/>
        </w:rPr>
        <w:footnoteRef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基期年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是指分析某一特定时间段内的数据变化情况时，用作比较基准的年份。如分析2020-2023年企业营业收入变化情况，基期年是指2020年。</w:t>
      </w:r>
    </w:p>
  </w:footnote>
  <w:footnote w:id="1"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Style w:val="6"/>
          <w:rFonts w:cs="Times New Roman"/>
          <w:b w:val="0"/>
          <w:bCs w:val="0"/>
        </w:rPr>
        <w:footnoteRef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截止年与基期年相对应，截止年是指数据分析时间段的最后一年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如分析2020-2023年企业营业收入变化情况，截止年是指2023年。</w:t>
      </w:r>
    </w:p>
  </w:footnote>
  <w:footnote w:id="2">
    <w:p>
      <w:pPr>
        <w:pStyle w:val="3"/>
        <w:snapToGrid w:val="0"/>
        <w:rPr>
          <w:rFonts w:ascii="Times New Roman" w:hAnsi="Times New Roman" w:cs="Times New Roman"/>
        </w:rPr>
      </w:pPr>
      <w:r>
        <w:rPr>
          <w:rStyle w:val="6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3年内营业收入无大幅下降是指3年内营业收入同比增长率均不低于-30%。</w:t>
      </w:r>
    </w:p>
  </w:footnote>
</w:footnotes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10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9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8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7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6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5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4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3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2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-1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2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3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4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5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6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7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8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9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0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1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2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3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4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5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6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7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8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00pt;height: 20pt;z-index: -251654144;mso-wrap-edited: f;margin-top: 1900pt;mso-position-horizontal-relative: margin;mso-position-vertical-relative: margin;mso-position-vertical: left;mso-position-horizontal: center;rotation: -45" fillcolor="#dfdfdf" stroked="false">
          <v:textpath style="font-family:宋体;font-size:18pt" string="况仪20241012                况仪20241012                况仪20241012                况仪20241012                况仪20241012              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BFAB"/>
    <w:rsid w:val="7EBF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theme/theme1.xml" Type="http://schemas.openxmlformats.org/officeDocument/2006/relationships/theme"/><Relationship Id="rId5" Target="embeddings/oleObject1.bin" Type="http://schemas.openxmlformats.org/officeDocument/2006/relationships/oleObject"/><Relationship Id="rId6" Target="media/image1.wmf" Type="http://schemas.openxmlformats.org/officeDocument/2006/relationships/imag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2024-10-10T16:44:00Z</dcterms:created>
  <dc:creator>区工业和信息化局帐户</dc:creator>
  <cp:lastModifiedBy>区工业和信息化局帐户</cp:lastModifiedBy>
  <dcterms:modified xsi:type="dcterms:W3CDTF">2024-10-10T16:45:36Z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