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0" w:lineRule="exact"/>
        <w:ind w:firstLine="0" w:firstLineChars="0"/>
        <w:textAlignment w:val="auto"/>
        <w:rPr>
          <w:rFonts w:hint="eastAsia"/>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zhengwen"/>
      <w:bookmarkEnd w:id="0"/>
      <w:r>
        <w:rPr>
          <w:rFonts w:hint="eastAsia" w:ascii="方正小标宋_GBK" w:hAnsi="方正小标宋_GBK" w:eastAsia="方正小标宋_GBK" w:cs="方正小标宋_GBK"/>
          <w:sz w:val="44"/>
          <w:szCs w:val="44"/>
        </w:rPr>
        <w:t>南山区鼓励总部企业发展实施办法</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eastAsia="宋体" w:cs="Calibri"/>
          <w:sz w:val="44"/>
          <w:szCs w:val="44"/>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ascii="黑体" w:hAnsi="黑体" w:eastAsia="黑体"/>
          <w:sz w:val="32"/>
          <w:szCs w:val="32"/>
        </w:rPr>
      </w:pPr>
      <w:r>
        <w:rPr>
          <w:rFonts w:hint="eastAsia" w:ascii="黑体" w:hAnsi="黑体" w:eastAsia="黑体"/>
          <w:sz w:val="32"/>
          <w:szCs w:val="32"/>
          <w:lang w:val="en-US" w:eastAsia="zh-CN"/>
        </w:rPr>
        <w:t xml:space="preserve">第一章  </w:t>
      </w:r>
      <w:r>
        <w:rPr>
          <w:rFonts w:hint="eastAsia" w:ascii="黑体" w:hAnsi="黑体" w:eastAsia="黑体"/>
          <w:sz w:val="32"/>
          <w:szCs w:val="32"/>
        </w:rPr>
        <w:t>总  则</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黑体" w:hAnsi="黑体" w:eastAsia="黑体"/>
          <w:sz w:val="32"/>
          <w:szCs w:val="32"/>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sz w:val="32"/>
          <w:szCs w:val="32"/>
          <w:lang w:val="en-US" w:eastAsia="zh-CN"/>
        </w:rPr>
        <w:t>第一条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为</w:t>
      </w:r>
      <w:r>
        <w:rPr>
          <w:rFonts w:hint="eastAsia" w:ascii="仿宋_GB2312" w:hAnsi="宋体" w:eastAsia="仿宋_GB2312" w:cs="宋体"/>
          <w:kern w:val="0"/>
          <w:sz w:val="32"/>
          <w:szCs w:val="32"/>
        </w:rPr>
        <w:t>加快我区总部经济发展，壮大总部经济规模，提高经济发展质量，促进南山区打造</w:t>
      </w:r>
      <w:r>
        <w:rPr>
          <w:rFonts w:hint="eastAsia" w:ascii="仿宋_GB2312" w:eastAsia="仿宋_GB2312"/>
          <w:sz w:val="32"/>
          <w:szCs w:val="32"/>
        </w:rPr>
        <w:t>深圳国际科技、产业创新中心核心区，制定本办法。</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sz w:val="32"/>
          <w:szCs w:val="32"/>
        </w:rPr>
      </w:pPr>
      <w:r>
        <w:rPr>
          <w:rFonts w:hint="eastAsia" w:ascii="黑体" w:hAnsi="黑体" w:eastAsia="黑体" w:cs="黑体"/>
          <w:b w:val="0"/>
          <w:bCs w:val="0"/>
          <w:sz w:val="32"/>
          <w:szCs w:val="32"/>
          <w:lang w:val="en-US" w:eastAsia="zh-CN"/>
        </w:rPr>
        <w:t>第二条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本办法所称总部企业，是指</w:t>
      </w:r>
      <w:r>
        <w:rPr>
          <w:rFonts w:hint="eastAsia" w:ascii="仿宋_GB2312" w:hAnsi="仿宋_GB2312" w:eastAsia="仿宋_GB2312" w:cs="仿宋_GB2312"/>
          <w:sz w:val="32"/>
          <w:szCs w:val="32"/>
        </w:rPr>
        <w:t>在南山区注册具有独立法人资格，行使投资管理、经营决策、组织管理和服务等总部管理职能，核心营运机构、职能机构均设在南山区的总机构。符合下列条件之一的，可申请认定为总部企业，享受本实施办法的总部企业支持政策。</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在南山区注册且持续经营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年（含）以上，满足下列行业</w:t>
      </w:r>
      <w:r>
        <w:rPr>
          <w:rFonts w:hint="eastAsia" w:ascii="仿宋_GB2312" w:hAnsi="仿宋_GB2312" w:eastAsia="仿宋_GB2312" w:cs="仿宋_GB2312"/>
          <w:sz w:val="32"/>
          <w:szCs w:val="32"/>
          <w:lang w:val="en-US" w:eastAsia="zh-CN"/>
        </w:rPr>
        <w:t>产值</w:t>
      </w:r>
      <w:r>
        <w:rPr>
          <w:rFonts w:hint="eastAsia" w:ascii="仿宋_GB2312" w:hAnsi="仿宋_GB2312" w:eastAsia="仿宋_GB2312" w:cs="仿宋_GB2312"/>
          <w:sz w:val="32"/>
          <w:szCs w:val="32"/>
        </w:rPr>
        <w:t>营</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地方财力</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1.工业企业、服务业企业：</w:t>
      </w:r>
      <w:r>
        <w:rPr>
          <w:rFonts w:hint="eastAsia" w:ascii="仿宋_GB2312" w:hAnsi="仿宋_GB2312" w:eastAsia="仿宋_GB2312" w:cs="仿宋_GB2312"/>
          <w:sz w:val="32"/>
          <w:szCs w:val="32"/>
        </w:rPr>
        <w:t>上年度纳入南山区统计核算的产值规模（营业收入）不低于8亿元（人民币，下同）且上年度形成南山区地方财力不低于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00万元,或上年度纳入南山区统计核算的产值规模（营业收入）不低于6亿元且上年度形成南山区地方财力不低于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val="en-US" w:eastAsia="zh-CN"/>
        </w:rPr>
        <w:t>；</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筑业企业、批发业企业：上年度纳入南山区统计核算的产值规模不低于50亿元（人民币，下同）且上年度形成南山区地方财力不低于300万元，或上年度纳入南山区统计核算的产值规模不低于30亿元且上年度形成南山区地方财力不低于500万元</w:t>
      </w:r>
      <w:r>
        <w:rPr>
          <w:rFonts w:hint="eastAsia" w:ascii="仿宋_GB2312" w:hAnsi="仿宋_GB2312" w:eastAsia="仿宋_GB2312" w:cs="仿宋_GB2312"/>
          <w:sz w:val="32"/>
          <w:szCs w:val="32"/>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3.金融业企业、零售业企业：</w:t>
      </w:r>
      <w:r>
        <w:rPr>
          <w:rFonts w:hint="eastAsia" w:ascii="仿宋_GB2312" w:hAnsi="仿宋_GB2312" w:eastAsia="仿宋_GB2312" w:cs="仿宋_GB2312"/>
          <w:sz w:val="32"/>
          <w:szCs w:val="32"/>
        </w:rPr>
        <w:t>上年度纳入南山区统计核算的</w:t>
      </w:r>
      <w:r>
        <w:rPr>
          <w:rFonts w:hint="eastAsia" w:ascii="仿宋_GB2312" w:hAnsi="仿宋_GB2312" w:eastAsia="仿宋_GB2312" w:cs="仿宋_GB2312"/>
          <w:sz w:val="32"/>
          <w:szCs w:val="32"/>
          <w:lang w:val="en-US" w:eastAsia="zh-CN"/>
        </w:rPr>
        <w:t>销售额不低于15亿元</w:t>
      </w:r>
      <w:r>
        <w:rPr>
          <w:rFonts w:hint="eastAsia" w:ascii="仿宋_GB2312" w:hAnsi="仿宋_GB2312" w:eastAsia="仿宋_GB2312" w:cs="仿宋_GB2312"/>
          <w:sz w:val="32"/>
          <w:szCs w:val="32"/>
        </w:rPr>
        <w:t>且上年度形成南山区地方财力不低于</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4.住宿业企业、餐饮业企业：</w:t>
      </w:r>
      <w:r>
        <w:rPr>
          <w:rFonts w:hint="eastAsia" w:ascii="仿宋_GB2312" w:hAnsi="仿宋_GB2312" w:eastAsia="仿宋_GB2312" w:cs="仿宋_GB2312"/>
          <w:sz w:val="32"/>
          <w:szCs w:val="32"/>
        </w:rPr>
        <w:t>上年度纳入南山区统计核算的</w:t>
      </w:r>
      <w:r>
        <w:rPr>
          <w:rFonts w:hint="eastAsia" w:ascii="仿宋_GB2312" w:hAnsi="仿宋_GB2312" w:eastAsia="仿宋_GB2312" w:cs="仿宋_GB2312"/>
          <w:sz w:val="32"/>
          <w:szCs w:val="32"/>
          <w:lang w:val="en-US" w:eastAsia="zh-CN"/>
        </w:rPr>
        <w:t>营业额不低于6亿元</w:t>
      </w:r>
      <w:r>
        <w:rPr>
          <w:rFonts w:hint="eastAsia" w:ascii="仿宋_GB2312" w:hAnsi="仿宋_GB2312" w:eastAsia="仿宋_GB2312" w:cs="仿宋_GB2312"/>
          <w:sz w:val="32"/>
          <w:szCs w:val="32"/>
        </w:rPr>
        <w:t>且上年度形成南山区地方财力不低于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入选《财富》“世界500强”、入选中国企业联合会“中国500强”的企业；</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对辖区内经济贡献大，连续2年被评定为“南山区纳税百强”的企业或连续3年形成地方财力达到</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万元的企业；</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）注册登记及</w:t>
      </w:r>
      <w:r>
        <w:rPr>
          <w:rFonts w:hint="eastAsia" w:ascii="仿宋_GB2312" w:hAnsi="仿宋_GB2312" w:eastAsia="仿宋_GB2312" w:cs="仿宋_GB2312"/>
          <w:sz w:val="32"/>
          <w:szCs w:val="32"/>
          <w:lang w:val="en-US" w:eastAsia="zh-CN"/>
        </w:rPr>
        <w:t>统计</w:t>
      </w:r>
      <w:r>
        <w:rPr>
          <w:rFonts w:hint="eastAsia" w:ascii="仿宋_GB2312" w:hAnsi="仿宋_GB2312" w:eastAsia="仿宋_GB2312" w:cs="仿宋_GB2312"/>
          <w:sz w:val="32"/>
          <w:szCs w:val="32"/>
          <w:lang w:eastAsia="zh-CN"/>
        </w:rPr>
        <w:t>关系在</w:t>
      </w:r>
      <w:r>
        <w:rPr>
          <w:rFonts w:hint="eastAsia" w:ascii="仿宋_GB2312" w:hAnsi="仿宋_GB2312" w:eastAsia="仿宋_GB2312" w:cs="仿宋_GB2312"/>
          <w:sz w:val="32"/>
          <w:szCs w:val="32"/>
          <w:lang w:val="en-US" w:eastAsia="zh-CN"/>
        </w:rPr>
        <w:t>南山</w:t>
      </w:r>
      <w:r>
        <w:rPr>
          <w:rFonts w:hint="eastAsia" w:ascii="仿宋_GB2312" w:hAnsi="仿宋_GB2312" w:eastAsia="仿宋_GB2312" w:cs="仿宋_GB2312"/>
          <w:sz w:val="32"/>
          <w:szCs w:val="32"/>
          <w:lang w:eastAsia="zh-CN"/>
        </w:rPr>
        <w:t>区的市级总部企业；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符合南山区产业发展战略和产业政策，具有重大产业支撑作用的</w:t>
      </w:r>
      <w:r>
        <w:rPr>
          <w:rFonts w:hint="eastAsia" w:ascii="仿宋_GB2312" w:hAnsi="宋体" w:eastAsia="仿宋_GB2312" w:cs="宋体"/>
          <w:sz w:val="32"/>
          <w:szCs w:val="32"/>
          <w:lang w:eastAsia="zh-CN"/>
        </w:rPr>
        <w:t>重点</w:t>
      </w:r>
      <w:r>
        <w:rPr>
          <w:rFonts w:hint="eastAsia" w:ascii="仿宋_GB2312" w:hAnsi="宋体" w:eastAsia="仿宋_GB2312" w:cs="宋体"/>
          <w:sz w:val="32"/>
          <w:szCs w:val="32"/>
        </w:rPr>
        <w:t>企业。</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sz w:val="32"/>
          <w:szCs w:val="32"/>
        </w:rPr>
      </w:pPr>
      <w:r>
        <w:rPr>
          <w:rFonts w:hint="eastAsia" w:ascii="黑体" w:hAnsi="黑体" w:eastAsia="黑体" w:cs="黑体"/>
          <w:b w:val="0"/>
          <w:bCs w:val="0"/>
          <w:sz w:val="32"/>
          <w:szCs w:val="32"/>
          <w:lang w:val="en-US" w:eastAsia="zh-CN"/>
        </w:rPr>
        <w:t>第三条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总部企业从认定后次月起开始享受相关优惠扶持政策，对已认定的总部企业实行动态管理，每三年复核一次。未通过复核的，</w:t>
      </w:r>
      <w:r>
        <w:rPr>
          <w:rFonts w:hint="eastAsia" w:ascii="仿宋_GB2312" w:hAnsi="黑体" w:eastAsia="仿宋_GB2312"/>
          <w:sz w:val="32"/>
          <w:szCs w:val="32"/>
          <w:lang w:val="en-US" w:eastAsia="zh-CN"/>
        </w:rPr>
        <w:t>取消</w:t>
      </w:r>
      <w:r>
        <w:rPr>
          <w:rFonts w:hint="eastAsia" w:ascii="仿宋_GB2312" w:hAnsi="黑体" w:eastAsia="仿宋_GB2312"/>
          <w:sz w:val="32"/>
          <w:szCs w:val="32"/>
        </w:rPr>
        <w:t>南山区总部企业资格。</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cs="黑体"/>
          <w:b w:val="0"/>
          <w:bCs w:val="0"/>
          <w:sz w:val="32"/>
          <w:szCs w:val="32"/>
          <w:lang w:val="en-US" w:eastAsia="zh-CN"/>
        </w:rPr>
        <w:t>第四条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区工业和信息化局负责牵头组织总部企业认定工作，符合条件的企业，征求</w:t>
      </w:r>
      <w:r>
        <w:rPr>
          <w:rFonts w:hint="eastAsia" w:ascii="仿宋_GB2312" w:hAnsi="黑体" w:eastAsia="仿宋_GB2312"/>
          <w:sz w:val="32"/>
          <w:szCs w:val="32"/>
          <w:lang w:val="en-US" w:eastAsia="zh-CN"/>
        </w:rPr>
        <w:t>区发改局、区财政局、区人资局、区应急管理局、区统计局、市生态环境局南山管理局等</w:t>
      </w:r>
      <w:r>
        <w:rPr>
          <w:rFonts w:ascii="仿宋_GB2312" w:hAnsi="黑体" w:eastAsia="仿宋_GB2312"/>
          <w:sz w:val="32"/>
          <w:szCs w:val="32"/>
        </w:rPr>
        <w:t>单位</w:t>
      </w:r>
      <w:r>
        <w:rPr>
          <w:rFonts w:hint="eastAsia" w:ascii="仿宋_GB2312" w:hAnsi="黑体" w:eastAsia="仿宋_GB2312"/>
          <w:sz w:val="32"/>
          <w:szCs w:val="32"/>
        </w:rPr>
        <w:t>意见后报分管区领导同意，再报请区长审批后即可认定为南山区总部企业；符合本办法第二条第（</w:t>
      </w:r>
      <w:r>
        <w:rPr>
          <w:rFonts w:hint="eastAsia" w:ascii="仿宋_GB2312" w:hAnsi="黑体" w:eastAsia="仿宋_GB2312"/>
          <w:sz w:val="32"/>
          <w:szCs w:val="32"/>
          <w:lang w:val="en-US" w:eastAsia="zh-CN"/>
        </w:rPr>
        <w:t>五</w:t>
      </w:r>
      <w:r>
        <w:rPr>
          <w:rFonts w:hint="eastAsia" w:ascii="仿宋_GB2312" w:hAnsi="黑体" w:eastAsia="仿宋_GB2312"/>
          <w:sz w:val="32"/>
          <w:szCs w:val="32"/>
        </w:rPr>
        <w:t>）款情形的企业，报区</w:t>
      </w:r>
      <w:bookmarkStart w:id="1" w:name="_GoBack"/>
      <w:r>
        <w:rPr>
          <w:rFonts w:hint="eastAsia" w:ascii="仿宋_GB2312" w:hAnsi="黑体" w:eastAsia="仿宋_GB2312"/>
          <w:sz w:val="32"/>
          <w:szCs w:val="32"/>
        </w:rPr>
        <w:t>政府常务</w:t>
      </w:r>
      <w:r>
        <w:rPr>
          <w:rFonts w:hint="default" w:ascii="仿宋_GB2312" w:hAnsi="黑体" w:eastAsia="仿宋_GB2312"/>
          <w:sz w:val="32"/>
          <w:szCs w:val="32"/>
          <w:lang w:val="en"/>
        </w:rPr>
        <w:t>会</w:t>
      </w:r>
      <w:bookmarkEnd w:id="1"/>
      <w:r>
        <w:rPr>
          <w:rFonts w:hint="default" w:ascii="仿宋_GB2312" w:hAnsi="黑体" w:eastAsia="仿宋_GB2312"/>
          <w:sz w:val="32"/>
          <w:szCs w:val="32"/>
          <w:lang w:val="en"/>
        </w:rPr>
        <w:t>议</w:t>
      </w:r>
      <w:r>
        <w:rPr>
          <w:rFonts w:hint="eastAsia" w:ascii="仿宋_GB2312" w:hAnsi="黑体" w:eastAsia="仿宋_GB2312"/>
          <w:sz w:val="32"/>
          <w:szCs w:val="32"/>
        </w:rPr>
        <w:t>审议通过后，方可认定为南山区总部企业。</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黑体" w:hAnsi="黑体" w:eastAsia="黑体"/>
          <w:sz w:val="32"/>
          <w:szCs w:val="32"/>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ascii="黑体" w:hAnsi="黑体" w:eastAsia="黑体"/>
          <w:sz w:val="32"/>
          <w:szCs w:val="32"/>
        </w:rPr>
      </w:pPr>
      <w:r>
        <w:rPr>
          <w:rFonts w:hint="eastAsia" w:ascii="黑体" w:hAnsi="黑体" w:eastAsia="黑体"/>
          <w:sz w:val="32"/>
          <w:szCs w:val="32"/>
          <w:lang w:val="en-US" w:eastAsia="zh-CN"/>
        </w:rPr>
        <w:t xml:space="preserve">第二章  </w:t>
      </w:r>
      <w:r>
        <w:rPr>
          <w:rFonts w:hint="eastAsia" w:ascii="黑体" w:hAnsi="黑体" w:eastAsia="黑体"/>
          <w:sz w:val="32"/>
          <w:szCs w:val="32"/>
        </w:rPr>
        <w:t>总部企业扶持政策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第五条  </w:t>
      </w:r>
      <w:r>
        <w:rPr>
          <w:rFonts w:hint="eastAsia" w:ascii="仿宋_GB2312" w:hAnsi="仿宋_GB2312" w:eastAsia="仿宋_GB2312" w:cs="仿宋_GB2312"/>
          <w:b w:val="0"/>
          <w:bCs w:val="0"/>
          <w:kern w:val="2"/>
          <w:sz w:val="32"/>
          <w:szCs w:val="32"/>
          <w:lang w:val="en-US" w:eastAsia="zh-CN" w:bidi="ar-SA"/>
        </w:rPr>
        <w:t>梯度成长奖励</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对符合条件的区总部企业认定为深圳市总部企业的给予200万元奖励，入选中国企业联合会、中国企业家协会“中国500强”的给予500万元奖励，入选《财富》“世界500强”的给予1000万元奖励。不同阶段的奖励按差额进行补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第六条</w:t>
      </w:r>
      <w:r>
        <w:rPr>
          <w:rFonts w:hint="eastAsia" w:ascii="仿宋_GB2312" w:eastAsia="仿宋_GB2312"/>
          <w:sz w:val="32"/>
          <w:szCs w:val="32"/>
          <w:lang w:val="en-US" w:eastAsia="zh-CN"/>
        </w:rPr>
        <w:t xml:space="preserve">  规模增长奖励</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对纳入我区统计核算的产值规模（营业收入）和形成地方财力连续3年均保持正增长或近3年产值规模（营业收入）复合增长率超过20%的南山区总部企业给予奖励扶持。奖励金额按照上一年度形成区级地方财力超过前两年度最高值的部分再乘以30%计算，每家企业每年最高600万元。</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eastAsia="仿宋_GB2312" w:cs="宋体"/>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eastAsia="仿宋_GB2312"/>
          <w:sz w:val="32"/>
          <w:szCs w:val="32"/>
          <w:lang w:val="en-US" w:eastAsia="zh-CN"/>
        </w:rPr>
        <w:t xml:space="preserve">  社会型产业</w:t>
      </w:r>
      <w:r>
        <w:rPr>
          <w:rFonts w:hint="eastAsia" w:ascii="仿宋_GB2312" w:hAnsi="黑体" w:eastAsia="仿宋_GB2312"/>
          <w:sz w:val="32"/>
          <w:szCs w:val="32"/>
        </w:rPr>
        <w:t>用房扶持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对</w:t>
      </w:r>
      <w:r>
        <w:rPr>
          <w:rFonts w:hint="eastAsia" w:ascii="仿宋_GB2312" w:eastAsia="仿宋_GB2312" w:cs="宋体"/>
          <w:sz w:val="32"/>
          <w:szCs w:val="32"/>
        </w:rPr>
        <w:t>符合条件的区总部企业在南山区购置自用办公用房（不含南山区政策性产业用房）的，可按最高3000元/平方米的标准分3年给予补贴，每年最高1000万元，总额最高3000万元。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lang w:val="en-US" w:eastAsia="zh-CN"/>
        </w:rPr>
        <w:t>对</w:t>
      </w:r>
      <w:r>
        <w:rPr>
          <w:rFonts w:hint="eastAsia" w:ascii="仿宋_GB2312" w:eastAsia="仿宋_GB2312" w:cs="宋体"/>
          <w:sz w:val="32"/>
          <w:szCs w:val="32"/>
        </w:rPr>
        <w:t>符合条件的区总部企业在南山区租赁自用办公用房（不含南山区政策性产业用房）的，分5年给予房租补贴，其中前3年每年按实际支付租金的30%给予补贴，每年最高400万元；后2年每年按实际支付租金的15%给予补贴，每年最高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第八条</w:t>
      </w:r>
      <w:r>
        <w:rPr>
          <w:rFonts w:hint="eastAsia" w:ascii="仿宋_GB2312" w:eastAsia="仿宋_GB2312"/>
          <w:sz w:val="32"/>
          <w:szCs w:val="32"/>
          <w:lang w:val="en-US" w:eastAsia="zh-CN"/>
        </w:rPr>
        <w:t xml:space="preserve">  创新型</w:t>
      </w:r>
      <w:r>
        <w:rPr>
          <w:rFonts w:hint="eastAsia" w:ascii="仿宋_GB2312" w:eastAsia="仿宋_GB2312"/>
          <w:sz w:val="32"/>
          <w:szCs w:val="32"/>
        </w:rPr>
        <w:t>产业用房扶持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eastAsia="仿宋_GB2312"/>
          <w:sz w:val="32"/>
          <w:szCs w:val="32"/>
        </w:rPr>
        <w:t>经认定的区总部企业可申请租用</w:t>
      </w:r>
      <w:r>
        <w:rPr>
          <w:rFonts w:hint="eastAsia" w:ascii="仿宋_GB2312" w:eastAsia="仿宋_GB2312"/>
          <w:sz w:val="32"/>
          <w:szCs w:val="32"/>
          <w:lang w:val="en-US" w:eastAsia="zh-CN"/>
        </w:rPr>
        <w:t>创新型</w:t>
      </w:r>
      <w:r>
        <w:rPr>
          <w:rFonts w:hint="eastAsia" w:ascii="仿宋_GB2312" w:eastAsia="仿宋_GB2312"/>
          <w:sz w:val="32"/>
          <w:szCs w:val="32"/>
        </w:rPr>
        <w:t>产业用房。具体政策措施参照《</w:t>
      </w:r>
      <w:r>
        <w:rPr>
          <w:rFonts w:hint="eastAsia" w:ascii="仿宋_GB2312" w:hAnsi="宋体" w:eastAsia="仿宋_GB2312" w:cs="宋体"/>
          <w:kern w:val="0"/>
          <w:sz w:val="32"/>
          <w:szCs w:val="32"/>
        </w:rPr>
        <w:t>南山区</w:t>
      </w:r>
      <w:r>
        <w:rPr>
          <w:rFonts w:hint="eastAsia" w:ascii="仿宋_GB2312" w:hAnsi="宋体" w:eastAsia="仿宋_GB2312" w:cs="宋体"/>
          <w:kern w:val="0"/>
          <w:sz w:val="32"/>
          <w:szCs w:val="32"/>
          <w:lang w:val="en-US" w:eastAsia="zh-CN"/>
        </w:rPr>
        <w:t>创新型</w:t>
      </w:r>
      <w:r>
        <w:rPr>
          <w:rFonts w:hint="eastAsia" w:ascii="仿宋_GB2312" w:hAnsi="宋体" w:eastAsia="仿宋_GB2312" w:cs="宋体"/>
          <w:kern w:val="0"/>
          <w:sz w:val="32"/>
          <w:szCs w:val="32"/>
        </w:rPr>
        <w:t>产业用房</w:t>
      </w:r>
      <w:r>
        <w:rPr>
          <w:rFonts w:hint="eastAsia" w:ascii="仿宋_GB2312" w:hAnsi="宋体" w:eastAsia="仿宋_GB2312" w:cs="宋体"/>
          <w:kern w:val="0"/>
          <w:sz w:val="32"/>
          <w:szCs w:val="32"/>
          <w:lang w:val="en-US" w:eastAsia="zh-CN"/>
        </w:rPr>
        <w:t>管理</w:t>
      </w:r>
      <w:r>
        <w:rPr>
          <w:rFonts w:hint="eastAsia" w:ascii="仿宋_GB2312" w:hAnsi="宋体" w:eastAsia="仿宋_GB2312" w:cs="宋体"/>
          <w:kern w:val="0"/>
          <w:sz w:val="32"/>
          <w:szCs w:val="32"/>
        </w:rPr>
        <w:t>办法》执行。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绿色通道服务政策</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区</w:t>
      </w:r>
      <w:r>
        <w:rPr>
          <w:rFonts w:hint="eastAsia" w:ascii="仿宋_GB2312" w:eastAsia="仿宋_GB2312"/>
          <w:sz w:val="32"/>
          <w:szCs w:val="32"/>
        </w:rPr>
        <w:t>总部企业作为区领导挂点服务企业，纳入绿色通道服务。</w:t>
      </w:r>
      <w:r>
        <w:rPr>
          <w:rFonts w:hint="eastAsia" w:ascii="仿宋_GB2312" w:eastAsia="仿宋_GB2312"/>
          <w:sz w:val="32"/>
          <w:szCs w:val="32"/>
          <w:lang w:val="en-US" w:eastAsia="zh-CN"/>
        </w:rPr>
        <w:t>凭“绿色通道”企业荣誉证书，按照有关规定享受高管子女入学、高管人员医疗保健等便利服务。</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人才用房政策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经认定的区总部企业为人才安居重点企业，可按南山区人才安居政策，享受区人才房定向配租及住房补租。</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eastAsia="仿宋_GB2312"/>
          <w:sz w:val="32"/>
          <w:szCs w:val="32"/>
          <w:lang w:val="en-US" w:eastAsia="zh-CN"/>
        </w:rPr>
        <w:t xml:space="preserve"> 人才突出贡献奖励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对在南山区</w:t>
      </w:r>
      <w:r>
        <w:rPr>
          <w:rFonts w:hint="eastAsia" w:ascii="仿宋_GB2312" w:hAnsi="仿宋_GB2312" w:eastAsia="仿宋_GB2312" w:cs="仿宋_GB2312"/>
          <w:color w:val="auto"/>
          <w:sz w:val="32"/>
          <w:szCs w:val="32"/>
          <w:lang w:eastAsia="zh-CN"/>
        </w:rPr>
        <w:t>评定的</w:t>
      </w:r>
      <w:r>
        <w:rPr>
          <w:rFonts w:hint="eastAsia" w:ascii="仿宋_GB2312" w:hAnsi="仿宋_GB2312" w:eastAsia="仿宋_GB2312" w:cs="仿宋_GB2312"/>
          <w:color w:val="auto"/>
          <w:sz w:val="32"/>
          <w:szCs w:val="32"/>
        </w:rPr>
        <w:t>绿色通道企业连续工作1年（含）以上的</w:t>
      </w:r>
      <w:r>
        <w:rPr>
          <w:rFonts w:hint="eastAsia" w:ascii="仿宋_GB2312" w:hAnsi="仿宋_GB2312" w:eastAsia="仿宋_GB2312" w:cs="仿宋_GB2312"/>
          <w:color w:val="auto"/>
          <w:sz w:val="32"/>
          <w:szCs w:val="32"/>
          <w:lang w:val="en-US" w:eastAsia="zh-CN"/>
        </w:rPr>
        <w:t>优秀人才</w:t>
      </w:r>
      <w:r>
        <w:rPr>
          <w:rFonts w:hint="eastAsia" w:ascii="仿宋_GB2312" w:hAnsi="仿宋_GB2312" w:eastAsia="仿宋_GB2312" w:cs="仿宋_GB2312"/>
          <w:color w:val="auto"/>
          <w:sz w:val="32"/>
          <w:szCs w:val="32"/>
        </w:rPr>
        <w:t>，按其上一年度在</w:t>
      </w:r>
      <w:r>
        <w:rPr>
          <w:rFonts w:hint="eastAsia" w:ascii="仿宋_GB2312" w:hAnsi="仿宋_GB2312" w:eastAsia="仿宋_GB2312" w:cs="仿宋_GB2312"/>
          <w:color w:val="auto"/>
          <w:sz w:val="32"/>
          <w:szCs w:val="32"/>
          <w:lang w:val="en-US" w:eastAsia="zh-CN"/>
        </w:rPr>
        <w:t>南山</w:t>
      </w:r>
      <w:r>
        <w:rPr>
          <w:rFonts w:hint="eastAsia" w:ascii="仿宋_GB2312" w:hAnsi="仿宋_GB2312" w:eastAsia="仿宋_GB2312" w:cs="仿宋_GB2312"/>
          <w:color w:val="auto"/>
          <w:sz w:val="32"/>
          <w:szCs w:val="32"/>
        </w:rPr>
        <w:t>区形成的经济贡献给予奖励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华文仿宋" w:eastAsia="仿宋_GB2312" w:cs="仿宋_GB2312"/>
          <w:sz w:val="32"/>
          <w:szCs w:val="32"/>
          <w:lang w:val="zh-CN"/>
        </w:rPr>
      </w:pPr>
      <w:r>
        <w:rPr>
          <w:rFonts w:hint="eastAsia" w:ascii="仿宋_GB2312" w:eastAsia="仿宋_GB2312"/>
          <w:sz w:val="32"/>
          <w:szCs w:val="32"/>
        </w:rPr>
        <w:t>区</w:t>
      </w:r>
      <w:r>
        <w:rPr>
          <w:rFonts w:hint="eastAsia" w:ascii="仿宋_GB2312" w:hAnsi="华文仿宋" w:eastAsia="仿宋_GB2312" w:cs="仿宋_GB2312"/>
          <w:sz w:val="32"/>
          <w:szCs w:val="32"/>
          <w:lang w:val="en-US" w:eastAsia="zh-CN"/>
        </w:rPr>
        <w:t>总部企业中</w:t>
      </w:r>
      <w:r>
        <w:rPr>
          <w:rFonts w:hint="eastAsia" w:ascii="仿宋_GB2312" w:eastAsia="仿宋_GB2312"/>
          <w:sz w:val="32"/>
          <w:szCs w:val="32"/>
          <w:lang w:val="en-US" w:eastAsia="zh-CN"/>
        </w:rPr>
        <w:t>符合条件的优秀人才，</w:t>
      </w:r>
      <w:r>
        <w:rPr>
          <w:rFonts w:hint="eastAsia" w:ascii="仿宋_GB2312" w:hAnsi="华文仿宋" w:eastAsia="仿宋_GB2312" w:cs="仿宋_GB2312"/>
          <w:sz w:val="32"/>
          <w:szCs w:val="32"/>
          <w:lang w:val="zh-CN"/>
        </w:rPr>
        <w:t>可按《</w:t>
      </w:r>
      <w:r>
        <w:rPr>
          <w:rFonts w:hint="eastAsia" w:ascii="仿宋_GB2312" w:hAnsi="华文仿宋" w:eastAsia="仿宋_GB2312" w:cs="仿宋_GB2312"/>
          <w:sz w:val="32"/>
          <w:szCs w:val="32"/>
          <w:lang w:val="zh-CN" w:eastAsia="zh-CN"/>
        </w:rPr>
        <w:t>南山区支持人才工作发展扶持措施</w:t>
      </w:r>
      <w:r>
        <w:rPr>
          <w:rFonts w:hint="eastAsia" w:ascii="仿宋_GB2312" w:hAnsi="华文仿宋" w:eastAsia="仿宋_GB2312" w:cs="仿宋_GB2312"/>
          <w:sz w:val="32"/>
          <w:szCs w:val="32"/>
          <w:lang w:val="zh-CN"/>
        </w:rPr>
        <w:t>》</w:t>
      </w:r>
      <w:r>
        <w:rPr>
          <w:rFonts w:hint="eastAsia" w:ascii="仿宋_GB2312" w:hAnsi="华文仿宋" w:eastAsia="仿宋_GB2312" w:cs="仿宋_GB2312"/>
          <w:sz w:val="32"/>
          <w:szCs w:val="32"/>
          <w:lang w:val="en-US" w:eastAsia="zh-CN"/>
        </w:rPr>
        <w:t>给予</w:t>
      </w:r>
      <w:r>
        <w:rPr>
          <w:rFonts w:hint="eastAsia" w:ascii="仿宋_GB2312" w:eastAsia="仿宋_GB2312"/>
          <w:sz w:val="32"/>
          <w:szCs w:val="32"/>
          <w:lang w:val="en-US" w:eastAsia="zh-CN"/>
        </w:rPr>
        <w:t>经济贡献奖励。</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hint="eastAsia" w:ascii="黑体" w:hAnsi="黑体" w:eastAsia="黑体"/>
          <w:sz w:val="32"/>
          <w:szCs w:val="32"/>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0" w:firstLineChars="0"/>
        <w:jc w:val="center"/>
        <w:textAlignment w:val="auto"/>
        <w:rPr>
          <w:rFonts w:ascii="黑体" w:hAnsi="黑体" w:eastAsia="黑体"/>
          <w:sz w:val="32"/>
          <w:szCs w:val="32"/>
        </w:rPr>
      </w:pPr>
      <w:r>
        <w:rPr>
          <w:rFonts w:hint="eastAsia" w:ascii="黑体" w:hAnsi="黑体" w:eastAsia="黑体"/>
          <w:sz w:val="32"/>
          <w:szCs w:val="32"/>
          <w:lang w:val="en-US" w:eastAsia="zh-CN"/>
        </w:rPr>
        <w:t xml:space="preserve">第三章  </w:t>
      </w:r>
      <w:r>
        <w:rPr>
          <w:rFonts w:hint="eastAsia" w:ascii="黑体" w:hAnsi="黑体" w:eastAsia="黑体"/>
          <w:sz w:val="32"/>
          <w:szCs w:val="32"/>
        </w:rPr>
        <w:t>附  则</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总部企业产值规模（营业收入）、形成的地方财力以申报企业独立法人（含注册地、统计关系、纳税关系同在南山区的分公司）及其控股50%以上在本区注册的一级子公司作为统计核算口径，各年度股权关系以统计数据当年12月31日股权登记状况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本办法所称形成地方财力是指申报企业在深圳市缴纳的税款入库期内，企业所得税、增值税、土地增值税、契税、城市维护建设税、印花税、房产税、城镇土地使用税计入南山区地方分成部分。</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sz w:val="32"/>
          <w:szCs w:val="32"/>
        </w:rPr>
      </w:pPr>
      <w:r>
        <w:rPr>
          <w:rFonts w:hint="eastAsia" w:ascii="黑体" w:hAnsi="黑体" w:eastAsia="黑体" w:cs="黑体"/>
          <w:b w:val="0"/>
          <w:bCs w:val="0"/>
          <w:sz w:val="32"/>
          <w:szCs w:val="32"/>
          <w:lang w:val="en-US" w:eastAsia="zh-CN"/>
        </w:rPr>
        <w:t>第十四条</w:t>
      </w:r>
      <w:r>
        <w:rPr>
          <w:rFonts w:hint="eastAsia" w:ascii="仿宋_GB2312" w:hAnsi="黑体" w:eastAsia="仿宋_GB2312" w:cs="宋体"/>
          <w:sz w:val="32"/>
          <w:szCs w:val="32"/>
          <w:lang w:val="en-US" w:eastAsia="zh-CN"/>
        </w:rPr>
        <w:t xml:space="preserve">  </w:t>
      </w:r>
      <w:r>
        <w:rPr>
          <w:rFonts w:hint="eastAsia" w:ascii="仿宋_GB2312" w:hAnsi="黑体" w:eastAsia="仿宋_GB2312" w:cs="宋体"/>
          <w:sz w:val="32"/>
          <w:szCs w:val="32"/>
        </w:rPr>
        <w:t>申报企业的下属公司独立提出申请享受总部支持政策的，其下属公司在本区统计核算的产值规模（营业收入）和形成地方财力不再重复计入作为上级公司的申报企业。</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sz w:val="32"/>
          <w:szCs w:val="32"/>
        </w:rPr>
      </w:pPr>
      <w:r>
        <w:rPr>
          <w:rFonts w:hint="eastAsia" w:ascii="黑体" w:hAnsi="黑体" w:eastAsia="黑体" w:cs="黑体"/>
          <w:b w:val="0"/>
          <w:bCs w:val="0"/>
          <w:sz w:val="32"/>
          <w:szCs w:val="32"/>
          <w:lang w:val="en-US" w:eastAsia="zh-CN"/>
        </w:rPr>
        <w:t>第十五条</w:t>
      </w:r>
      <w:r>
        <w:rPr>
          <w:rFonts w:hint="eastAsia" w:ascii="仿宋_GB2312" w:hAnsi="黑体" w:eastAsia="仿宋_GB2312" w:cs="宋体"/>
          <w:sz w:val="32"/>
          <w:szCs w:val="32"/>
          <w:lang w:val="en-US" w:eastAsia="zh-CN"/>
        </w:rPr>
        <w:t xml:space="preserve">  </w:t>
      </w:r>
      <w:r>
        <w:rPr>
          <w:rFonts w:hint="eastAsia" w:ascii="仿宋_GB2312" w:hAnsi="黑体" w:eastAsia="仿宋_GB2312" w:cs="宋体"/>
          <w:sz w:val="32"/>
          <w:szCs w:val="32"/>
        </w:rPr>
        <w:t>每一总部企业每年累计获得本办法支持金额原则上不超过该企业上年度形成区级地方财政贡献，同一项目不得重复申请资金扶持。</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黑体" w:hAnsi="黑体" w:eastAsia="黑体" w:cs="黑体"/>
          <w:b w:val="0"/>
          <w:bCs w:val="0"/>
          <w:sz w:val="32"/>
          <w:szCs w:val="32"/>
          <w:lang w:val="en-US" w:eastAsia="zh-CN"/>
        </w:rPr>
        <w:t>第十六条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购置自用办公用房补贴与租赁自用办公用房补贴原则上不可同时享受。</w:t>
      </w:r>
      <w:r>
        <w:rPr>
          <w:rFonts w:hint="eastAsia" w:ascii="仿宋_GB2312" w:hAnsi="仿宋" w:eastAsia="仿宋_GB2312"/>
          <w:sz w:val="32"/>
          <w:szCs w:val="32"/>
          <w:lang w:val="en-US" w:eastAsia="zh-CN"/>
        </w:rPr>
        <w:t>区</w:t>
      </w:r>
      <w:r>
        <w:rPr>
          <w:rFonts w:hint="eastAsia" w:ascii="仿宋_GB2312" w:hAnsi="仿宋" w:eastAsia="仿宋_GB2312"/>
          <w:sz w:val="32"/>
          <w:szCs w:val="32"/>
        </w:rPr>
        <w:t>总部企业</w:t>
      </w:r>
      <w:r>
        <w:rPr>
          <w:rFonts w:hint="eastAsia" w:ascii="仿宋_GB2312" w:eastAsia="仿宋_GB2312"/>
          <w:sz w:val="32"/>
          <w:szCs w:val="32"/>
        </w:rPr>
        <w:t>享受补助期间，不得对外出售、出租办公用房或改变其用途；违反上述规定的，应当退还已获得的补助。享受购房补贴的</w:t>
      </w:r>
      <w:r>
        <w:rPr>
          <w:rFonts w:hint="eastAsia" w:ascii="仿宋_GB2312" w:eastAsia="仿宋_GB2312"/>
          <w:sz w:val="32"/>
          <w:szCs w:val="32"/>
          <w:lang w:val="en-US" w:eastAsia="zh-CN"/>
        </w:rPr>
        <w:t>区</w:t>
      </w:r>
      <w:r>
        <w:rPr>
          <w:rFonts w:hint="eastAsia" w:ascii="仿宋_GB2312" w:eastAsia="仿宋_GB2312"/>
          <w:sz w:val="32"/>
          <w:szCs w:val="32"/>
        </w:rPr>
        <w:t>总部企业办公用房，五年内不得出售、出租或改变房屋用途。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第十七条</w:t>
      </w:r>
      <w:r>
        <w:rPr>
          <w:rFonts w:hint="eastAsia" w:ascii="仿宋_GB2312" w:eastAsia="仿宋_GB2312"/>
          <w:sz w:val="32"/>
          <w:szCs w:val="32"/>
          <w:lang w:val="en-US" w:eastAsia="zh-CN"/>
        </w:rPr>
        <w:t xml:space="preserve">  区</w:t>
      </w:r>
      <w:r>
        <w:rPr>
          <w:rFonts w:hint="eastAsia" w:ascii="仿宋_GB2312" w:eastAsia="仿宋_GB2312"/>
          <w:sz w:val="32"/>
          <w:szCs w:val="32"/>
        </w:rPr>
        <w:t>总部企业应按要求及时向区统计部门报送相关数据，对涉及变更企业名称、注册资本、合并、分立、股权转让、迁出等重大事项的，应及时书面告知区工业和信息化局。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第十八条</w:t>
      </w:r>
      <w:r>
        <w:rPr>
          <w:rFonts w:hint="eastAsia" w:ascii="仿宋_GB2312" w:eastAsia="仿宋_GB2312"/>
          <w:sz w:val="32"/>
          <w:szCs w:val="32"/>
          <w:lang w:val="en-US" w:eastAsia="zh-CN"/>
        </w:rPr>
        <w:t xml:space="preserve">  区</w:t>
      </w:r>
      <w:r>
        <w:rPr>
          <w:rFonts w:hint="eastAsia" w:ascii="仿宋_GB2312" w:eastAsia="仿宋_GB2312"/>
          <w:sz w:val="32"/>
          <w:szCs w:val="32"/>
        </w:rPr>
        <w:t>总部企业违反本办法第十</w:t>
      </w:r>
      <w:r>
        <w:rPr>
          <w:rFonts w:hint="eastAsia" w:ascii="仿宋_GB2312" w:eastAsia="仿宋_GB2312"/>
          <w:sz w:val="32"/>
          <w:szCs w:val="32"/>
          <w:lang w:val="en-US" w:eastAsia="zh-CN"/>
        </w:rPr>
        <w:t>七</w:t>
      </w:r>
      <w:r>
        <w:rPr>
          <w:rFonts w:hint="eastAsia" w:ascii="仿宋_GB2312" w:eastAsia="仿宋_GB2312"/>
          <w:sz w:val="32"/>
          <w:szCs w:val="32"/>
        </w:rPr>
        <w:t>条规定的，或在申报过程中存在弄虚作假行为获取扶持政策的，应退还所有获得补贴，并将失信行为纳入企业信用信息。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本办法的奖励与补助资金在南山区自主创新产业发展专项资金中列支，并按专项资金管理办法实施。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本办法由南山</w:t>
      </w:r>
      <w:r>
        <w:rPr>
          <w:rFonts w:hint="eastAsia" w:ascii="仿宋_GB2312" w:eastAsia="仿宋_GB2312"/>
          <w:sz w:val="32"/>
          <w:szCs w:val="32"/>
          <w:lang w:val="en-US" w:eastAsia="zh-CN"/>
        </w:rPr>
        <w:t>区工业和信息化局</w:t>
      </w:r>
      <w:r>
        <w:rPr>
          <w:rFonts w:hint="eastAsia" w:ascii="仿宋_GB2312" w:eastAsia="仿宋_GB2312"/>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本办法自发布之日起实施，有效期三年。</w:t>
      </w:r>
      <w:r>
        <w:rPr>
          <w:rFonts w:hint="eastAsia" w:ascii="仿宋_GB2312" w:eastAsia="仿宋_GB2312"/>
          <w:sz w:val="32"/>
          <w:szCs w:val="32"/>
          <w:lang w:eastAsia="zh-CN"/>
        </w:rPr>
        <w:t>《</w:t>
      </w:r>
      <w:r>
        <w:rPr>
          <w:rFonts w:hint="eastAsia" w:ascii="仿宋_GB2312" w:eastAsia="仿宋_GB2312"/>
          <w:sz w:val="32"/>
          <w:szCs w:val="32"/>
          <w:lang w:val="en-US" w:eastAsia="zh-CN"/>
        </w:rPr>
        <w:t>南山区鼓励总部企业发展实施办法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深南府办规[2019]3号</w:t>
      </w:r>
      <w:r>
        <w:rPr>
          <w:rFonts w:hint="eastAsia" w:ascii="仿宋_GB2312" w:eastAsia="仿宋_GB2312"/>
          <w:sz w:val="32"/>
          <w:szCs w:val="32"/>
          <w:lang w:eastAsia="zh-CN"/>
        </w:rPr>
        <w:t>）</w:t>
      </w:r>
      <w:r>
        <w:rPr>
          <w:rFonts w:hint="eastAsia" w:ascii="仿宋_GB2312" w:eastAsia="仿宋_GB2312"/>
          <w:sz w:val="32"/>
          <w:szCs w:val="32"/>
          <w:lang w:val="en-US" w:eastAsia="zh-CN"/>
        </w:rPr>
        <w:t>同时废止。</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小标宋_GBK" w:hAnsi="宋体" w:eastAsia="方正小标宋_GBK" w:cs="Times New Roman"/>
          <w:spacing w:val="-4"/>
          <w:sz w:val="44"/>
          <w:szCs w:val="44"/>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ascii="仿宋_GB2312" w:hAnsi="Times New Roman" w:eastAsia="仿宋_GB2312" w:cs="Times New Roman"/>
          <w:sz w:val="30"/>
          <w:szCs w:val="30"/>
        </w:rPr>
      </w:pPr>
    </w:p>
    <w:sectPr>
      <w:footerReference r:id="rId3" w:type="default"/>
      <w:footerReference r:id="rId4" w:type="even"/>
      <w:pgSz w:w="11906" w:h="16838"/>
      <w:pgMar w:top="2041" w:right="1361" w:bottom="851" w:left="1588" w:header="777" w:footer="1474" w:gutter="0"/>
      <w:cols w:space="425" w:num="1"/>
      <w:docGrid w:type="linesAndChars" w:linePitch="63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FZXBSJW--GB1-0">
    <w:altName w:val="URW Bookman"/>
    <w:panose1 w:val="00000000000000000000"/>
    <w:charset w:val="00"/>
    <w:family w:val="roman"/>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wordWrap w:val="0"/>
      <w:ind w:right="105" w:rightChars="50"/>
      <w:jc w:val="right"/>
      <w:rPr>
        <w:rFonts w:ascii="仿宋_GB2312" w:eastAsia="仿宋_GB2312"/>
        <w:sz w:val="28"/>
        <w:szCs w:val="28"/>
      </w:rPr>
    </w:pPr>
    <w:r>
      <w:rPr>
        <w:rStyle w:val="12"/>
        <w:rFonts w:hint="eastAsia" w:ascii="仿宋_GB2312" w:eastAsia="仿宋_GB2312"/>
        <w:sz w:val="28"/>
        <w:szCs w:val="28"/>
      </w:rPr>
      <w:t>—</w:t>
    </w:r>
    <w:r>
      <w:rPr>
        <w:rStyle w:val="12"/>
        <w:rFonts w:hint="eastAsia" w:ascii="仿宋_GB2312" w:eastAsia="仿宋_GB2312"/>
        <w:b/>
        <w:sz w:val="28"/>
        <w:szCs w:val="28"/>
      </w:rPr>
      <w:t xml:space="preserve"> </w:t>
    </w:r>
    <w:r>
      <w:rPr>
        <w:rStyle w:val="12"/>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Style w:val="12"/>
        <w:rFonts w:hint="eastAsia" w:ascii="仿宋_GB2312" w:eastAsia="仿宋_GB2312"/>
        <w:sz w:val="28"/>
        <w:szCs w:val="28"/>
      </w:rPr>
      <w:fldChar w:fldCharType="separate"/>
    </w:r>
    <w:r>
      <w:rPr>
        <w:rStyle w:val="12"/>
        <w:rFonts w:ascii="仿宋_GB2312" w:eastAsia="仿宋_GB2312"/>
        <w:sz w:val="28"/>
        <w:szCs w:val="28"/>
      </w:rPr>
      <w:t>1</w:t>
    </w:r>
    <w:r>
      <w:rPr>
        <w:rStyle w:val="12"/>
        <w:rFonts w:hint="eastAsia" w:ascii="仿宋_GB2312" w:eastAsia="仿宋_GB2312"/>
        <w:sz w:val="28"/>
        <w:szCs w:val="28"/>
      </w:rPr>
      <w:fldChar w:fldCharType="end"/>
    </w:r>
    <w:r>
      <w:rPr>
        <w:rStyle w:val="12"/>
        <w:rFonts w:hint="eastAsia" w:ascii="仿宋_GB2312" w:eastAsia="仿宋_GB2312"/>
        <w:b/>
        <w:sz w:val="28"/>
        <w:szCs w:val="28"/>
      </w:rPr>
      <w:t xml:space="preserve"> </w:t>
    </w:r>
    <w:r>
      <w:rPr>
        <w:rStyle w:val="12"/>
        <w:rFonts w:hint="eastAsia" w:ascii="仿宋_GB2312" w:eastAsia="仿宋_GB2312"/>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wordWrap w:val="0"/>
      <w:jc w:val="right"/>
      <w:rPr>
        <w:sz w:val="28"/>
        <w:szCs w:val="28"/>
      </w:rPr>
    </w:pPr>
    <w:r>
      <w:rPr>
        <w:rStyle w:val="12"/>
        <w:rFonts w:hint="eastAsia"/>
        <w:sz w:val="28"/>
        <w:szCs w:val="28"/>
      </w:rPr>
      <w:t xml:space="preserve">  </w:t>
    </w:r>
    <w:r>
      <w:rPr>
        <w:rStyle w:val="12"/>
        <w:rFonts w:eastAsia="Batang"/>
        <w:sz w:val="28"/>
        <w:szCs w:val="28"/>
      </w:rPr>
      <w:t>—</w:t>
    </w:r>
    <w:r>
      <w:rPr>
        <w:rStyle w:val="12"/>
        <w:rFonts w:eastAsia="Batang"/>
        <w:b/>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58</w:t>
    </w:r>
    <w:r>
      <w:rPr>
        <w:rStyle w:val="12"/>
        <w:sz w:val="28"/>
        <w:szCs w:val="28"/>
      </w:rPr>
      <w:fldChar w:fldCharType="end"/>
    </w:r>
    <w:r>
      <w:rPr>
        <w:rStyle w:val="12"/>
        <w:rFonts w:eastAsia="Batang"/>
        <w:b/>
        <w:sz w:val="28"/>
        <w:szCs w:val="28"/>
      </w:rPr>
      <w:t xml:space="preserve"> </w:t>
    </w:r>
    <w:r>
      <w:rPr>
        <w:rStyle w:val="12"/>
        <w:rFonts w:eastAsia="Batang"/>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9BD"/>
    <w:rsid w:val="000268AC"/>
    <w:rsid w:val="000760FE"/>
    <w:rsid w:val="000A72E8"/>
    <w:rsid w:val="000B43A7"/>
    <w:rsid w:val="000C5BCE"/>
    <w:rsid w:val="0011181C"/>
    <w:rsid w:val="001336A1"/>
    <w:rsid w:val="001422B5"/>
    <w:rsid w:val="001427ED"/>
    <w:rsid w:val="001D0386"/>
    <w:rsid w:val="001F6E26"/>
    <w:rsid w:val="00207A60"/>
    <w:rsid w:val="002200F5"/>
    <w:rsid w:val="00232E7A"/>
    <w:rsid w:val="002421C0"/>
    <w:rsid w:val="00242495"/>
    <w:rsid w:val="002611A2"/>
    <w:rsid w:val="00262D06"/>
    <w:rsid w:val="00270DB2"/>
    <w:rsid w:val="00276D9F"/>
    <w:rsid w:val="002C3CD5"/>
    <w:rsid w:val="00305812"/>
    <w:rsid w:val="00320B0F"/>
    <w:rsid w:val="003433BE"/>
    <w:rsid w:val="003A13CF"/>
    <w:rsid w:val="003C06DF"/>
    <w:rsid w:val="003E325A"/>
    <w:rsid w:val="004036C2"/>
    <w:rsid w:val="00425B79"/>
    <w:rsid w:val="00427E69"/>
    <w:rsid w:val="00433087"/>
    <w:rsid w:val="00451EDA"/>
    <w:rsid w:val="00486BEF"/>
    <w:rsid w:val="00487220"/>
    <w:rsid w:val="004A099E"/>
    <w:rsid w:val="004B016C"/>
    <w:rsid w:val="004C4EEF"/>
    <w:rsid w:val="004C71D8"/>
    <w:rsid w:val="00504931"/>
    <w:rsid w:val="00517AE6"/>
    <w:rsid w:val="005840C5"/>
    <w:rsid w:val="00591655"/>
    <w:rsid w:val="005B42CE"/>
    <w:rsid w:val="005C1EAD"/>
    <w:rsid w:val="005D0315"/>
    <w:rsid w:val="005D695A"/>
    <w:rsid w:val="005F307C"/>
    <w:rsid w:val="00611B0E"/>
    <w:rsid w:val="006272BB"/>
    <w:rsid w:val="0065652B"/>
    <w:rsid w:val="006838E2"/>
    <w:rsid w:val="006840EE"/>
    <w:rsid w:val="006C749E"/>
    <w:rsid w:val="006C7F20"/>
    <w:rsid w:val="007065BA"/>
    <w:rsid w:val="00733D5E"/>
    <w:rsid w:val="007349CF"/>
    <w:rsid w:val="00761864"/>
    <w:rsid w:val="007806C9"/>
    <w:rsid w:val="007B1CCE"/>
    <w:rsid w:val="007B4A14"/>
    <w:rsid w:val="007C3B79"/>
    <w:rsid w:val="007D1A45"/>
    <w:rsid w:val="00803879"/>
    <w:rsid w:val="0080485A"/>
    <w:rsid w:val="008066FD"/>
    <w:rsid w:val="008244AC"/>
    <w:rsid w:val="00832D54"/>
    <w:rsid w:val="00864A27"/>
    <w:rsid w:val="00883214"/>
    <w:rsid w:val="008A076F"/>
    <w:rsid w:val="008B7003"/>
    <w:rsid w:val="008E3B8A"/>
    <w:rsid w:val="008F4712"/>
    <w:rsid w:val="00915E26"/>
    <w:rsid w:val="00927359"/>
    <w:rsid w:val="00950307"/>
    <w:rsid w:val="00970507"/>
    <w:rsid w:val="00983DEB"/>
    <w:rsid w:val="009D22E4"/>
    <w:rsid w:val="00A23CF5"/>
    <w:rsid w:val="00B14E83"/>
    <w:rsid w:val="00B630EA"/>
    <w:rsid w:val="00B8708F"/>
    <w:rsid w:val="00BB7BF2"/>
    <w:rsid w:val="00BC07ED"/>
    <w:rsid w:val="00BD7B8D"/>
    <w:rsid w:val="00C32303"/>
    <w:rsid w:val="00C3662E"/>
    <w:rsid w:val="00C52DAD"/>
    <w:rsid w:val="00CA1920"/>
    <w:rsid w:val="00CA4507"/>
    <w:rsid w:val="00CE7A62"/>
    <w:rsid w:val="00CF770A"/>
    <w:rsid w:val="00D07303"/>
    <w:rsid w:val="00D1042C"/>
    <w:rsid w:val="00D30798"/>
    <w:rsid w:val="00D60508"/>
    <w:rsid w:val="00D66793"/>
    <w:rsid w:val="00D84AF0"/>
    <w:rsid w:val="00DD5199"/>
    <w:rsid w:val="00E122A1"/>
    <w:rsid w:val="00E15617"/>
    <w:rsid w:val="00E54824"/>
    <w:rsid w:val="00E678C5"/>
    <w:rsid w:val="00EA01E2"/>
    <w:rsid w:val="00EA6CAE"/>
    <w:rsid w:val="00EC3107"/>
    <w:rsid w:val="00ED762C"/>
    <w:rsid w:val="00EE451C"/>
    <w:rsid w:val="00F04E09"/>
    <w:rsid w:val="00F13F05"/>
    <w:rsid w:val="00F16101"/>
    <w:rsid w:val="00F60D38"/>
    <w:rsid w:val="00F655D6"/>
    <w:rsid w:val="00F72560"/>
    <w:rsid w:val="00F772CD"/>
    <w:rsid w:val="00F7761D"/>
    <w:rsid w:val="00FD2BBB"/>
    <w:rsid w:val="01134EE4"/>
    <w:rsid w:val="01213F63"/>
    <w:rsid w:val="023A62C2"/>
    <w:rsid w:val="02574E58"/>
    <w:rsid w:val="03AA456C"/>
    <w:rsid w:val="03F044A4"/>
    <w:rsid w:val="04316937"/>
    <w:rsid w:val="04845BEF"/>
    <w:rsid w:val="04CE296F"/>
    <w:rsid w:val="050F3210"/>
    <w:rsid w:val="05F60913"/>
    <w:rsid w:val="064215B6"/>
    <w:rsid w:val="065C5F09"/>
    <w:rsid w:val="06D00D52"/>
    <w:rsid w:val="078B1A5C"/>
    <w:rsid w:val="07A27EE4"/>
    <w:rsid w:val="07BF6D6F"/>
    <w:rsid w:val="07DC66D4"/>
    <w:rsid w:val="07EA738B"/>
    <w:rsid w:val="082B54F2"/>
    <w:rsid w:val="085A3D16"/>
    <w:rsid w:val="08850AE4"/>
    <w:rsid w:val="09D31092"/>
    <w:rsid w:val="0A365F2A"/>
    <w:rsid w:val="0AF63D0D"/>
    <w:rsid w:val="0B2319E3"/>
    <w:rsid w:val="0C7E762B"/>
    <w:rsid w:val="0CEC238E"/>
    <w:rsid w:val="0D307863"/>
    <w:rsid w:val="0E2F3AEE"/>
    <w:rsid w:val="0FC45327"/>
    <w:rsid w:val="10224DC0"/>
    <w:rsid w:val="108F6CE9"/>
    <w:rsid w:val="11845B4F"/>
    <w:rsid w:val="118F5078"/>
    <w:rsid w:val="121227FB"/>
    <w:rsid w:val="1225093E"/>
    <w:rsid w:val="12282DD3"/>
    <w:rsid w:val="12673DA7"/>
    <w:rsid w:val="12D63D9A"/>
    <w:rsid w:val="137B78AD"/>
    <w:rsid w:val="13CA78A7"/>
    <w:rsid w:val="14BC61F9"/>
    <w:rsid w:val="15B3590C"/>
    <w:rsid w:val="16590317"/>
    <w:rsid w:val="168F5D56"/>
    <w:rsid w:val="177456DE"/>
    <w:rsid w:val="17FA55E1"/>
    <w:rsid w:val="18642D85"/>
    <w:rsid w:val="18797D95"/>
    <w:rsid w:val="1B98492C"/>
    <w:rsid w:val="1BA95D48"/>
    <w:rsid w:val="1C57261E"/>
    <w:rsid w:val="1D505DB3"/>
    <w:rsid w:val="1DB46454"/>
    <w:rsid w:val="1E34339B"/>
    <w:rsid w:val="1F2C5663"/>
    <w:rsid w:val="1F5245DE"/>
    <w:rsid w:val="1FF260BE"/>
    <w:rsid w:val="204F53F0"/>
    <w:rsid w:val="20783898"/>
    <w:rsid w:val="210C4503"/>
    <w:rsid w:val="21F94544"/>
    <w:rsid w:val="222A515B"/>
    <w:rsid w:val="224577B2"/>
    <w:rsid w:val="22AE2665"/>
    <w:rsid w:val="22E571F4"/>
    <w:rsid w:val="23231CE8"/>
    <w:rsid w:val="237E4DA2"/>
    <w:rsid w:val="23D75EA8"/>
    <w:rsid w:val="24246D23"/>
    <w:rsid w:val="243447D9"/>
    <w:rsid w:val="243B6634"/>
    <w:rsid w:val="2525657F"/>
    <w:rsid w:val="25472743"/>
    <w:rsid w:val="257E34DE"/>
    <w:rsid w:val="26CA7DEF"/>
    <w:rsid w:val="271104E8"/>
    <w:rsid w:val="279D4BD9"/>
    <w:rsid w:val="281F512D"/>
    <w:rsid w:val="28682BB5"/>
    <w:rsid w:val="28703D53"/>
    <w:rsid w:val="28CD7689"/>
    <w:rsid w:val="29AE1F51"/>
    <w:rsid w:val="2A42288F"/>
    <w:rsid w:val="2A422CAD"/>
    <w:rsid w:val="2B3C273F"/>
    <w:rsid w:val="2B4E7DB5"/>
    <w:rsid w:val="2C310414"/>
    <w:rsid w:val="2CE72400"/>
    <w:rsid w:val="2D630C1E"/>
    <w:rsid w:val="2E6A213C"/>
    <w:rsid w:val="308D5FBB"/>
    <w:rsid w:val="30E24DC3"/>
    <w:rsid w:val="321705B1"/>
    <w:rsid w:val="32870387"/>
    <w:rsid w:val="332F667B"/>
    <w:rsid w:val="346B0DC3"/>
    <w:rsid w:val="348900BB"/>
    <w:rsid w:val="353B7CF3"/>
    <w:rsid w:val="355F1DD4"/>
    <w:rsid w:val="35B20DAD"/>
    <w:rsid w:val="368B00A0"/>
    <w:rsid w:val="368D35F5"/>
    <w:rsid w:val="369F29B0"/>
    <w:rsid w:val="37F9222D"/>
    <w:rsid w:val="380C3FA6"/>
    <w:rsid w:val="381731A4"/>
    <w:rsid w:val="388B3A93"/>
    <w:rsid w:val="38E12839"/>
    <w:rsid w:val="39B8332B"/>
    <w:rsid w:val="39F70BE5"/>
    <w:rsid w:val="3A6B2F69"/>
    <w:rsid w:val="3B2C56E2"/>
    <w:rsid w:val="3C4833C2"/>
    <w:rsid w:val="3C8E513A"/>
    <w:rsid w:val="3D1D1F9B"/>
    <w:rsid w:val="3DB62A45"/>
    <w:rsid w:val="3DB729FE"/>
    <w:rsid w:val="3DF314ED"/>
    <w:rsid w:val="3DFC3D33"/>
    <w:rsid w:val="3EC917D2"/>
    <w:rsid w:val="3F2566D8"/>
    <w:rsid w:val="3F640B2A"/>
    <w:rsid w:val="3FB966E0"/>
    <w:rsid w:val="3FDC33D2"/>
    <w:rsid w:val="40452215"/>
    <w:rsid w:val="40705877"/>
    <w:rsid w:val="40BF1EB4"/>
    <w:rsid w:val="415B5064"/>
    <w:rsid w:val="42335F56"/>
    <w:rsid w:val="441922BB"/>
    <w:rsid w:val="445C3950"/>
    <w:rsid w:val="45452BF8"/>
    <w:rsid w:val="456C4B03"/>
    <w:rsid w:val="46DA0FB3"/>
    <w:rsid w:val="46E172BC"/>
    <w:rsid w:val="473A475E"/>
    <w:rsid w:val="482C73A2"/>
    <w:rsid w:val="4882213A"/>
    <w:rsid w:val="48C9205B"/>
    <w:rsid w:val="49AC1E90"/>
    <w:rsid w:val="49F14453"/>
    <w:rsid w:val="4A546792"/>
    <w:rsid w:val="4A996FBA"/>
    <w:rsid w:val="4B474069"/>
    <w:rsid w:val="4EA42921"/>
    <w:rsid w:val="4F7D1CEC"/>
    <w:rsid w:val="4F840028"/>
    <w:rsid w:val="50001418"/>
    <w:rsid w:val="5009385A"/>
    <w:rsid w:val="50B04ABB"/>
    <w:rsid w:val="51B71955"/>
    <w:rsid w:val="51E40A6D"/>
    <w:rsid w:val="55021BE2"/>
    <w:rsid w:val="55B65B4F"/>
    <w:rsid w:val="55EB0E50"/>
    <w:rsid w:val="55F066FA"/>
    <w:rsid w:val="56562F3F"/>
    <w:rsid w:val="57200C70"/>
    <w:rsid w:val="57EA6E55"/>
    <w:rsid w:val="58AC27D7"/>
    <w:rsid w:val="58EB0F0C"/>
    <w:rsid w:val="5AA71E0C"/>
    <w:rsid w:val="5CB326B3"/>
    <w:rsid w:val="5CF25DCE"/>
    <w:rsid w:val="5CF86931"/>
    <w:rsid w:val="5E3E27BD"/>
    <w:rsid w:val="5EEA1D63"/>
    <w:rsid w:val="5F01276A"/>
    <w:rsid w:val="5F304AB9"/>
    <w:rsid w:val="5FBD0573"/>
    <w:rsid w:val="5FE86683"/>
    <w:rsid w:val="606A16B8"/>
    <w:rsid w:val="60C31DD8"/>
    <w:rsid w:val="60C70DF5"/>
    <w:rsid w:val="61027F0E"/>
    <w:rsid w:val="616F19E4"/>
    <w:rsid w:val="61FE5633"/>
    <w:rsid w:val="62341728"/>
    <w:rsid w:val="62504BBB"/>
    <w:rsid w:val="629F62B8"/>
    <w:rsid w:val="62EC1C90"/>
    <w:rsid w:val="638554F5"/>
    <w:rsid w:val="63C1792A"/>
    <w:rsid w:val="65AC022E"/>
    <w:rsid w:val="65B449D3"/>
    <w:rsid w:val="662A6166"/>
    <w:rsid w:val="663E1BC7"/>
    <w:rsid w:val="66B83477"/>
    <w:rsid w:val="671B35FB"/>
    <w:rsid w:val="672367A4"/>
    <w:rsid w:val="682D7C21"/>
    <w:rsid w:val="68390470"/>
    <w:rsid w:val="68982419"/>
    <w:rsid w:val="68DB31EC"/>
    <w:rsid w:val="699D2E2E"/>
    <w:rsid w:val="69CA560E"/>
    <w:rsid w:val="6A2D1225"/>
    <w:rsid w:val="6A7F4F86"/>
    <w:rsid w:val="6AA71ECD"/>
    <w:rsid w:val="6B5A2B32"/>
    <w:rsid w:val="6C3C3785"/>
    <w:rsid w:val="6CD77087"/>
    <w:rsid w:val="6D870AF2"/>
    <w:rsid w:val="6D9D5C7A"/>
    <w:rsid w:val="6DC103E1"/>
    <w:rsid w:val="6DE33DDF"/>
    <w:rsid w:val="6E180B0C"/>
    <w:rsid w:val="6E3A3C39"/>
    <w:rsid w:val="6ED22BB9"/>
    <w:rsid w:val="6ED72905"/>
    <w:rsid w:val="6F2D0C12"/>
    <w:rsid w:val="6F51067A"/>
    <w:rsid w:val="6F9F0CB7"/>
    <w:rsid w:val="70403504"/>
    <w:rsid w:val="7232311F"/>
    <w:rsid w:val="72602D07"/>
    <w:rsid w:val="727A66A5"/>
    <w:rsid w:val="73FD3931"/>
    <w:rsid w:val="74AC6F50"/>
    <w:rsid w:val="750D271F"/>
    <w:rsid w:val="7513088A"/>
    <w:rsid w:val="76DB571A"/>
    <w:rsid w:val="771B41DA"/>
    <w:rsid w:val="77EE02CF"/>
    <w:rsid w:val="79DB779A"/>
    <w:rsid w:val="7A262D53"/>
    <w:rsid w:val="7A590DD7"/>
    <w:rsid w:val="7AB41A22"/>
    <w:rsid w:val="7B0F4FE1"/>
    <w:rsid w:val="7B7E270F"/>
    <w:rsid w:val="7BC03910"/>
    <w:rsid w:val="7BCC4197"/>
    <w:rsid w:val="7CE0575D"/>
    <w:rsid w:val="7CF62C49"/>
    <w:rsid w:val="7D1E328B"/>
    <w:rsid w:val="7D7F39A0"/>
    <w:rsid w:val="7E6730E6"/>
    <w:rsid w:val="7FEA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ind w:firstLine="0" w:firstLineChars="0"/>
      <w:jc w:val="center"/>
      <w:outlineLvl w:val="0"/>
    </w:pPr>
    <w:rPr>
      <w:rFonts w:ascii="Arial" w:hAnsi="Arial" w:eastAsia="黑体"/>
      <w:kern w:val="44"/>
    </w:rPr>
  </w:style>
  <w:style w:type="paragraph" w:styleId="3">
    <w:name w:val="heading 2"/>
    <w:basedOn w:val="1"/>
    <w:next w:val="1"/>
    <w:semiHidden/>
    <w:unhideWhenUsed/>
    <w:qFormat/>
    <w:uiPriority w:val="9"/>
    <w:pPr>
      <w:keepNext/>
      <w:keepLines/>
      <w:spacing w:before="50" w:beforeLines="50" w:after="50" w:afterLines="50" w:line="560" w:lineRule="exact"/>
      <w:ind w:firstLine="880" w:firstLineChars="200"/>
      <w:jc w:val="both"/>
      <w:outlineLvl w:val="1"/>
    </w:pPr>
    <w:rPr>
      <w:rFonts w:ascii="Arial" w:hAnsi="Arial"/>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unhideWhenUsed/>
    <w:qFormat/>
    <w:uiPriority w:val="99"/>
    <w:pPr>
      <w:widowControl w:val="0"/>
      <w:spacing w:after="120"/>
      <w:ind w:firstLine="420" w:firstLineChars="100"/>
      <w:jc w:val="both"/>
    </w:pPr>
    <w:rPr>
      <w:rFonts w:ascii="Times New Roman" w:hAnsi="Times New Roman" w:eastAsia="仿宋_GB2312" w:cs="Times New Roman"/>
      <w:kern w:val="2"/>
      <w:sz w:val="32"/>
      <w:szCs w:val="24"/>
      <w:lang w:val="en-US" w:eastAsia="zh-CN" w:bidi="ar-SA"/>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fontstyle01"/>
    <w:basedOn w:val="11"/>
    <w:qFormat/>
    <w:uiPriority w:val="0"/>
    <w:rPr>
      <w:rFonts w:hint="eastAsia" w:ascii="仿宋_GB2312" w:eastAsia="仿宋_GB2312"/>
      <w:color w:val="000000"/>
      <w:sz w:val="32"/>
      <w:szCs w:val="32"/>
    </w:rPr>
  </w:style>
  <w:style w:type="character" w:customStyle="1" w:styleId="18">
    <w:name w:val="日期 Char"/>
    <w:basedOn w:val="11"/>
    <w:link w:val="4"/>
    <w:semiHidden/>
    <w:qFormat/>
    <w:uiPriority w:val="99"/>
  </w:style>
  <w:style w:type="character" w:customStyle="1" w:styleId="19">
    <w:name w:val="fontstyle11"/>
    <w:basedOn w:val="11"/>
    <w:qFormat/>
    <w:uiPriority w:val="0"/>
    <w:rPr>
      <w:rFonts w:hint="eastAsia" w:ascii="仿宋_GB2312" w:eastAsia="仿宋_GB2312"/>
      <w:color w:val="000000"/>
      <w:sz w:val="36"/>
      <w:szCs w:val="36"/>
    </w:rPr>
  </w:style>
  <w:style w:type="character" w:customStyle="1" w:styleId="20">
    <w:name w:val="fontstyle31"/>
    <w:basedOn w:val="11"/>
    <w:qFormat/>
    <w:uiPriority w:val="0"/>
    <w:rPr>
      <w:rFonts w:hint="default" w:ascii="FZXBSJW--GB1-0" w:hAnsi="FZXBSJW--GB1-0"/>
      <w:color w:val="000000"/>
      <w:sz w:val="44"/>
      <w:szCs w:val="44"/>
    </w:rPr>
  </w:style>
  <w:style w:type="character" w:customStyle="1" w:styleId="21">
    <w:name w:val="fontstyle51"/>
    <w:basedOn w:val="11"/>
    <w:qFormat/>
    <w:uiPriority w:val="0"/>
    <w:rPr>
      <w:rFonts w:hint="eastAsia" w:ascii="黑体" w:hAnsi="黑体" w:eastAsia="黑体"/>
      <w:color w:val="000000"/>
      <w:sz w:val="32"/>
      <w:szCs w:val="32"/>
    </w:rPr>
  </w:style>
  <w:style w:type="character" w:customStyle="1" w:styleId="22">
    <w:name w:val="fontstyle61"/>
    <w:basedOn w:val="11"/>
    <w:qFormat/>
    <w:uiPriority w:val="0"/>
    <w:rPr>
      <w:rFonts w:hint="eastAsia" w:ascii="楷体_GB2312" w:eastAsia="楷体_GB2312"/>
      <w:color w:val="000000"/>
      <w:sz w:val="32"/>
      <w:szCs w:val="3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538</Words>
  <Characters>3071</Characters>
  <Lines>25</Lines>
  <Paragraphs>7</Paragraphs>
  <TotalTime>1</TotalTime>
  <ScaleCrop>false</ScaleCrop>
  <LinksUpToDate>false</LinksUpToDate>
  <CharactersWithSpaces>3602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2018-12-28T15:23:00Z</dcterms:created>
  <dc:creator>黄晓晓</dc:creator>
  <cp:lastModifiedBy>hauwei</cp:lastModifiedBy>
  <cp:lastPrinted>2021-07-29T14:24:00Z</cp:lastPrinted>
  <dcterms:modified xsi:type="dcterms:W3CDTF">2023-08-23T11:28:51Z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