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rPr>
          <w:rFonts w:hint="eastAsia" w:ascii="黑体" w:eastAsia="黑体"/>
          <w:color w:val="auto"/>
          <w:sz w:val="32"/>
          <w:szCs w:val="32"/>
          <w:highlight w:val="none"/>
        </w:rPr>
      </w:pPr>
    </w:p>
    <w:p>
      <w:pPr>
        <w:spacing w:beforeLines="0" w:afterLines="0" w:line="560" w:lineRule="exact"/>
        <w:jc w:val="center"/>
        <w:rPr>
          <w:rFonts w:hint="eastAsia" w:ascii="黑体" w:hAnsi="黑体" w:eastAsia="黑体" w:cs="黑体"/>
          <w:color w:val="auto"/>
          <w:sz w:val="32"/>
          <w:szCs w:val="32"/>
          <w:highlight w:val="none"/>
          <w:lang w:eastAsia="zh-CN"/>
        </w:rPr>
      </w:pPr>
      <w:r>
        <w:rPr>
          <w:rFonts w:hint="eastAsia" w:ascii="黑体" w:eastAsia="黑体"/>
          <w:color w:val="auto"/>
          <w:sz w:val="32"/>
          <w:szCs w:val="32"/>
          <w:highlight w:val="none"/>
        </w:rPr>
        <w:t>南山区促进产业高质量发展专项资</w:t>
      </w:r>
      <w:r>
        <w:rPr>
          <w:rFonts w:hint="eastAsia" w:ascii="黑体" w:hAnsi="黑体" w:eastAsia="黑体" w:cs="黑体"/>
          <w:color w:val="auto"/>
          <w:sz w:val="32"/>
          <w:szCs w:val="32"/>
          <w:highlight w:val="none"/>
        </w:rPr>
        <w:t>金</w:t>
      </w:r>
      <w:r>
        <w:rPr>
          <w:rFonts w:hint="eastAsia" w:ascii="黑体" w:hAnsi="黑体" w:eastAsia="黑体" w:cs="黑体"/>
          <w:color w:val="auto"/>
          <w:sz w:val="32"/>
          <w:szCs w:val="32"/>
          <w:highlight w:val="none"/>
          <w:lang w:eastAsia="zh-CN"/>
        </w:rPr>
        <w:t>——区工业和信息化局</w:t>
      </w:r>
    </w:p>
    <w:p>
      <w:pPr>
        <w:spacing w:beforeLines="0" w:afterLines="0" w:line="560" w:lineRule="exact"/>
        <w:jc w:val="center"/>
        <w:rPr>
          <w:rFonts w:hint="eastAsia" w:ascii="黑体" w:eastAsia="黑体"/>
          <w:color w:val="auto"/>
          <w:sz w:val="32"/>
          <w:szCs w:val="32"/>
          <w:highlight w:val="none"/>
          <w:lang w:eastAsia="zh-CN"/>
        </w:rPr>
      </w:pPr>
      <w:r>
        <w:rPr>
          <w:rFonts w:hint="eastAsia" w:ascii="黑体" w:hAnsi="黑体" w:eastAsia="黑体" w:cs="黑体"/>
          <w:color w:val="auto"/>
          <w:sz w:val="32"/>
          <w:szCs w:val="32"/>
          <w:highlight w:val="none"/>
          <w:lang w:eastAsia="zh-CN"/>
        </w:rPr>
        <w:t>分项资金</w:t>
      </w:r>
      <w:r>
        <w:rPr>
          <w:rFonts w:hint="eastAsia" w:ascii="黑体" w:hAnsi="黑体" w:eastAsia="黑体" w:cs="黑体"/>
          <w:color w:val="auto"/>
          <w:sz w:val="32"/>
          <w:szCs w:val="32"/>
          <w:highlight w:val="none"/>
          <w:lang w:val="en-US" w:eastAsia="zh-CN"/>
        </w:rPr>
        <w:t>-</w:t>
      </w:r>
      <w:r>
        <w:rPr>
          <w:rFonts w:hint="eastAsia" w:ascii="黑体" w:hAnsi="黑体" w:eastAsia="黑体" w:cs="黑体"/>
          <w:color w:val="auto"/>
          <w:sz w:val="32"/>
          <w:szCs w:val="32"/>
          <w:highlight w:val="none"/>
          <w:lang w:eastAsia="zh-CN"/>
        </w:rPr>
        <w:t>风投创投机构落户</w:t>
      </w:r>
      <w:r>
        <w:rPr>
          <w:rFonts w:hint="eastAsia" w:ascii="黑体" w:eastAsia="黑体"/>
          <w:color w:val="auto"/>
          <w:sz w:val="32"/>
          <w:szCs w:val="32"/>
          <w:highlight w:val="none"/>
        </w:rPr>
        <w:t>奖励项目</w:t>
      </w:r>
      <w:r>
        <w:rPr>
          <w:rFonts w:hint="eastAsia" w:ascii="黑体" w:eastAsia="黑体"/>
          <w:color w:val="auto"/>
          <w:sz w:val="32"/>
          <w:szCs w:val="32"/>
          <w:highlight w:val="none"/>
          <w:lang w:eastAsia="zh-CN"/>
        </w:rPr>
        <w:t>操作规程（</w:t>
      </w:r>
      <w:r>
        <w:rPr>
          <w:rFonts w:hint="default" w:ascii="黑体" w:eastAsia="黑体"/>
          <w:color w:val="auto"/>
          <w:sz w:val="32"/>
          <w:szCs w:val="32"/>
          <w:highlight w:val="none"/>
          <w:lang w:val="en-US" w:eastAsia="zh-CN"/>
        </w:rPr>
        <w:t>20</w:t>
      </w:r>
      <w:r>
        <w:rPr>
          <w:rFonts w:hint="eastAsia" w:ascii="黑体" w:eastAsia="黑体"/>
          <w:color w:val="auto"/>
          <w:sz w:val="32"/>
          <w:szCs w:val="32"/>
          <w:highlight w:val="none"/>
          <w:lang w:val="en-US" w:eastAsia="zh-CN"/>
        </w:rPr>
        <w:t>23年度</w:t>
      </w:r>
      <w:r>
        <w:rPr>
          <w:rFonts w:hint="eastAsia" w:ascii="黑体" w:eastAsia="黑体"/>
          <w:color w:val="auto"/>
          <w:sz w:val="32"/>
          <w:szCs w:val="32"/>
          <w:highlight w:val="none"/>
          <w:lang w:eastAsia="zh-CN"/>
        </w:rPr>
        <w:t>）</w:t>
      </w:r>
    </w:p>
    <w:p>
      <w:pPr>
        <w:spacing w:beforeLines="0" w:afterLines="0" w:line="560" w:lineRule="exact"/>
        <w:jc w:val="center"/>
        <w:rPr>
          <w:rFonts w:hint="eastAsia" w:ascii="黑体" w:eastAsia="黑体"/>
          <w:color w:val="auto"/>
          <w:sz w:val="32"/>
          <w:szCs w:val="32"/>
          <w:highlight w:val="none"/>
        </w:rPr>
      </w:pPr>
    </w:p>
    <w:p>
      <w:pPr>
        <w:widowControl/>
        <w:spacing w:beforeLines="0" w:afterLines="0" w:line="56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为促进南山区经济发展方式转变，推动产业结构优化升级，抢抓粤港澳大湾区和深圳先行示范区“双区”建设机遇，实现南山建成世界级创新型滨海中心城区的目标，根据《南山区促进产业高质量发展专项资金管理办法》及《南山区促进风投创投产业发展专项扶持措施》，制定本</w:t>
      </w:r>
      <w:r>
        <w:rPr>
          <w:rFonts w:hint="eastAsia" w:ascii="仿宋_GB2312" w:eastAsia="仿宋_GB2312"/>
          <w:color w:val="auto"/>
          <w:sz w:val="32"/>
          <w:szCs w:val="32"/>
          <w:highlight w:val="none"/>
          <w:lang w:eastAsia="zh-CN"/>
        </w:rPr>
        <w:t>操作规程</w:t>
      </w:r>
      <w:r>
        <w:rPr>
          <w:rFonts w:hint="eastAsia" w:ascii="仿宋_GB2312" w:eastAsia="仿宋_GB2312"/>
          <w:color w:val="auto"/>
          <w:sz w:val="32"/>
          <w:szCs w:val="32"/>
          <w:highlight w:val="none"/>
        </w:rPr>
        <w:t>。</w:t>
      </w:r>
    </w:p>
    <w:p>
      <w:pPr>
        <w:widowControl/>
        <w:spacing w:beforeLines="0" w:afterLines="0" w:line="560" w:lineRule="exact"/>
        <w:ind w:firstLine="627" w:firstLineChars="196"/>
        <w:rPr>
          <w:rFonts w:hint="eastAsia" w:ascii="黑体" w:eastAsia="黑体"/>
          <w:color w:val="auto"/>
          <w:sz w:val="32"/>
          <w:szCs w:val="32"/>
          <w:highlight w:val="none"/>
        </w:rPr>
      </w:pPr>
      <w:r>
        <w:rPr>
          <w:rFonts w:hint="eastAsia" w:ascii="黑体" w:eastAsia="黑体"/>
          <w:color w:val="auto"/>
          <w:sz w:val="32"/>
          <w:szCs w:val="32"/>
          <w:highlight w:val="none"/>
        </w:rPr>
        <w:t>一、政策内容</w:t>
      </w:r>
    </w:p>
    <w:p>
      <w:pPr>
        <w:autoSpaceDN w:val="0"/>
        <w:spacing w:beforeLines="0" w:afterLines="0" w:line="560" w:lineRule="exact"/>
        <w:ind w:firstLine="640" w:firstLineChars="200"/>
        <w:rPr>
          <w:rFonts w:hint="eastAsia" w:ascii="仿宋_GB2312" w:hAnsi="黑体" w:eastAsia="仿宋_GB2312"/>
          <w:b w:val="0"/>
          <w:bCs/>
          <w:color w:val="auto"/>
          <w:sz w:val="32"/>
          <w:highlight w:val="none"/>
        </w:rPr>
      </w:pPr>
      <w:r>
        <w:rPr>
          <w:rFonts w:hint="eastAsia" w:ascii="仿宋_GB2312" w:hAnsi="黑体" w:eastAsia="仿宋_GB2312"/>
          <w:b w:val="0"/>
          <w:bCs/>
          <w:color w:val="auto"/>
          <w:sz w:val="32"/>
          <w:highlight w:val="none"/>
          <w:lang w:val="en-US" w:eastAsia="zh-CN"/>
        </w:rPr>
        <w:t>对新引进的实际管理规模超</w:t>
      </w:r>
      <w:r>
        <w:rPr>
          <w:rFonts w:hint="eastAsia" w:ascii="仿宋_GB2312" w:hAnsi="仿宋_GB2312" w:eastAsia="仿宋_GB2312" w:cs="仿宋_GB2312"/>
          <w:b w:val="0"/>
          <w:bCs w:val="0"/>
          <w:color w:val="auto"/>
          <w:sz w:val="32"/>
          <w:szCs w:val="32"/>
          <w:highlight w:val="none"/>
          <w:lang w:val="en-US" w:eastAsia="zh-CN"/>
        </w:rPr>
        <w:t>过5亿元的</w:t>
      </w:r>
      <w:r>
        <w:rPr>
          <w:rFonts w:hint="eastAsia" w:ascii="仿宋_GB2312" w:hAnsi="黑体" w:eastAsia="仿宋_GB2312"/>
          <w:b w:val="0"/>
          <w:bCs/>
          <w:color w:val="auto"/>
          <w:sz w:val="32"/>
          <w:highlight w:val="none"/>
          <w:lang w:val="en-US" w:eastAsia="zh-CN"/>
        </w:rPr>
        <w:t>风投创投机构，且托管在南山区金融机构的，最高按照实缴规模的1%，给予最高5000万元落户奖励；对落户西丽湖国际科教城的，实际管理规模超过1亿元且托管在南山区金融机构的，最高按照实缴资金规模的2%，给予最高1亿元落户奖励。</w:t>
      </w:r>
    </w:p>
    <w:p>
      <w:pPr>
        <w:widowControl/>
        <w:spacing w:beforeLines="0" w:afterLines="0" w:line="56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rPr>
        <w:t>二、资助方式</w:t>
      </w:r>
    </w:p>
    <w:p>
      <w:pPr>
        <w:widowControl/>
        <w:spacing w:beforeLines="0" w:afterLines="0" w:line="56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本项资助属于核准类项目，奖励资金的安排使用坚持公平、公开、公正的原则，实行自愿申报、科学决策和绩效评估的管理制度，采取无偿资助方式和事后补贴制，受资助项目无需验收。</w:t>
      </w:r>
    </w:p>
    <w:p>
      <w:pPr>
        <w:widowControl/>
        <w:spacing w:beforeLines="0" w:afterLines="0" w:line="560" w:lineRule="exact"/>
        <w:ind w:firstLine="627" w:firstLineChars="196"/>
        <w:rPr>
          <w:rFonts w:hint="eastAsia" w:ascii="黑体" w:eastAsia="黑体"/>
          <w:color w:val="auto"/>
          <w:sz w:val="32"/>
          <w:szCs w:val="32"/>
          <w:highlight w:val="none"/>
        </w:rPr>
      </w:pPr>
      <w:r>
        <w:rPr>
          <w:rFonts w:hint="eastAsia" w:ascii="黑体" w:eastAsia="黑体"/>
          <w:color w:val="auto"/>
          <w:sz w:val="32"/>
          <w:szCs w:val="32"/>
          <w:highlight w:val="none"/>
        </w:rPr>
        <w:t>三、资助标准</w:t>
      </w:r>
    </w:p>
    <w:p>
      <w:pPr>
        <w:spacing w:beforeLines="0" w:afterLines="0"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（一）对于</w:t>
      </w:r>
      <w:r>
        <w:rPr>
          <w:rFonts w:hint="eastAsia" w:ascii="仿宋_GB2312" w:eastAsia="仿宋_GB2312"/>
          <w:color w:val="auto"/>
          <w:sz w:val="32"/>
          <w:szCs w:val="32"/>
          <w:highlight w:val="none"/>
          <w:lang w:val="en-US" w:eastAsia="zh-CN"/>
        </w:rPr>
        <w:t>2022年11月29日后</w:t>
      </w:r>
      <w:r>
        <w:rPr>
          <w:rFonts w:hint="eastAsia" w:ascii="仿宋_GB2312" w:eastAsia="仿宋_GB2312" w:cs="Times New Roman"/>
          <w:color w:val="auto"/>
          <w:sz w:val="32"/>
          <w:szCs w:val="32"/>
          <w:highlight w:val="none"/>
          <w:lang w:val="en-US" w:eastAsia="zh-CN"/>
        </w:rPr>
        <w:t>新</w:t>
      </w:r>
      <w:r>
        <w:rPr>
          <w:rFonts w:hint="eastAsia" w:ascii="仿宋_GB2312" w:hAnsi="Times New Roman" w:eastAsia="仿宋_GB2312" w:cs="Times New Roman"/>
          <w:color w:val="auto"/>
          <w:sz w:val="32"/>
          <w:szCs w:val="32"/>
          <w:highlight w:val="none"/>
          <w:lang w:val="en-US" w:eastAsia="zh-CN"/>
        </w:rPr>
        <w:t>落户南山区的公司制基金</w:t>
      </w:r>
    </w:p>
    <w:p>
      <w:pPr>
        <w:spacing w:beforeLines="0" w:afterLines="0"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对2022年11月29日至上年度末新</w:t>
      </w:r>
      <w:r>
        <w:rPr>
          <w:rFonts w:hint="default" w:ascii="仿宋_GB2312" w:eastAsia="仿宋_GB2312"/>
          <w:color w:val="auto"/>
          <w:sz w:val="32"/>
          <w:szCs w:val="32"/>
          <w:highlight w:val="none"/>
          <w:lang w:eastAsia="zh-CN"/>
        </w:rPr>
        <w:t>注册</w:t>
      </w:r>
      <w:r>
        <w:rPr>
          <w:rFonts w:hint="eastAsia" w:ascii="仿宋_GB2312" w:eastAsia="仿宋_GB2312"/>
          <w:color w:val="auto"/>
          <w:sz w:val="32"/>
          <w:szCs w:val="32"/>
          <w:highlight w:val="none"/>
          <w:lang w:val="en-US" w:eastAsia="zh-CN"/>
        </w:rPr>
        <w:t>，认缴规模100亿元以上的公司制基金，根据其上年度实缴规模的1</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color w:val="auto"/>
          <w:sz w:val="32"/>
          <w:szCs w:val="32"/>
          <w:highlight w:val="none"/>
          <w:lang w:val="en-US" w:eastAsia="zh-CN"/>
        </w:rPr>
        <w:t>，对基金公司给予累计最高5000万元奖励（注册地位于西丽湖国际科教城的，给予累计最高1亿元）</w:t>
      </w:r>
      <w:r>
        <w:rPr>
          <w:rFonts w:hint="default"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该期间新迁入南山区的，以其上年度末实际管理规模进行核算。</w:t>
      </w:r>
    </w:p>
    <w:p>
      <w:pPr>
        <w:spacing w:beforeLines="0" w:afterLines="0"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（二）对于</w:t>
      </w:r>
      <w:r>
        <w:rPr>
          <w:rFonts w:hint="eastAsia" w:ascii="仿宋_GB2312" w:eastAsia="仿宋_GB2312"/>
          <w:color w:val="auto"/>
          <w:sz w:val="32"/>
          <w:szCs w:val="32"/>
          <w:highlight w:val="none"/>
          <w:lang w:val="en-US" w:eastAsia="zh-CN"/>
        </w:rPr>
        <w:t>2022年11月29日后</w:t>
      </w:r>
      <w:r>
        <w:rPr>
          <w:rFonts w:hint="eastAsia" w:ascii="仿宋_GB2312" w:hAnsi="Times New Roman" w:eastAsia="仿宋_GB2312" w:cs="Times New Roman"/>
          <w:color w:val="auto"/>
          <w:sz w:val="32"/>
          <w:szCs w:val="32"/>
          <w:highlight w:val="none"/>
          <w:lang w:val="en-US" w:eastAsia="zh-CN"/>
        </w:rPr>
        <w:t>新</w:t>
      </w:r>
      <w:r>
        <w:rPr>
          <w:rFonts w:hint="eastAsia" w:ascii="仿宋_GB2312" w:eastAsia="仿宋_GB2312" w:cs="Times New Roman"/>
          <w:color w:val="auto"/>
          <w:sz w:val="32"/>
          <w:szCs w:val="32"/>
          <w:highlight w:val="none"/>
          <w:lang w:val="en-US" w:eastAsia="zh-CN"/>
        </w:rPr>
        <w:t>落户南山区</w:t>
      </w:r>
      <w:r>
        <w:rPr>
          <w:rFonts w:hint="eastAsia" w:ascii="仿宋_GB2312" w:hAnsi="Times New Roman" w:eastAsia="仿宋_GB2312" w:cs="Times New Roman"/>
          <w:color w:val="auto"/>
          <w:sz w:val="32"/>
          <w:szCs w:val="32"/>
          <w:highlight w:val="none"/>
          <w:lang w:val="en-US" w:eastAsia="zh-CN"/>
        </w:rPr>
        <w:t>的私募股权（创业）投资管理企业</w:t>
      </w:r>
    </w:p>
    <w:p>
      <w:pPr>
        <w:spacing w:beforeLines="0" w:afterLines="0" w:line="560" w:lineRule="exact"/>
        <w:ind w:firstLine="640" w:firstLineChars="200"/>
        <w:jc w:val="both"/>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1.对清科2022年中国早期投资机构30强机构、</w:t>
      </w:r>
      <w:r>
        <w:rPr>
          <w:rFonts w:hint="eastAsia" w:ascii="仿宋_GB2312" w:hAnsi="仿宋_GB2312" w:eastAsia="仿宋_GB2312" w:cs="仿宋_GB2312"/>
          <w:color w:val="auto"/>
          <w:sz w:val="32"/>
          <w:szCs w:val="32"/>
          <w:highlight w:val="none"/>
          <w:lang w:val="en-US" w:eastAsia="zh-CN"/>
        </w:rPr>
        <w:t>南山区纳统企业及上市企业成立的产业投资（CVC）机构</w:t>
      </w:r>
      <w:r>
        <w:rPr>
          <w:rFonts w:hint="eastAsia" w:ascii="仿宋_GB2312" w:eastAsia="仿宋_GB2312"/>
          <w:color w:val="auto"/>
          <w:sz w:val="32"/>
          <w:szCs w:val="32"/>
          <w:highlight w:val="none"/>
          <w:lang w:val="en-US" w:eastAsia="zh-CN"/>
        </w:rPr>
        <w:t>，近三年（2020年1月1日-2022年12月31日）新增实际管理规模5亿元（含）（注册地位于西丽湖国际科教城的，新增实际管理规模1亿元（含））以上的，根据其2022年11月29日以来新落户南山区的基金上年度实缴规模的1%给予奖励，每家管理企业累计最高奖励2000万元。</w:t>
      </w:r>
    </w:p>
    <w:p>
      <w:pPr>
        <w:spacing w:beforeLines="0" w:afterLines="0" w:line="560" w:lineRule="exact"/>
        <w:ind w:firstLine="640" w:firstLineChars="200"/>
        <w:jc w:val="both"/>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对清科2022年中国创业投资机构榜单前50强机构以及行业细分投资机构奖项榜单机构，近三年（2020年1月1日-2022年12月31日）新增实际管理规模5亿元（含）以上的，根据其2022年11月29日以来新落户南山区的基金上年度实缴规模的5</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color w:val="auto"/>
          <w:sz w:val="32"/>
          <w:szCs w:val="32"/>
          <w:highlight w:val="none"/>
          <w:lang w:val="en-US" w:eastAsia="zh-CN"/>
        </w:rPr>
        <w:t>给予奖励，每家管理企业累计最高5000万元。</w:t>
      </w:r>
    </w:p>
    <w:p>
      <w:pPr>
        <w:spacing w:beforeLines="0" w:afterLines="0" w:line="560" w:lineRule="exact"/>
        <w:ind w:firstLine="640" w:firstLineChars="200"/>
        <w:jc w:val="both"/>
        <w:rPr>
          <w:rFonts w:hint="eastAsia" w:ascii="仿宋_GB2312" w:eastAsia="仿宋_GB2312"/>
          <w:color w:val="auto"/>
          <w:kern w:val="2"/>
          <w:sz w:val="32"/>
          <w:szCs w:val="32"/>
          <w:highlight w:val="none"/>
          <w:lang w:val="en-US" w:eastAsia="zh-CN"/>
        </w:rPr>
      </w:pPr>
      <w:r>
        <w:rPr>
          <w:rFonts w:hint="eastAsia" w:ascii="仿宋_GB2312" w:eastAsia="仿宋_GB2312"/>
          <w:color w:val="auto"/>
          <w:kern w:val="2"/>
          <w:sz w:val="32"/>
          <w:szCs w:val="32"/>
          <w:highlight w:val="none"/>
          <w:lang w:val="en-US" w:eastAsia="zh-CN"/>
        </w:rPr>
        <w:t>3.对清科2022年中国创业投资机构榜单第50名（不含）以后的机构</w:t>
      </w:r>
      <w:r>
        <w:rPr>
          <w:rFonts w:hint="eastAsia" w:ascii="仿宋_GB2312" w:eastAsia="仿宋_GB2312"/>
          <w:color w:val="auto"/>
          <w:sz w:val="32"/>
          <w:szCs w:val="32"/>
          <w:highlight w:val="none"/>
          <w:lang w:val="en-US" w:eastAsia="zh-CN"/>
        </w:rPr>
        <w:t>，</w:t>
      </w:r>
      <w:r>
        <w:rPr>
          <w:rFonts w:hint="eastAsia" w:ascii="仿宋_GB2312" w:eastAsia="仿宋_GB2312"/>
          <w:color w:val="auto"/>
          <w:kern w:val="2"/>
          <w:sz w:val="32"/>
          <w:szCs w:val="32"/>
          <w:highlight w:val="none"/>
          <w:lang w:val="en-US" w:eastAsia="zh-CN"/>
        </w:rPr>
        <w:t>近三年（2020年1月1日-2022年12月31日）新增实际管理规模5亿元（含）以上的，</w:t>
      </w:r>
      <w:r>
        <w:rPr>
          <w:rFonts w:hint="eastAsia" w:ascii="仿宋_GB2312" w:eastAsia="仿宋_GB2312"/>
          <w:color w:val="auto"/>
          <w:sz w:val="32"/>
          <w:szCs w:val="32"/>
          <w:highlight w:val="none"/>
          <w:lang w:val="en-US" w:eastAsia="zh-CN"/>
        </w:rPr>
        <w:t>根据其2022年11月29日以来新落户南山区的基金上年度实缴规模</w:t>
      </w:r>
      <w:r>
        <w:rPr>
          <w:rFonts w:hint="eastAsia" w:ascii="仿宋_GB2312" w:eastAsia="仿宋_GB2312"/>
          <w:color w:val="auto"/>
          <w:kern w:val="2"/>
          <w:sz w:val="32"/>
          <w:szCs w:val="32"/>
          <w:highlight w:val="none"/>
          <w:lang w:val="en-US" w:eastAsia="zh-CN"/>
        </w:rPr>
        <w:t>的2‰给予奖励，每家管理企业累计最高5000万元。</w:t>
      </w:r>
    </w:p>
    <w:p>
      <w:pPr>
        <w:pStyle w:val="2"/>
        <w:jc w:val="both"/>
        <w:rPr>
          <w:rFonts w:hint="eastAsia"/>
          <w:lang w:val="en-US" w:eastAsia="zh-CN"/>
        </w:rPr>
      </w:pPr>
      <w:r>
        <w:rPr>
          <w:rFonts w:hint="eastAsia" w:ascii="仿宋_GB2312" w:eastAsia="仿宋_GB2312"/>
          <w:color w:val="auto"/>
          <w:kern w:val="2"/>
          <w:sz w:val="32"/>
          <w:szCs w:val="32"/>
          <w:highlight w:val="none"/>
          <w:lang w:val="en-US" w:eastAsia="zh-CN"/>
        </w:rPr>
        <w:t xml:space="preserve">    4.对清科2022年</w:t>
      </w:r>
      <w:r>
        <w:rPr>
          <w:rFonts w:hint="eastAsia" w:ascii="仿宋_GB2312" w:eastAsia="仿宋_GB2312"/>
          <w:color w:val="auto"/>
          <w:sz w:val="32"/>
          <w:szCs w:val="32"/>
          <w:highlight w:val="none"/>
          <w:lang w:val="en-US" w:eastAsia="zh-CN"/>
        </w:rPr>
        <w:t>私募股权投资机构榜单前50强机构，</w:t>
      </w:r>
      <w:r>
        <w:rPr>
          <w:rFonts w:hint="eastAsia" w:ascii="仿宋_GB2312" w:eastAsia="仿宋_GB2312"/>
          <w:color w:val="auto"/>
          <w:kern w:val="2"/>
          <w:sz w:val="32"/>
          <w:szCs w:val="32"/>
          <w:highlight w:val="none"/>
          <w:lang w:val="en-US" w:eastAsia="zh-CN"/>
        </w:rPr>
        <w:t>近三年（2020年1月1日-2022年12月31日）新增实际管理规模10亿元（含）以上的，</w:t>
      </w:r>
      <w:r>
        <w:rPr>
          <w:rFonts w:hint="eastAsia" w:ascii="仿宋_GB2312" w:eastAsia="仿宋_GB2312"/>
          <w:color w:val="auto"/>
          <w:sz w:val="32"/>
          <w:szCs w:val="32"/>
          <w:highlight w:val="none"/>
          <w:lang w:val="en-US" w:eastAsia="zh-CN"/>
        </w:rPr>
        <w:t>根据其2022年11月29日以来新落户南山区的基金上年度实缴规模</w:t>
      </w:r>
      <w:r>
        <w:rPr>
          <w:rFonts w:hint="eastAsia" w:ascii="仿宋_GB2312" w:eastAsia="仿宋_GB2312"/>
          <w:color w:val="auto"/>
          <w:kern w:val="2"/>
          <w:sz w:val="32"/>
          <w:szCs w:val="32"/>
          <w:highlight w:val="none"/>
          <w:lang w:val="en-US" w:eastAsia="zh-CN"/>
        </w:rPr>
        <w:t>的2‰给予奖励，每家管理企业累计最高5000万元。</w:t>
      </w:r>
    </w:p>
    <w:p>
      <w:pPr>
        <w:spacing w:beforeLines="0" w:afterLines="0"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kern w:val="2"/>
          <w:sz w:val="32"/>
          <w:szCs w:val="32"/>
          <w:highlight w:val="none"/>
          <w:lang w:val="en-US" w:eastAsia="zh-CN"/>
        </w:rPr>
        <w:t>5</w:t>
      </w:r>
      <w:r>
        <w:rPr>
          <w:rFonts w:hint="eastAsia" w:ascii="仿宋_GB2312" w:eastAsia="仿宋_GB2312"/>
          <w:color w:val="auto"/>
          <w:sz w:val="32"/>
          <w:szCs w:val="32"/>
          <w:highlight w:val="none"/>
          <w:lang w:val="en-US" w:eastAsia="zh-CN"/>
        </w:rPr>
        <w:t>.对不符合本资助标准第1-4条的机构，近三年（2020年1月1日-2022年12月31日）新增实际管理规模5亿元（含）以上的，根据其2022年11月29日以来新落户南山区的基金上年度实缴规模的1‰给予奖励，</w:t>
      </w:r>
      <w:r>
        <w:rPr>
          <w:rFonts w:hint="eastAsia" w:ascii="仿宋_GB2312" w:hAnsi="仿宋_GB2312" w:eastAsia="仿宋_GB2312" w:cs="仿宋_GB2312"/>
          <w:color w:val="auto"/>
          <w:sz w:val="32"/>
          <w:szCs w:val="32"/>
          <w:highlight w:val="none"/>
          <w:lang w:val="en-US" w:eastAsia="zh-CN"/>
        </w:rPr>
        <w:t>每家管理企业累计</w:t>
      </w:r>
      <w:r>
        <w:rPr>
          <w:rFonts w:hint="eastAsia" w:ascii="仿宋_GB2312" w:eastAsia="仿宋_GB2312"/>
          <w:color w:val="auto"/>
          <w:sz w:val="32"/>
          <w:szCs w:val="32"/>
          <w:highlight w:val="none"/>
          <w:lang w:val="en-US" w:eastAsia="zh-CN"/>
        </w:rPr>
        <w:t>最高1000万元。</w:t>
      </w:r>
    </w:p>
    <w:p>
      <w:pPr>
        <w:spacing w:beforeLines="0" w:afterLines="0"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6.对符合本资助标准第1-3条规定，且注册地位于西丽湖国际科教城的，按照相应条款规定资助比例的2倍予以奖励，上限不变。</w:t>
      </w:r>
    </w:p>
    <w:p>
      <w:pPr>
        <w:spacing w:beforeLines="0" w:afterLines="0"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（三）</w:t>
      </w:r>
      <w:r>
        <w:rPr>
          <w:rFonts w:hint="eastAsia" w:ascii="仿宋_GB2312" w:eastAsia="仿宋_GB2312"/>
          <w:color w:val="auto"/>
          <w:sz w:val="32"/>
          <w:szCs w:val="32"/>
          <w:highlight w:val="none"/>
          <w:lang w:val="en-US" w:eastAsia="zh-CN"/>
        </w:rPr>
        <w:t>参与申报的基金合伙人中存在非南山区注册企业的，扶持资金根据其南山区公司制合伙人及自然人合伙人合计出资比例予以支持。</w:t>
      </w:r>
    </w:p>
    <w:p>
      <w:pPr>
        <w:spacing w:beforeLines="0" w:afterLines="0"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计算方式如下：</w:t>
      </w:r>
    </w:p>
    <w:p>
      <w:pPr>
        <w:spacing w:beforeLines="0" w:afterLines="0"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资助金额=上年度在南山区实缴规模*所在档次资助比例*50%+上年度在南山区实缴规模*所在档次资助比例*50%*（南山区公司制合伙人实缴规模+自然人合伙人实缴规模）/上年度在南山区实缴规模</w:t>
      </w:r>
    </w:p>
    <w:p>
      <w:pPr>
        <w:spacing w:beforeLines="0" w:afterLines="0"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lang w:val="en-US" w:eastAsia="zh-CN"/>
        </w:rPr>
        <w:t>）参与申报的基金获得南山区引导基金出资的，需剔除南山区引导基金出资部分予以奖励。</w:t>
      </w:r>
    </w:p>
    <w:p>
      <w:pPr>
        <w:spacing w:beforeLines="0" w:afterLines="0"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（五）参与申报的基金如有母基金出资，且该母基金获得过该项目奖励，需剔除其母基金出资部分予以奖励。</w:t>
      </w:r>
    </w:p>
    <w:p>
      <w:pPr>
        <w:spacing w:beforeLines="0" w:afterLines="0" w:line="560" w:lineRule="exact"/>
        <w:ind w:firstLine="640" w:firstLineChars="200"/>
        <w:rPr>
          <w:rFonts w:hint="default" w:ascii="仿宋_GB2312" w:eastAsia="仿宋_GB2312"/>
          <w:color w:val="auto"/>
          <w:kern w:val="2"/>
          <w:sz w:val="32"/>
          <w:szCs w:val="32"/>
          <w:highlight w:val="none"/>
          <w:lang w:val="en-US" w:eastAsia="zh-CN"/>
        </w:rPr>
      </w:pPr>
      <w:r>
        <w:rPr>
          <w:rFonts w:hint="eastAsia" w:ascii="仿宋_GB2312" w:eastAsia="仿宋_GB2312"/>
          <w:color w:val="auto"/>
          <w:kern w:val="2"/>
          <w:sz w:val="32"/>
          <w:szCs w:val="32"/>
          <w:highlight w:val="none"/>
          <w:lang w:val="en-US" w:eastAsia="zh-CN"/>
        </w:rPr>
        <w:t>（六）</w:t>
      </w:r>
      <w:r>
        <w:rPr>
          <w:rFonts w:hint="eastAsia" w:ascii="仿宋_GB2312" w:eastAsia="仿宋_GB2312"/>
          <w:color w:val="auto"/>
          <w:sz w:val="32"/>
          <w:szCs w:val="32"/>
          <w:highlight w:val="none"/>
          <w:lang w:val="en-US" w:eastAsia="zh-CN"/>
        </w:rPr>
        <w:t>在南山区新设立基金</w:t>
      </w:r>
      <w:r>
        <w:rPr>
          <w:rFonts w:hint="eastAsia" w:ascii="仿宋_GB2312" w:eastAsia="仿宋_GB2312"/>
          <w:color w:val="auto"/>
          <w:kern w:val="2"/>
          <w:sz w:val="32"/>
          <w:szCs w:val="32"/>
          <w:highlight w:val="none"/>
          <w:lang w:val="en-US" w:eastAsia="zh-CN"/>
        </w:rPr>
        <w:t>时间以在中基协完成备案时间为准。</w:t>
      </w:r>
    </w:p>
    <w:p>
      <w:pPr>
        <w:spacing w:beforeLines="0" w:afterLines="0" w:line="560" w:lineRule="exact"/>
        <w:ind w:firstLine="640" w:firstLineChars="200"/>
        <w:rPr>
          <w:rFonts w:hint="eastAsia" w:ascii="仿宋_GB2312" w:eastAsia="仿宋_GB2312"/>
          <w:color w:val="auto"/>
          <w:kern w:val="2"/>
          <w:sz w:val="32"/>
          <w:szCs w:val="32"/>
          <w:highlight w:val="none"/>
          <w:lang w:val="en-US" w:eastAsia="zh-CN"/>
        </w:rPr>
      </w:pPr>
      <w:r>
        <w:rPr>
          <w:rFonts w:hint="eastAsia" w:ascii="仿宋_GB2312" w:eastAsia="仿宋_GB2312"/>
          <w:color w:val="auto"/>
          <w:kern w:val="2"/>
          <w:sz w:val="32"/>
          <w:szCs w:val="32"/>
          <w:highlight w:val="none"/>
          <w:lang w:val="en-US" w:eastAsia="zh-CN"/>
        </w:rPr>
        <w:t>（七）以上榜单机构包括同一实控人下的所有</w:t>
      </w:r>
      <w:r>
        <w:rPr>
          <w:rFonts w:hint="eastAsia" w:ascii="仿宋_GB2312" w:hAnsi="Times New Roman" w:eastAsia="仿宋_GB2312" w:cs="Times New Roman"/>
          <w:i w:val="0"/>
          <w:iCs w:val="0"/>
          <w:caps w:val="0"/>
          <w:color w:val="auto"/>
          <w:spacing w:val="0"/>
          <w:kern w:val="2"/>
          <w:sz w:val="32"/>
          <w:szCs w:val="32"/>
          <w:highlight w:val="none"/>
          <w:shd w:val="clear" w:color="auto" w:fill="FFFFFF"/>
          <w:lang w:val="en-US" w:eastAsia="zh-CN"/>
        </w:rPr>
        <w:t>私募</w:t>
      </w:r>
      <w:r>
        <w:rPr>
          <w:rFonts w:hint="eastAsia" w:ascii="仿宋_GB2312" w:hAnsi="Times New Roman" w:eastAsia="仿宋_GB2312"/>
          <w:bCs w:val="0"/>
          <w:color w:val="auto"/>
          <w:kern w:val="2"/>
          <w:sz w:val="32"/>
          <w:szCs w:val="32"/>
          <w:highlight w:val="none"/>
          <w:lang w:eastAsia="zh-CN"/>
        </w:rPr>
        <w:t>股权（</w:t>
      </w:r>
      <w:r>
        <w:rPr>
          <w:rFonts w:hint="eastAsia" w:ascii="仿宋_GB2312" w:hAnsi="Times New Roman" w:eastAsia="仿宋_GB2312"/>
          <w:bCs w:val="0"/>
          <w:color w:val="auto"/>
          <w:kern w:val="2"/>
          <w:sz w:val="32"/>
          <w:szCs w:val="32"/>
          <w:highlight w:val="none"/>
          <w:lang w:val="en-US" w:eastAsia="zh-CN"/>
        </w:rPr>
        <w:t>创业</w:t>
      </w:r>
      <w:r>
        <w:rPr>
          <w:rFonts w:hint="eastAsia" w:ascii="仿宋_GB2312" w:hAnsi="Times New Roman" w:eastAsia="仿宋_GB2312"/>
          <w:bCs w:val="0"/>
          <w:color w:val="auto"/>
          <w:kern w:val="2"/>
          <w:sz w:val="32"/>
          <w:szCs w:val="32"/>
          <w:highlight w:val="none"/>
          <w:lang w:eastAsia="zh-CN"/>
        </w:rPr>
        <w:t>）投资</w:t>
      </w:r>
      <w:r>
        <w:rPr>
          <w:rFonts w:hint="eastAsia" w:ascii="仿宋_GB2312" w:eastAsia="仿宋_GB2312"/>
          <w:color w:val="auto"/>
          <w:kern w:val="2"/>
          <w:sz w:val="32"/>
          <w:szCs w:val="32"/>
          <w:highlight w:val="none"/>
          <w:lang w:val="en-US" w:eastAsia="zh-CN"/>
        </w:rPr>
        <w:t>管理企业。</w:t>
      </w:r>
    </w:p>
    <w:p>
      <w:pPr>
        <w:spacing w:beforeLines="0" w:afterLines="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（八）</w:t>
      </w:r>
      <w:r>
        <w:rPr>
          <w:rFonts w:hint="eastAsia" w:ascii="仿宋_GB2312" w:eastAsia="仿宋_GB2312"/>
          <w:color w:val="auto"/>
          <w:sz w:val="32"/>
          <w:szCs w:val="32"/>
          <w:highlight w:val="none"/>
        </w:rPr>
        <w:t>本项目</w:t>
      </w:r>
      <w:r>
        <w:rPr>
          <w:rFonts w:hint="eastAsia" w:ascii="仿宋_GB2312" w:eastAsia="仿宋_GB2312"/>
          <w:color w:val="auto"/>
          <w:sz w:val="32"/>
          <w:szCs w:val="32"/>
          <w:highlight w:val="none"/>
          <w:lang w:eastAsia="zh-CN"/>
        </w:rPr>
        <w:t>不</w:t>
      </w:r>
      <w:r>
        <w:rPr>
          <w:rFonts w:hint="eastAsia" w:ascii="仿宋_GB2312" w:eastAsia="仿宋_GB2312"/>
          <w:color w:val="auto"/>
          <w:sz w:val="32"/>
          <w:szCs w:val="32"/>
          <w:highlight w:val="none"/>
        </w:rPr>
        <w:t>受《南山区自主创新产业发展专项资金管理办法》第十三条第（</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rPr>
        <w:t>）款“每家单位同一年度获得的资助金额原则上不超过其上一年度形成的区级地方财力贡献”限制。</w:t>
      </w:r>
    </w:p>
    <w:p>
      <w:pPr>
        <w:widowControl/>
        <w:spacing w:beforeLines="0" w:afterLines="0" w:line="560" w:lineRule="exact"/>
        <w:ind w:firstLine="627" w:firstLineChars="196"/>
        <w:rPr>
          <w:rFonts w:hint="eastAsia" w:ascii="仿宋_GB2312" w:eastAsia="仿宋_GB2312" w:cs="宋体"/>
          <w:bCs/>
          <w:color w:val="auto"/>
          <w:sz w:val="32"/>
          <w:szCs w:val="32"/>
          <w:highlight w:val="none"/>
        </w:rPr>
      </w:pPr>
      <w:r>
        <w:rPr>
          <w:rFonts w:hint="eastAsia" w:ascii="仿宋_GB2312" w:hAnsi="Times New Roman" w:eastAsia="仿宋_GB2312"/>
          <w:color w:val="auto"/>
          <w:sz w:val="32"/>
          <w:szCs w:val="32"/>
          <w:highlight w:val="none"/>
        </w:rPr>
        <w:t>（</w:t>
      </w:r>
      <w:r>
        <w:rPr>
          <w:rFonts w:hint="eastAsia" w:ascii="仿宋_GB2312" w:eastAsia="仿宋_GB2312"/>
          <w:color w:val="auto"/>
          <w:sz w:val="32"/>
          <w:szCs w:val="32"/>
          <w:highlight w:val="none"/>
          <w:lang w:val="en-US" w:eastAsia="zh-CN"/>
        </w:rPr>
        <w:t>九</w:t>
      </w:r>
      <w:r>
        <w:rPr>
          <w:rFonts w:hint="eastAsia" w:ascii="仿宋_GB2312" w:hAnsi="Times New Roman" w:eastAsia="仿宋_GB2312"/>
          <w:color w:val="auto"/>
          <w:sz w:val="32"/>
          <w:szCs w:val="32"/>
          <w:highlight w:val="none"/>
        </w:rPr>
        <w:t>）</w:t>
      </w:r>
      <w:r>
        <w:rPr>
          <w:rFonts w:hint="eastAsia" w:ascii="仿宋_GB2312" w:eastAsia="仿宋_GB2312" w:cs="Times New Roman"/>
          <w:bCs w:val="0"/>
          <w:color w:val="auto"/>
          <w:sz w:val="32"/>
          <w:szCs w:val="32"/>
          <w:highlight w:val="none"/>
        </w:rPr>
        <w:t>本项目</w:t>
      </w:r>
      <w:r>
        <w:rPr>
          <w:rFonts w:hint="eastAsia" w:ascii="仿宋_GB2312" w:eastAsia="仿宋_GB2312" w:cs="宋体"/>
          <w:bCs/>
          <w:color w:val="auto"/>
          <w:sz w:val="32"/>
          <w:szCs w:val="32"/>
          <w:highlight w:val="none"/>
        </w:rPr>
        <w:t>支持资金受</w:t>
      </w:r>
      <w:r>
        <w:rPr>
          <w:rFonts w:hint="eastAsia" w:ascii="仿宋_GB2312" w:eastAsia="仿宋_GB2312" w:cs="宋体"/>
          <w:bCs/>
          <w:color w:val="auto"/>
          <w:sz w:val="32"/>
          <w:szCs w:val="32"/>
          <w:highlight w:val="none"/>
          <w:lang w:val="en-US" w:eastAsia="zh-CN"/>
        </w:rPr>
        <w:t>南山区</w:t>
      </w:r>
      <w:r>
        <w:rPr>
          <w:rFonts w:hint="eastAsia" w:ascii="仿宋_GB2312" w:eastAsia="仿宋_GB2312" w:cs="宋体"/>
          <w:bCs/>
          <w:color w:val="auto"/>
          <w:sz w:val="32"/>
          <w:szCs w:val="32"/>
          <w:highlight w:val="none"/>
        </w:rPr>
        <w:t>年度</w:t>
      </w:r>
      <w:r>
        <w:rPr>
          <w:rFonts w:hint="eastAsia" w:ascii="仿宋_GB2312" w:eastAsia="仿宋_GB2312" w:cs="宋体"/>
          <w:bCs/>
          <w:color w:val="auto"/>
          <w:sz w:val="32"/>
          <w:szCs w:val="32"/>
          <w:highlight w:val="none"/>
          <w:lang w:val="en-US" w:eastAsia="zh-CN"/>
        </w:rPr>
        <w:t>产业</w:t>
      </w:r>
      <w:r>
        <w:rPr>
          <w:rFonts w:hint="eastAsia" w:ascii="仿宋_GB2312" w:eastAsia="仿宋_GB2312" w:cs="宋体"/>
          <w:bCs/>
          <w:color w:val="auto"/>
          <w:sz w:val="32"/>
          <w:szCs w:val="32"/>
          <w:highlight w:val="none"/>
        </w:rPr>
        <w:t>资金总额控制。视申报情况和资金安排，对支持金额、拨付进度等进行调整，项目申报单位应无条件同意调整结果。</w:t>
      </w:r>
    </w:p>
    <w:p>
      <w:pPr>
        <w:widowControl/>
        <w:spacing w:beforeLines="0" w:afterLines="0" w:line="560" w:lineRule="exact"/>
        <w:ind w:firstLine="627" w:firstLineChars="196"/>
        <w:rPr>
          <w:rFonts w:hint="eastAsia" w:ascii="黑体" w:eastAsia="黑体"/>
          <w:color w:val="auto"/>
          <w:sz w:val="32"/>
          <w:szCs w:val="32"/>
          <w:highlight w:val="none"/>
        </w:rPr>
      </w:pPr>
      <w:r>
        <w:rPr>
          <w:rFonts w:hint="eastAsia" w:ascii="黑体" w:eastAsia="黑体"/>
          <w:color w:val="auto"/>
          <w:sz w:val="32"/>
          <w:szCs w:val="32"/>
          <w:highlight w:val="none"/>
        </w:rPr>
        <w:t>四、申请条件</w:t>
      </w:r>
    </w:p>
    <w:p>
      <w:pPr>
        <w:widowControl/>
        <w:spacing w:beforeLines="0" w:afterLines="0" w:line="56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（一）申请</w:t>
      </w:r>
      <w:r>
        <w:rPr>
          <w:rFonts w:hint="eastAsia" w:ascii="仿宋_GB2312" w:eastAsia="仿宋_GB2312"/>
          <w:color w:val="auto"/>
          <w:sz w:val="32"/>
          <w:szCs w:val="32"/>
          <w:highlight w:val="none"/>
          <w:lang w:val="en-US" w:eastAsia="zh-CN"/>
        </w:rPr>
        <w:t>主体</w:t>
      </w:r>
      <w:r>
        <w:rPr>
          <w:rFonts w:hint="eastAsia" w:ascii="仿宋_GB2312" w:eastAsia="仿宋_GB2312"/>
          <w:color w:val="auto"/>
          <w:sz w:val="32"/>
          <w:szCs w:val="32"/>
          <w:highlight w:val="none"/>
        </w:rPr>
        <w:t>需同时符合以下情况：</w:t>
      </w:r>
    </w:p>
    <w:p>
      <w:pPr>
        <w:widowControl/>
        <w:tabs>
          <w:tab w:val="left" w:pos="420"/>
          <w:tab w:val="left" w:pos="680"/>
        </w:tabs>
        <w:spacing w:beforeLines="0" w:afterLines="0" w:line="560" w:lineRule="exact"/>
        <w:ind w:left="0"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申报主体为私募</w:t>
      </w:r>
      <w:r>
        <w:rPr>
          <w:rFonts w:hint="eastAsia" w:ascii="仿宋_GB2312" w:hAnsi="仿宋" w:eastAsia="仿宋_GB2312"/>
          <w:bCs/>
          <w:color w:val="auto"/>
          <w:kern w:val="0"/>
          <w:sz w:val="32"/>
          <w:szCs w:val="32"/>
          <w:highlight w:val="none"/>
          <w:lang w:eastAsia="zh-CN"/>
        </w:rPr>
        <w:t>股权（</w:t>
      </w:r>
      <w:r>
        <w:rPr>
          <w:rFonts w:hint="eastAsia" w:ascii="仿宋_GB2312" w:hAnsi="仿宋" w:eastAsia="仿宋_GB2312"/>
          <w:bCs/>
          <w:color w:val="auto"/>
          <w:kern w:val="0"/>
          <w:sz w:val="32"/>
          <w:szCs w:val="32"/>
          <w:highlight w:val="none"/>
          <w:lang w:val="en-US" w:eastAsia="zh-CN"/>
        </w:rPr>
        <w:t>创业</w:t>
      </w:r>
      <w:r>
        <w:rPr>
          <w:rFonts w:hint="eastAsia" w:ascii="仿宋_GB2312" w:hAnsi="仿宋" w:eastAsia="仿宋_GB2312"/>
          <w:bCs/>
          <w:color w:val="auto"/>
          <w:kern w:val="0"/>
          <w:sz w:val="32"/>
          <w:szCs w:val="32"/>
          <w:highlight w:val="none"/>
          <w:lang w:eastAsia="zh-CN"/>
        </w:rPr>
        <w:t>）投资</w:t>
      </w:r>
      <w:r>
        <w:rPr>
          <w:rFonts w:hint="eastAsia" w:ascii="仿宋_GB2312" w:eastAsia="仿宋_GB2312"/>
          <w:color w:val="auto"/>
          <w:sz w:val="32"/>
          <w:szCs w:val="32"/>
          <w:highlight w:val="none"/>
          <w:lang w:val="en-US" w:eastAsia="zh-CN"/>
        </w:rPr>
        <w:t>管理企业（或以</w:t>
      </w:r>
      <w:r>
        <w:rPr>
          <w:rFonts w:hint="eastAsia" w:ascii="仿宋_GB2312" w:hAnsi="黑体" w:eastAsia="仿宋_GB2312"/>
          <w:bCs/>
          <w:color w:val="auto"/>
          <w:sz w:val="32"/>
          <w:szCs w:val="32"/>
          <w:highlight w:val="none"/>
        </w:rPr>
        <w:t>公司制设立的股权投资企业</w:t>
      </w:r>
      <w:r>
        <w:rPr>
          <w:rFonts w:hint="eastAsia" w:ascii="仿宋_GB2312" w:eastAsia="仿宋_GB2312"/>
          <w:color w:val="auto"/>
          <w:sz w:val="32"/>
          <w:szCs w:val="32"/>
          <w:highlight w:val="none"/>
          <w:lang w:val="en-US" w:eastAsia="zh-CN"/>
        </w:rPr>
        <w:t>），且</w:t>
      </w:r>
      <w:r>
        <w:rPr>
          <w:rFonts w:hint="eastAsia" w:ascii="仿宋_GB2312" w:eastAsia="仿宋_GB2312"/>
          <w:color w:val="auto"/>
          <w:sz w:val="32"/>
          <w:szCs w:val="32"/>
          <w:highlight w:val="none"/>
          <w:lang w:eastAsia="zh-CN"/>
        </w:rPr>
        <w:t>注册地和税务登记地均位于南山区；</w:t>
      </w:r>
    </w:p>
    <w:p>
      <w:pPr>
        <w:widowControl/>
        <w:tabs>
          <w:tab w:val="left" w:pos="420"/>
          <w:tab w:val="left" w:pos="680"/>
        </w:tabs>
        <w:spacing w:beforeLines="0" w:afterLines="0" w:line="560" w:lineRule="exact"/>
        <w:ind w:left="0"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注册地位于西丽湖国际科教城区域内的申报主体2022年11月29日至上年度末新增实际管理规模1亿元以上，注册地位于南山区（非西丽湖国际科教城区域内）新增实际管理规模5亿元以上。2022年11月29日以来区外新迁入南山区的公司制基金以及2022年1月1日以来成立（或备案）的合伙制基金，其上年度末实际管理规模算作新增规模。</w:t>
      </w:r>
    </w:p>
    <w:p>
      <w:pPr>
        <w:widowControl/>
        <w:tabs>
          <w:tab w:val="left" w:pos="420"/>
          <w:tab w:val="left" w:pos="680"/>
        </w:tabs>
        <w:spacing w:beforeLines="0" w:afterLines="0" w:line="560" w:lineRule="exact"/>
        <w:ind w:left="0"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3.参与申报的在南山区新设基金托管在南山区金融机构。</w:t>
      </w:r>
    </w:p>
    <w:p>
      <w:pPr>
        <w:widowControl/>
        <w:spacing w:beforeLines="0" w:afterLines="0" w:line="560" w:lineRule="exact"/>
        <w:ind w:firstLine="627" w:firstLineChars="196"/>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4.产业投资（CVC）机构指由南山区纳统企业、上市企业或其控股母公司设立的控股公司作为基金管理人或普通合伙人，或作为基金的第一大出资人且出资40%以上；</w:t>
      </w:r>
    </w:p>
    <w:p>
      <w:pPr>
        <w:widowControl/>
        <w:spacing w:beforeLines="0" w:afterLines="0" w:line="560" w:lineRule="exact"/>
        <w:ind w:firstLine="627" w:firstLineChars="196"/>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w:t>
      </w:r>
      <w:r>
        <w:rPr>
          <w:rFonts w:hint="eastAsia" w:ascii="仿宋_GB2312" w:hAnsi="Times New Roman" w:eastAsia="仿宋_GB2312" w:cs="Times New Roman"/>
          <w:color w:val="auto"/>
          <w:sz w:val="32"/>
          <w:szCs w:val="32"/>
          <w:highlight w:val="none"/>
          <w:lang w:val="en-US" w:eastAsia="zh-CN"/>
        </w:rPr>
        <w:t>参与申报的</w:t>
      </w:r>
      <w:r>
        <w:rPr>
          <w:rFonts w:hint="eastAsia" w:ascii="仿宋_GB2312" w:eastAsia="仿宋_GB2312"/>
          <w:color w:val="auto"/>
          <w:sz w:val="32"/>
          <w:szCs w:val="32"/>
          <w:highlight w:val="none"/>
          <w:lang w:val="en-US" w:eastAsia="zh-CN"/>
        </w:rPr>
        <w:t>股权（创业）投资企业实缴注册资本不低于人民币5000万元，股权（创业）投资管理企业实缴资本不低于人民币1000万元；</w:t>
      </w:r>
    </w:p>
    <w:p>
      <w:pPr>
        <w:widowControl/>
        <w:spacing w:beforeLines="0" w:afterLines="0" w:line="560" w:lineRule="exact"/>
        <w:ind w:firstLine="627" w:firstLineChars="196"/>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6.参与申报的</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私募</w:t>
      </w:r>
      <w:r>
        <w:rPr>
          <w:rFonts w:hint="eastAsia" w:ascii="仿宋_GB2312" w:hAnsi="仿宋" w:eastAsia="仿宋_GB2312"/>
          <w:bCs/>
          <w:color w:val="auto"/>
          <w:kern w:val="0"/>
          <w:sz w:val="32"/>
          <w:szCs w:val="32"/>
          <w:highlight w:val="none"/>
          <w:lang w:eastAsia="zh-CN"/>
        </w:rPr>
        <w:t>股权（</w:t>
      </w:r>
      <w:r>
        <w:rPr>
          <w:rFonts w:hint="eastAsia" w:ascii="仿宋_GB2312" w:hAnsi="仿宋" w:eastAsia="仿宋_GB2312"/>
          <w:bCs/>
          <w:color w:val="auto"/>
          <w:kern w:val="0"/>
          <w:sz w:val="32"/>
          <w:szCs w:val="32"/>
          <w:highlight w:val="none"/>
          <w:lang w:val="en-US" w:eastAsia="zh-CN"/>
        </w:rPr>
        <w:t>创业</w:t>
      </w:r>
      <w:r>
        <w:rPr>
          <w:rFonts w:hint="eastAsia" w:ascii="仿宋_GB2312" w:hAnsi="仿宋" w:eastAsia="仿宋_GB2312"/>
          <w:bCs/>
          <w:color w:val="auto"/>
          <w:kern w:val="0"/>
          <w:sz w:val="32"/>
          <w:szCs w:val="32"/>
          <w:highlight w:val="none"/>
          <w:lang w:eastAsia="zh-CN"/>
        </w:rPr>
        <w:t>）投资</w:t>
      </w:r>
      <w:r>
        <w:rPr>
          <w:rFonts w:hint="eastAsia" w:ascii="仿宋_GB2312" w:eastAsia="仿宋_GB2312"/>
          <w:color w:val="auto"/>
          <w:sz w:val="32"/>
          <w:szCs w:val="32"/>
          <w:highlight w:val="none"/>
          <w:lang w:val="en-US" w:eastAsia="zh-CN"/>
        </w:rPr>
        <w:t>管理企业、</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私募</w:t>
      </w:r>
      <w:r>
        <w:rPr>
          <w:rFonts w:hint="eastAsia" w:ascii="仿宋_GB2312" w:hAnsi="仿宋" w:eastAsia="仿宋_GB2312"/>
          <w:bCs/>
          <w:color w:val="auto"/>
          <w:kern w:val="0"/>
          <w:sz w:val="32"/>
          <w:szCs w:val="32"/>
          <w:highlight w:val="none"/>
          <w:lang w:eastAsia="zh-CN"/>
        </w:rPr>
        <w:t>股权（</w:t>
      </w:r>
      <w:r>
        <w:rPr>
          <w:rFonts w:hint="eastAsia" w:ascii="仿宋_GB2312" w:hAnsi="仿宋" w:eastAsia="仿宋_GB2312"/>
          <w:bCs/>
          <w:color w:val="auto"/>
          <w:kern w:val="0"/>
          <w:sz w:val="32"/>
          <w:szCs w:val="32"/>
          <w:highlight w:val="none"/>
          <w:lang w:val="en-US" w:eastAsia="zh-CN"/>
        </w:rPr>
        <w:t>创业</w:t>
      </w:r>
      <w:r>
        <w:rPr>
          <w:rFonts w:hint="eastAsia" w:ascii="仿宋_GB2312" w:hAnsi="仿宋" w:eastAsia="仿宋_GB2312"/>
          <w:bCs/>
          <w:color w:val="auto"/>
          <w:kern w:val="0"/>
          <w:sz w:val="32"/>
          <w:szCs w:val="32"/>
          <w:highlight w:val="none"/>
          <w:lang w:eastAsia="zh-CN"/>
        </w:rPr>
        <w:t>）投资</w:t>
      </w:r>
      <w:r>
        <w:rPr>
          <w:rFonts w:hint="eastAsia" w:ascii="仿宋_GB2312" w:eastAsia="仿宋_GB2312"/>
          <w:color w:val="auto"/>
          <w:sz w:val="32"/>
          <w:szCs w:val="32"/>
          <w:highlight w:val="none"/>
          <w:lang w:val="en-US" w:eastAsia="zh-CN"/>
        </w:rPr>
        <w:t>企业</w:t>
      </w:r>
      <w:r>
        <w:rPr>
          <w:rFonts w:hint="eastAsia" w:ascii="仿宋_GB2312" w:hAnsi="Times New Roman" w:eastAsia="仿宋_GB2312" w:cs="Times New Roman"/>
          <w:color w:val="auto"/>
          <w:sz w:val="32"/>
          <w:szCs w:val="32"/>
          <w:highlight w:val="none"/>
        </w:rPr>
        <w:t>须在中国证券投资基金业协会完成备案</w:t>
      </w:r>
      <w:r>
        <w:rPr>
          <w:rFonts w:hint="eastAsia" w:ascii="仿宋_GB2312" w:eastAsia="仿宋_GB2312" w:cs="Times New Roman"/>
          <w:color w:val="auto"/>
          <w:sz w:val="32"/>
          <w:szCs w:val="32"/>
          <w:highlight w:val="none"/>
          <w:lang w:eastAsia="zh-CN"/>
        </w:rPr>
        <w:t>，政府引导基金、外商投资股权投资试点企业在境外募资基金且仅有境外投资者作为出资股东或合伙人的除外</w:t>
      </w:r>
      <w:r>
        <w:rPr>
          <w:rFonts w:hint="eastAsia" w:ascii="仿宋_GB2312" w:eastAsia="仿宋_GB2312"/>
          <w:color w:val="auto"/>
          <w:sz w:val="32"/>
          <w:szCs w:val="32"/>
          <w:highlight w:val="none"/>
          <w:lang w:eastAsia="zh-CN"/>
        </w:rPr>
        <w:t>；</w:t>
      </w:r>
    </w:p>
    <w:p>
      <w:pPr>
        <w:widowControl/>
        <w:spacing w:beforeLines="0" w:afterLines="0" w:line="560" w:lineRule="exact"/>
        <w:ind w:firstLine="627" w:firstLineChars="196"/>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7</w:t>
      </w:r>
      <w:r>
        <w:rPr>
          <w:rFonts w:hint="default" w:ascii="仿宋_GB2312" w:eastAsia="仿宋_GB2312"/>
          <w:color w:val="auto"/>
          <w:sz w:val="32"/>
          <w:szCs w:val="32"/>
          <w:highlight w:val="none"/>
          <w:lang w:eastAsia="zh-CN"/>
        </w:rPr>
        <w:t>.</w:t>
      </w:r>
      <w:r>
        <w:rPr>
          <w:rFonts w:hint="eastAsia" w:ascii="仿宋_GB2312" w:eastAsia="仿宋_GB2312"/>
          <w:color w:val="auto"/>
          <w:sz w:val="32"/>
          <w:szCs w:val="32"/>
          <w:highlight w:val="none"/>
          <w:lang w:eastAsia="zh-CN"/>
        </w:rPr>
        <w:t>履行统计数据申报义务、守法经营、诚实守信、有规范健全的财务制度；</w:t>
      </w:r>
    </w:p>
    <w:p>
      <w:pPr>
        <w:widowControl/>
        <w:spacing w:beforeLines="0" w:afterLines="0" w:line="56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default" w:ascii="仿宋_GB2312" w:eastAsia="仿宋_GB2312"/>
          <w:color w:val="auto"/>
          <w:sz w:val="32"/>
          <w:szCs w:val="32"/>
          <w:highlight w:val="none"/>
          <w:lang w:eastAsia="zh-CN"/>
        </w:rPr>
        <w:t>.</w:t>
      </w:r>
      <w:r>
        <w:rPr>
          <w:rFonts w:hint="eastAsia" w:ascii="仿宋_GB2312" w:eastAsia="仿宋_GB2312"/>
          <w:color w:val="auto"/>
          <w:sz w:val="32"/>
          <w:szCs w:val="32"/>
          <w:highlight w:val="none"/>
          <w:lang w:eastAsia="zh-CN"/>
        </w:rPr>
        <w:t>应积极配合区委、区政府相关工作。</w:t>
      </w:r>
    </w:p>
    <w:p>
      <w:pPr>
        <w:spacing w:beforeLines="0" w:afterLines="0"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（二）有下列情况之一的，本</w:t>
      </w:r>
      <w:r>
        <w:rPr>
          <w:rFonts w:hint="eastAsia" w:ascii="仿宋_GB2312" w:eastAsia="仿宋_GB2312"/>
          <w:color w:val="auto"/>
          <w:sz w:val="32"/>
          <w:szCs w:val="32"/>
          <w:highlight w:val="none"/>
          <w:lang w:val="en-US" w:eastAsia="zh-CN"/>
        </w:rPr>
        <w:t>项目</w:t>
      </w:r>
      <w:r>
        <w:rPr>
          <w:rFonts w:hint="eastAsia" w:ascii="仿宋_GB2312" w:eastAsia="仿宋_GB2312"/>
          <w:color w:val="auto"/>
          <w:sz w:val="32"/>
          <w:szCs w:val="32"/>
          <w:highlight w:val="none"/>
        </w:rPr>
        <w:t>资金不予资助：</w:t>
      </w:r>
    </w:p>
    <w:p>
      <w:pPr>
        <w:spacing w:beforeLines="0" w:afterLines="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1.被依法依规纳入严重失信主体名单或失信惩戒措施清单的；</w:t>
      </w:r>
    </w:p>
    <w:p>
      <w:pPr>
        <w:widowControl/>
        <w:spacing w:beforeLines="0" w:afterLines="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2.提出资助申请后，申报主体注册地或在地统计关系发生变化，不再符合申报条件的。</w:t>
      </w:r>
    </w:p>
    <w:p>
      <w:pPr>
        <w:spacing w:beforeLines="0" w:afterLines="0" w:line="560" w:lineRule="exact"/>
        <w:ind w:firstLine="640" w:firstLineChars="200"/>
        <w:rPr>
          <w:rFonts w:hint="eastAsia"/>
        </w:rPr>
      </w:pPr>
      <w:r>
        <w:rPr>
          <w:rFonts w:hint="eastAsia" w:ascii="仿宋_GB2312" w:hAnsi="宋体" w:eastAsia="仿宋_GB2312"/>
          <w:b w:val="0"/>
          <w:bCs w:val="0"/>
          <w:i w:val="0"/>
          <w:iCs w:val="0"/>
          <w:caps w:val="0"/>
          <w:spacing w:val="0"/>
          <w:sz w:val="32"/>
          <w:szCs w:val="32"/>
          <w:shd w:val="clear"/>
          <w:lang w:val="en-US" w:eastAsia="zh-CN"/>
        </w:rPr>
        <w:t>3.</w:t>
      </w:r>
      <w:r>
        <w:rPr>
          <w:rFonts w:hint="eastAsia" w:ascii="仿宋_GB2312" w:hAnsi="宋体" w:eastAsia="仿宋_GB2312"/>
          <w:b w:val="0"/>
          <w:bCs w:val="0"/>
          <w:i w:val="0"/>
          <w:iCs w:val="0"/>
          <w:caps w:val="0"/>
          <w:spacing w:val="0"/>
          <w:sz w:val="32"/>
          <w:szCs w:val="32"/>
          <w:shd w:val="clear"/>
        </w:rPr>
        <w:t>已获市政府用地出让政策扶持的企业不再安排落户资助扶持。</w:t>
      </w:r>
      <w:bookmarkStart w:id="0" w:name="_GoBack"/>
      <w:bookmarkEnd w:id="0"/>
    </w:p>
    <w:p>
      <w:pPr>
        <w:widowControl/>
        <w:spacing w:beforeLines="0" w:afterLines="0" w:line="56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rPr>
        <w:t>五、办理流程</w:t>
      </w:r>
    </w:p>
    <w:p>
      <w:pPr>
        <w:widowControl/>
        <w:spacing w:beforeLines="0" w:afterLines="0"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申报主体登陆“i南山企业服务综合平台”（https://www.inanshan.org.cn/），网上提交项目申报材料；</w:t>
      </w:r>
    </w:p>
    <w:p>
      <w:pPr>
        <w:widowControl/>
        <w:spacing w:beforeLines="0" w:afterLines="0"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（二）区企业发展服务中心受理申请，对申报材料进行形式性审核，区工业和信息化局（金融发展服务中心）复审项目申报材料； </w:t>
      </w:r>
    </w:p>
    <w:p>
      <w:pPr>
        <w:widowControl/>
        <w:spacing w:beforeLines="0" w:afterLines="0"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（三）区工业和信息化局（金融发展服务中心）拟定资助计划；</w:t>
      </w:r>
    </w:p>
    <w:p>
      <w:pPr>
        <w:widowControl/>
        <w:spacing w:beforeLines="0" w:afterLines="0"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（四）区统计局对申报主体在地统计开展情况进行核查，区企业发展服务中心组织对申报主体的注册情况、不良信用记录等情况进行核查；</w:t>
      </w:r>
    </w:p>
    <w:p>
      <w:pPr>
        <w:widowControl/>
        <w:spacing w:beforeLines="0" w:afterLines="0"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（五）区企业发展服务中心将拟资助项目向社会公示5个工作日，对公示期满，无有效投诉的项目资助计划，区工业和信息化局（金融发展服务中心）再按照相应审核程序提交会议审议；</w:t>
      </w:r>
    </w:p>
    <w:p>
      <w:pPr>
        <w:widowControl/>
        <w:spacing w:beforeLines="0" w:afterLines="0"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（六）经审议后，由区工业和信息化局（金融发展服务中心）直接行文下达资金计划；</w:t>
      </w:r>
    </w:p>
    <w:p>
      <w:pPr>
        <w:spacing w:beforeLines="0" w:afterLines="0" w:line="560" w:lineRule="exact"/>
        <w:ind w:firstLine="640" w:firstLineChars="200"/>
        <w:rPr>
          <w:rFonts w:hint="eastAsia" w:ascii="黑体" w:eastAsia="黑体"/>
          <w:color w:val="auto"/>
          <w:sz w:val="32"/>
          <w:szCs w:val="32"/>
          <w:highlight w:val="none"/>
        </w:rPr>
      </w:pPr>
      <w:r>
        <w:rPr>
          <w:rFonts w:hint="eastAsia" w:ascii="仿宋_GB2312" w:eastAsia="仿宋_GB2312"/>
          <w:color w:val="000000" w:themeColor="text1"/>
          <w:sz w:val="32"/>
          <w:szCs w:val="32"/>
          <w14:textFill>
            <w14:solidFill>
              <w14:schemeClr w14:val="tx1"/>
            </w14:solidFill>
          </w14:textFill>
        </w:rPr>
        <w:t>（七）区财政部门及时安排资金，区工业和信息化局（金融发展服务中心）办理资金拨付手续。</w:t>
      </w:r>
    </w:p>
    <w:p>
      <w:pPr>
        <w:spacing w:beforeLines="0" w:afterLines="0" w:line="56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rPr>
        <w:t>六、所需材料</w:t>
      </w:r>
    </w:p>
    <w:p>
      <w:pPr>
        <w:widowControl/>
        <w:spacing w:beforeLines="0" w:afterLines="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w:t>
      </w:r>
      <w:r>
        <w:rPr>
          <w:rFonts w:hint="eastAsia" w:ascii="仿宋_GB2312" w:eastAsia="仿宋_GB2312"/>
          <w:color w:val="000000" w:themeColor="text1"/>
          <w:sz w:val="32"/>
          <w:szCs w:val="32"/>
          <w14:textFill>
            <w14:solidFill>
              <w14:schemeClr w14:val="tx1"/>
            </w14:solidFill>
          </w14:textFill>
        </w:rPr>
        <w:t>登录“i南山企业服</w:t>
      </w:r>
      <w:r>
        <w:rPr>
          <w:rFonts w:hint="eastAsia" w:ascii="仿宋_GB2312" w:eastAsia="仿宋_GB2312"/>
          <w:color w:val="000000" w:themeColor="text1"/>
          <w:sz w:val="32"/>
          <w:szCs w:val="32"/>
          <w:highlight w:val="none"/>
          <w14:textFill>
            <w14:solidFill>
              <w14:schemeClr w14:val="tx1"/>
            </w14:solidFill>
          </w14:textFill>
        </w:rPr>
        <w:t>务综合平台”（https://www.inanshan.org.cn/），在线填写《南山区促进产业高质量发展专项资金——区工业和信息化局分项资金风投创投</w:t>
      </w:r>
      <w:r>
        <w:rPr>
          <w:rFonts w:hint="eastAsia" w:ascii="仿宋_GB2312" w:eastAsia="仿宋_GB2312"/>
          <w:color w:val="000000" w:themeColor="text1"/>
          <w:sz w:val="32"/>
          <w:szCs w:val="32"/>
          <w:highlight w:val="none"/>
          <w:lang w:eastAsia="zh-CN"/>
          <w14:textFill>
            <w14:solidFill>
              <w14:schemeClr w14:val="tx1"/>
            </w14:solidFill>
          </w14:textFill>
        </w:rPr>
        <w:t>机构落户</w:t>
      </w:r>
      <w:r>
        <w:rPr>
          <w:rFonts w:hint="eastAsia" w:ascii="仿宋_GB2312" w:eastAsia="仿宋_GB2312"/>
          <w:color w:val="000000" w:themeColor="text1"/>
          <w:sz w:val="32"/>
          <w:szCs w:val="32"/>
          <w:highlight w:val="none"/>
          <w14:textFill>
            <w14:solidFill>
              <w14:schemeClr w14:val="tx1"/>
            </w14:solidFill>
          </w14:textFill>
        </w:rPr>
        <w:t>奖励项目申请书》</w:t>
      </w:r>
    </w:p>
    <w:p>
      <w:pPr>
        <w:widowControl/>
        <w:spacing w:beforeLines="0" w:afterLines="0"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auto"/>
          <w:sz w:val="32"/>
          <w:szCs w:val="32"/>
          <w:highlight w:val="none"/>
        </w:rPr>
        <w:t>（二）</w:t>
      </w:r>
      <w:r>
        <w:rPr>
          <w:rFonts w:hint="eastAsia" w:ascii="仿宋_GB2312" w:eastAsia="仿宋_GB2312"/>
          <w:color w:val="000000" w:themeColor="text1"/>
          <w:sz w:val="32"/>
          <w:szCs w:val="32"/>
          <w:highlight w:val="none"/>
          <w14:textFill>
            <w14:solidFill>
              <w14:schemeClr w14:val="tx1"/>
            </w14:solidFill>
          </w14:textFill>
        </w:rPr>
        <w:t>《南山区促进产业高质量发展专项资金——区工业和信息化局分项资金风投创投</w:t>
      </w:r>
      <w:r>
        <w:rPr>
          <w:rFonts w:hint="eastAsia" w:ascii="仿宋_GB2312" w:eastAsia="仿宋_GB2312"/>
          <w:color w:val="000000" w:themeColor="text1"/>
          <w:sz w:val="32"/>
          <w:szCs w:val="32"/>
          <w:highlight w:val="none"/>
          <w:lang w:eastAsia="zh-CN"/>
          <w14:textFill>
            <w14:solidFill>
              <w14:schemeClr w14:val="tx1"/>
            </w14:solidFill>
          </w14:textFill>
        </w:rPr>
        <w:t>机构落户</w:t>
      </w:r>
      <w:r>
        <w:rPr>
          <w:rFonts w:hint="eastAsia" w:ascii="仿宋_GB2312" w:eastAsia="仿宋_GB2312"/>
          <w:color w:val="000000" w:themeColor="text1"/>
          <w:sz w:val="32"/>
          <w:szCs w:val="32"/>
          <w:highlight w:val="none"/>
          <w14:textFill>
            <w14:solidFill>
              <w14:schemeClr w14:val="tx1"/>
            </w14:solidFill>
          </w14:textFill>
        </w:rPr>
        <w:t>奖励项目申请书》</w:t>
      </w:r>
      <w:r>
        <w:rPr>
          <w:rFonts w:hint="eastAsia" w:ascii="仿宋_GB2312" w:eastAsia="仿宋_GB2312"/>
          <w:color w:val="000000" w:themeColor="text1"/>
          <w:sz w:val="32"/>
          <w:szCs w:val="32"/>
          <w14:textFill>
            <w14:solidFill>
              <w14:schemeClr w14:val="tx1"/>
            </w14:solidFill>
          </w14:textFill>
        </w:rPr>
        <w:t>填表声明与保证（法定代表人签字并加盖单位公章后，原件彩色扫描成PDF文件上传）；</w:t>
      </w:r>
    </w:p>
    <w:p>
      <w:pPr>
        <w:widowControl/>
        <w:spacing w:beforeLines="0" w:afterLines="0"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（三）统一社会信用代码证书（原件彩色扫描成PDF文件上传）；</w:t>
      </w:r>
    </w:p>
    <w:p>
      <w:pPr>
        <w:widowControl/>
        <w:spacing w:beforeLines="0" w:afterLines="0"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（四）法定代表人身份证[原件（或复印件加盖单位公章）彩色扫描成PDF文件上传]；</w:t>
      </w:r>
    </w:p>
    <w:p>
      <w:pPr>
        <w:spacing w:beforeLines="0" w:afterLines="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000000" w:themeColor="text1"/>
          <w:sz w:val="32"/>
          <w:szCs w:val="32"/>
          <w14:textFill>
            <w14:solidFill>
              <w14:schemeClr w14:val="tx1"/>
            </w14:solidFill>
          </w14:textFill>
        </w:rPr>
        <w:t>（五）由税务部门开具的单位上年度纳税证明（上传税务系统下载带有税务机关红色印章的电子版）；</w:t>
      </w:r>
    </w:p>
    <w:p>
      <w:pPr>
        <w:spacing w:beforeLines="0" w:afterLines="0" w:line="560" w:lineRule="exact"/>
        <w:ind w:firstLine="640" w:firstLineChars="200"/>
        <w:rPr>
          <w:rFonts w:hint="eastAsia" w:ascii="仿宋_GB2312" w:hAnsi="仿宋"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六</w:t>
      </w:r>
      <w:r>
        <w:rPr>
          <w:rFonts w:hint="eastAsia" w:ascii="仿宋_GB2312" w:eastAsia="仿宋_GB2312"/>
          <w:color w:val="auto"/>
          <w:sz w:val="32"/>
          <w:szCs w:val="32"/>
          <w:highlight w:val="none"/>
        </w:rPr>
        <w:t>）</w:t>
      </w:r>
      <w:r>
        <w:rPr>
          <w:rFonts w:hint="eastAsia" w:ascii="仿宋_GB2312" w:hAnsi="仿宋" w:eastAsia="仿宋_GB2312"/>
          <w:color w:val="auto"/>
          <w:sz w:val="32"/>
          <w:szCs w:val="32"/>
          <w:highlight w:val="none"/>
        </w:rPr>
        <w:t>在中国证券投资基金业协会登记备案证明</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sz w:val="32"/>
          <w:szCs w:val="32"/>
        </w:rPr>
        <w:t>中基协官网公示信息</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加盖</w:t>
      </w:r>
      <w:r>
        <w:rPr>
          <w:rFonts w:hint="eastAsia" w:ascii="仿宋_GB2312" w:hAnsi="宋体" w:eastAsia="仿宋_GB2312" w:cs="宋体"/>
          <w:sz w:val="32"/>
          <w:szCs w:val="32"/>
          <w:lang w:eastAsia="zh-CN"/>
        </w:rPr>
        <w:t>单位</w:t>
      </w:r>
      <w:r>
        <w:rPr>
          <w:rFonts w:hint="eastAsia" w:ascii="仿宋_GB2312" w:hAnsi="宋体" w:eastAsia="仿宋_GB2312" w:cs="宋体"/>
          <w:sz w:val="32"/>
          <w:szCs w:val="32"/>
        </w:rPr>
        <w:t>公章</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原件彩色扫描成PDF文件上传</w:t>
      </w:r>
      <w:r>
        <w:rPr>
          <w:rFonts w:hint="eastAsia" w:ascii="仿宋_GB2312" w:hAnsi="宋体" w:eastAsia="仿宋_GB2312" w:cs="宋体"/>
          <w:color w:val="auto"/>
          <w:sz w:val="32"/>
          <w:szCs w:val="32"/>
          <w:highlight w:val="none"/>
          <w:lang w:eastAsia="zh-CN"/>
        </w:rPr>
        <w:t>]；</w:t>
      </w:r>
    </w:p>
    <w:p>
      <w:pPr>
        <w:spacing w:beforeLines="0" w:afterLines="0" w:line="560" w:lineRule="exact"/>
        <w:ind w:firstLine="640" w:firstLineChars="200"/>
        <w:rPr>
          <w:rFonts w:hint="eastAsia" w:ascii="仿宋_GB2312"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七</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申报主体公司章程、</w:t>
      </w:r>
      <w:r>
        <w:rPr>
          <w:rFonts w:hint="eastAsia" w:ascii="仿宋_GB2312" w:hAnsi="仿宋_GB2312" w:eastAsia="仿宋_GB2312" w:cs="仿宋_GB2312"/>
          <w:color w:val="auto"/>
          <w:sz w:val="32"/>
          <w:szCs w:val="32"/>
          <w:highlight w:val="none"/>
          <w:lang w:val="en-US" w:eastAsia="zh-CN"/>
        </w:rPr>
        <w:t>近三年新增实缴规模的转账凭证</w:t>
      </w:r>
      <w:r>
        <w:rPr>
          <w:rFonts w:hint="eastAsia" w:ascii="仿宋_GB2312" w:hAnsi="宋体" w:eastAsia="仿宋_GB2312" w:cs="宋体"/>
          <w:color w:val="000000" w:themeColor="text1"/>
          <w:sz w:val="32"/>
          <w:szCs w:val="32"/>
          <w14:textFill>
            <w14:solidFill>
              <w14:schemeClr w14:val="tx1"/>
            </w14:solidFill>
          </w14:textFill>
        </w:rPr>
        <w:t>[原件（或复印件加盖单位公章）彩色扫描成PDF文件上传]</w:t>
      </w:r>
      <w:r>
        <w:rPr>
          <w:rFonts w:hint="eastAsia" w:ascii="仿宋_GB2312" w:hAnsi="宋体" w:eastAsia="仿宋_GB2312" w:cs="宋体"/>
          <w:color w:val="000000" w:themeColor="text1"/>
          <w:sz w:val="32"/>
          <w:szCs w:val="32"/>
          <w:lang w:eastAsia="zh-CN"/>
          <w14:textFill>
            <w14:solidFill>
              <w14:schemeClr w14:val="tx1"/>
            </w14:solidFill>
          </w14:textFill>
        </w:rPr>
        <w:t>；</w:t>
      </w:r>
    </w:p>
    <w:p>
      <w:pPr>
        <w:pStyle w:val="2"/>
        <w:spacing w:beforeLines="0" w:afterLines="0" w:line="560" w:lineRule="exact"/>
        <w:ind w:firstLine="640"/>
        <w:jc w:val="left"/>
        <w:rPr>
          <w:rFonts w:hint="eastAsia" w:ascii="仿宋_GB2312" w:hAnsi="仿宋" w:eastAsia="仿宋_GB2312"/>
          <w:color w:val="auto"/>
          <w:kern w:val="2"/>
          <w:sz w:val="32"/>
          <w:szCs w:val="32"/>
          <w:highlight w:val="none"/>
        </w:rPr>
      </w:pPr>
      <w:r>
        <w:rPr>
          <w:rFonts w:hint="eastAsia" w:ascii="仿宋_GB2312" w:hAnsi="仿宋" w:eastAsia="仿宋_GB2312"/>
          <w:color w:val="auto"/>
          <w:kern w:val="2"/>
          <w:sz w:val="32"/>
          <w:szCs w:val="32"/>
          <w:highlight w:val="none"/>
        </w:rPr>
        <w:t>（</w:t>
      </w:r>
      <w:r>
        <w:rPr>
          <w:rFonts w:hint="eastAsia" w:ascii="仿宋_GB2312" w:hAnsi="仿宋" w:eastAsia="仿宋_GB2312"/>
          <w:color w:val="auto"/>
          <w:sz w:val="32"/>
          <w:szCs w:val="32"/>
          <w:highlight w:val="none"/>
          <w:lang w:val="en-US" w:eastAsia="zh-CN"/>
        </w:rPr>
        <w:t>八</w:t>
      </w:r>
      <w:r>
        <w:rPr>
          <w:rFonts w:hint="eastAsia" w:ascii="仿宋_GB2312" w:hAnsi="仿宋" w:eastAsia="仿宋_GB2312"/>
          <w:color w:val="auto"/>
          <w:kern w:val="2"/>
          <w:sz w:val="32"/>
          <w:szCs w:val="32"/>
          <w:highlight w:val="none"/>
        </w:rPr>
        <w:t>）</w:t>
      </w:r>
      <w:r>
        <w:rPr>
          <w:rFonts w:hint="eastAsia" w:ascii="仿宋_GB2312" w:hAnsi="仿宋" w:eastAsia="仿宋_GB2312"/>
          <w:color w:val="auto"/>
          <w:kern w:val="2"/>
          <w:sz w:val="32"/>
          <w:szCs w:val="32"/>
          <w:highlight w:val="none"/>
          <w:lang w:val="en-US" w:eastAsia="zh-CN"/>
        </w:rPr>
        <w:t>参与申报的2022年11月29日后新成立基金的</w:t>
      </w:r>
      <w:r>
        <w:rPr>
          <w:rFonts w:hint="eastAsia" w:ascii="仿宋_GB2312" w:hAnsi="仿宋_GB2312" w:eastAsia="仿宋_GB2312" w:cs="仿宋_GB2312"/>
          <w:color w:val="auto"/>
          <w:sz w:val="32"/>
          <w:szCs w:val="32"/>
          <w:highlight w:val="none"/>
          <w:lang w:val="en-US" w:eastAsia="zh-CN"/>
        </w:rPr>
        <w:t>合伙协议（公司章程）、托管协议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规定时间内的实缴资金转账凭证</w:t>
      </w:r>
      <w:r>
        <w:rPr>
          <w:rFonts w:hint="eastAsia" w:ascii="仿宋_GB2312" w:hAnsi="宋体" w:eastAsia="仿宋_GB2312" w:cs="宋体"/>
          <w:color w:val="000000" w:themeColor="text1"/>
          <w:sz w:val="32"/>
          <w:szCs w:val="32"/>
          <w14:textFill>
            <w14:solidFill>
              <w14:schemeClr w14:val="tx1"/>
            </w14:solidFill>
          </w14:textFill>
        </w:rPr>
        <w:t>[原件（或复印件加盖单位公章）彩色扫描成PDF文件上传]</w:t>
      </w:r>
      <w:r>
        <w:rPr>
          <w:rFonts w:hint="eastAsia" w:ascii="仿宋_GB2312" w:hAnsi="宋体" w:eastAsia="仿宋_GB2312" w:cs="宋体"/>
          <w:color w:val="000000" w:themeColor="text1"/>
          <w:sz w:val="32"/>
          <w:szCs w:val="32"/>
          <w:lang w:eastAsia="zh-CN"/>
          <w14:textFill>
            <w14:solidFill>
              <w14:schemeClr w14:val="tx1"/>
            </w14:solidFill>
          </w14:textFill>
        </w:rPr>
        <w:t>；</w:t>
      </w:r>
    </w:p>
    <w:p>
      <w:pPr>
        <w:pStyle w:val="2"/>
        <w:spacing w:beforeLines="0" w:afterLines="0" w:line="560" w:lineRule="exact"/>
        <w:ind w:firstLine="640"/>
        <w:jc w:val="left"/>
        <w:rPr>
          <w:rFonts w:hint="eastAsia" w:ascii="仿宋_GB2312" w:hAnsi="仿宋" w:eastAsia="仿宋_GB2312"/>
          <w:color w:val="auto"/>
          <w:kern w:val="2"/>
          <w:sz w:val="32"/>
          <w:szCs w:val="32"/>
          <w:highlight w:val="none"/>
          <w:lang w:eastAsia="zh-CN"/>
        </w:rPr>
      </w:pPr>
      <w:r>
        <w:rPr>
          <w:rFonts w:hint="eastAsia" w:ascii="仿宋_GB2312" w:hAnsi="仿宋" w:eastAsia="仿宋_GB2312"/>
          <w:color w:val="auto"/>
          <w:kern w:val="2"/>
          <w:sz w:val="32"/>
          <w:szCs w:val="32"/>
          <w:highlight w:val="none"/>
        </w:rPr>
        <w:t>（</w:t>
      </w:r>
      <w:r>
        <w:rPr>
          <w:rFonts w:hint="eastAsia" w:ascii="仿宋_GB2312" w:hAnsi="仿宋" w:eastAsia="仿宋_GB2312"/>
          <w:color w:val="auto"/>
          <w:kern w:val="2"/>
          <w:sz w:val="32"/>
          <w:szCs w:val="32"/>
          <w:highlight w:val="none"/>
          <w:lang w:val="en-US" w:eastAsia="zh-CN"/>
        </w:rPr>
        <w:t>九</w:t>
      </w:r>
      <w:r>
        <w:rPr>
          <w:rFonts w:hint="eastAsia" w:ascii="仿宋_GB2312" w:hAnsi="仿宋" w:eastAsia="仿宋_GB2312"/>
          <w:color w:val="auto"/>
          <w:kern w:val="2"/>
          <w:sz w:val="32"/>
          <w:szCs w:val="32"/>
          <w:highlight w:val="none"/>
        </w:rPr>
        <w:t>）</w:t>
      </w:r>
      <w:r>
        <w:rPr>
          <w:rFonts w:hint="eastAsia" w:ascii="仿宋_GB2312" w:eastAsia="仿宋_GB2312"/>
          <w:color w:val="auto"/>
          <w:sz w:val="32"/>
          <w:szCs w:val="32"/>
          <w:highlight w:val="none"/>
          <w:lang w:val="en-US" w:eastAsia="zh-CN"/>
        </w:rPr>
        <w:t>基金合伙人实际出资情况表（见附件）、南山区公司制合伙人营业执照</w:t>
      </w:r>
      <w:r>
        <w:rPr>
          <w:rFonts w:hint="eastAsia" w:ascii="仿宋_GB2312" w:hAnsi="宋体" w:eastAsia="仿宋_GB2312" w:cs="宋体"/>
          <w:color w:val="000000" w:themeColor="text1"/>
          <w:sz w:val="32"/>
          <w:szCs w:val="32"/>
          <w14:textFill>
            <w14:solidFill>
              <w14:schemeClr w14:val="tx1"/>
            </w14:solidFill>
          </w14:textFill>
        </w:rPr>
        <w:t>[原件（或复印件加盖单位公章）彩色扫描成PDF文件上传]</w:t>
      </w:r>
      <w:r>
        <w:rPr>
          <w:rFonts w:hint="eastAsia" w:ascii="仿宋_GB2312" w:hAnsi="宋体" w:eastAsia="仿宋_GB2312" w:cs="宋体"/>
          <w:color w:val="000000" w:themeColor="text1"/>
          <w:sz w:val="32"/>
          <w:szCs w:val="32"/>
          <w:lang w:eastAsia="zh-CN"/>
          <w14:textFill>
            <w14:solidFill>
              <w14:schemeClr w14:val="tx1"/>
            </w14:solidFill>
          </w14:textFill>
        </w:rPr>
        <w:t>；</w:t>
      </w:r>
    </w:p>
    <w:p>
      <w:pPr>
        <w:widowControl/>
        <w:spacing w:beforeLines="0" w:afterLines="0" w:line="56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十</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产业投资（CVC）机构需提供南山区纳统企业、上市企业或其控股母公司的出资证明</w:t>
      </w:r>
      <w:r>
        <w:rPr>
          <w:rFonts w:hint="eastAsia" w:ascii="仿宋_GB2312" w:hAnsi="宋体" w:eastAsia="仿宋_GB2312" w:cs="宋体"/>
          <w:color w:val="000000" w:themeColor="text1"/>
          <w:sz w:val="32"/>
          <w:szCs w:val="32"/>
          <w14:textFill>
            <w14:solidFill>
              <w14:schemeClr w14:val="tx1"/>
            </w14:solidFill>
          </w14:textFill>
        </w:rPr>
        <w:t>[原件（或复印件加盖单位公章）彩色扫描成PDF文件上传]</w:t>
      </w:r>
      <w:r>
        <w:rPr>
          <w:rFonts w:hint="eastAsia" w:ascii="仿宋_GB2312" w:hAnsi="宋体" w:eastAsia="仿宋_GB2312" w:cs="宋体"/>
          <w:color w:val="000000" w:themeColor="text1"/>
          <w:sz w:val="32"/>
          <w:szCs w:val="32"/>
          <w:lang w:eastAsia="zh-CN"/>
          <w14:textFill>
            <w14:solidFill>
              <w14:schemeClr w14:val="tx1"/>
            </w14:solidFill>
          </w14:textFill>
        </w:rPr>
        <w:t>；</w:t>
      </w:r>
    </w:p>
    <w:p>
      <w:pPr>
        <w:widowControl/>
        <w:spacing w:beforeLines="0" w:afterLines="0" w:line="56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十一</w:t>
      </w:r>
      <w:r>
        <w:rPr>
          <w:rFonts w:hint="eastAsia" w:ascii="仿宋_GB2312" w:eastAsia="仿宋_GB2312"/>
          <w:color w:val="auto"/>
          <w:sz w:val="32"/>
          <w:szCs w:val="32"/>
          <w:highlight w:val="none"/>
        </w:rPr>
        <w:t>）审核部门认为需要提供的其它材料</w:t>
      </w:r>
      <w:r>
        <w:rPr>
          <w:rFonts w:hint="eastAsia" w:ascii="仿宋_GB2312" w:eastAsia="仿宋_GB2312"/>
          <w:color w:val="000000"/>
          <w:sz w:val="32"/>
          <w:szCs w:val="32"/>
          <w:highlight w:val="none"/>
        </w:rPr>
        <w:t>[原件（或复印件加盖单位公章）彩色扫描成PDF文件上传]</w:t>
      </w:r>
      <w:r>
        <w:rPr>
          <w:rFonts w:hint="eastAsia" w:ascii="仿宋_GB2312" w:eastAsia="仿宋_GB2312"/>
          <w:color w:val="000000"/>
          <w:sz w:val="32"/>
          <w:szCs w:val="32"/>
          <w:highlight w:val="none"/>
          <w:lang w:eastAsia="zh-CN"/>
        </w:rPr>
        <w:t>。</w:t>
      </w:r>
    </w:p>
    <w:p>
      <w:pPr>
        <w:widowControl/>
        <w:spacing w:beforeLines="0" w:afterLines="0" w:line="56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备注：</w:t>
      </w:r>
      <w:r>
        <w:rPr>
          <w:rFonts w:hint="eastAsia" w:ascii="仿宋_GB2312" w:eastAsia="仿宋_GB2312"/>
          <w:color w:val="auto"/>
          <w:sz w:val="32"/>
          <w:szCs w:val="32"/>
          <w:highlight w:val="none"/>
          <w:lang w:val="en-US" w:eastAsia="zh-CN"/>
        </w:rPr>
        <w:t>本项目无需提交纸质件</w:t>
      </w:r>
      <w:r>
        <w:rPr>
          <w:rFonts w:hint="eastAsia" w:ascii="仿宋_GB2312" w:eastAsia="仿宋_GB2312"/>
          <w:color w:val="auto"/>
          <w:sz w:val="32"/>
          <w:szCs w:val="32"/>
          <w:highlight w:val="none"/>
        </w:rPr>
        <w:t>。</w:t>
      </w:r>
    </w:p>
    <w:p>
      <w:pPr>
        <w:widowControl/>
        <w:spacing w:beforeLines="0" w:afterLines="0" w:line="56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rPr>
        <w:t>七、时限要求</w:t>
      </w:r>
    </w:p>
    <w:p>
      <w:pPr>
        <w:widowControl/>
        <w:spacing w:beforeLines="0" w:afterLines="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lang w:val="en-US" w:eastAsia="zh-CN"/>
        </w:rPr>
        <w:t>工业和信息化局（金融发展服务中心）</w:t>
      </w:r>
      <w:r>
        <w:rPr>
          <w:rFonts w:hint="eastAsia" w:ascii="仿宋_GB2312" w:eastAsia="仿宋_GB2312"/>
          <w:color w:val="auto"/>
          <w:sz w:val="32"/>
          <w:szCs w:val="32"/>
          <w:highlight w:val="none"/>
        </w:rPr>
        <w:t>每年安排1-2次集中受理企业申请（具体时间以发布的申报通知为准），获得专项资金资助的单位应于资金计划下达后一个月内，持相关资料办理拨款手续，逾期不办理者视为自动放弃。</w:t>
      </w:r>
    </w:p>
    <w:p>
      <w:pPr>
        <w:widowControl/>
        <w:spacing w:beforeLines="0" w:afterLines="0" w:line="56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rPr>
        <w:t>八、其他事项</w:t>
      </w:r>
    </w:p>
    <w:p>
      <w:pPr>
        <w:widowControl/>
        <w:spacing w:beforeLines="0" w:afterLines="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申请本项目资助的企业应保证其申报材料的完整性、真实性、准确性及合法性，并承担所提交项目申报材料的相关法律责任，如有虚假或侵权等行为，该项目申请无效</w:t>
      </w:r>
      <w:r>
        <w:rPr>
          <w:rFonts w:hint="eastAsia" w:ascii="仿宋_GB2312" w:eastAsia="仿宋_GB2312"/>
          <w:color w:val="auto"/>
          <w:sz w:val="32"/>
          <w:szCs w:val="32"/>
          <w:highlight w:val="none"/>
          <w:lang w:eastAsia="zh-CN"/>
        </w:rPr>
        <w:t>。享受南山区各类扶持政策的风投创投机构应当承诺</w:t>
      </w:r>
      <w:r>
        <w:rPr>
          <w:rFonts w:hint="eastAsia" w:ascii="仿宋_GB2312" w:eastAsia="仿宋_GB2312"/>
          <w:color w:val="auto"/>
          <w:sz w:val="32"/>
          <w:szCs w:val="32"/>
          <w:highlight w:val="none"/>
          <w:lang w:val="en-US" w:eastAsia="zh-CN"/>
        </w:rPr>
        <w:t>5年内不得迁出南山区。</w:t>
      </w:r>
      <w:r>
        <w:rPr>
          <w:rFonts w:hint="eastAsia" w:ascii="仿宋_GB2312" w:eastAsia="仿宋_GB2312"/>
          <w:color w:val="auto"/>
          <w:sz w:val="32"/>
          <w:szCs w:val="32"/>
          <w:highlight w:val="none"/>
        </w:rPr>
        <w:t>如事后发现存在以上行为，本资金主管部门将保留依法追究其法律责任的权利。</w:t>
      </w:r>
    </w:p>
    <w:p>
      <w:pPr>
        <w:widowControl/>
        <w:spacing w:beforeLines="0" w:afterLines="0" w:line="56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rPr>
        <w:t>九、附则</w:t>
      </w:r>
    </w:p>
    <w:p>
      <w:pPr>
        <w:spacing w:beforeLines="0" w:afterLines="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w:t>
      </w:r>
      <w:r>
        <w:rPr>
          <w:rFonts w:hint="eastAsia" w:ascii="仿宋_GB2312" w:eastAsia="仿宋_GB2312"/>
          <w:color w:val="auto"/>
          <w:sz w:val="32"/>
          <w:szCs w:val="32"/>
          <w:highlight w:val="none"/>
          <w:lang w:eastAsia="zh-CN"/>
        </w:rPr>
        <w:t>操作规程</w:t>
      </w:r>
      <w:r>
        <w:rPr>
          <w:rFonts w:hint="eastAsia" w:ascii="仿宋_GB2312" w:eastAsia="仿宋_GB2312"/>
          <w:color w:val="auto"/>
          <w:sz w:val="32"/>
          <w:szCs w:val="32"/>
          <w:highlight w:val="none"/>
        </w:rPr>
        <w:t>由</w:t>
      </w:r>
      <w:r>
        <w:rPr>
          <w:rFonts w:hint="eastAsia" w:ascii="仿宋_GB2312" w:eastAsia="仿宋_GB2312"/>
          <w:color w:val="auto"/>
          <w:sz w:val="32"/>
          <w:szCs w:val="32"/>
          <w:highlight w:val="none"/>
          <w:lang w:eastAsia="zh-CN"/>
        </w:rPr>
        <w:t>南山区</w:t>
      </w:r>
      <w:r>
        <w:rPr>
          <w:rFonts w:hint="eastAsia" w:ascii="仿宋_GB2312" w:eastAsia="仿宋_GB2312"/>
          <w:color w:val="auto"/>
          <w:sz w:val="32"/>
          <w:szCs w:val="32"/>
          <w:highlight w:val="none"/>
          <w:lang w:val="en-US" w:eastAsia="zh-CN"/>
        </w:rPr>
        <w:t>工业和信息化局（金融发展服务中心）</w:t>
      </w:r>
      <w:r>
        <w:rPr>
          <w:rFonts w:hint="eastAsia" w:ascii="仿宋_GB2312" w:eastAsia="仿宋_GB2312"/>
          <w:color w:val="auto"/>
          <w:sz w:val="32"/>
          <w:szCs w:val="32"/>
          <w:highlight w:val="none"/>
        </w:rPr>
        <w:t>负责解释，自发布之日起施行。</w:t>
      </w:r>
    </w:p>
    <w:p>
      <w:pPr>
        <w:spacing w:beforeLines="0" w:afterLines="0" w:line="560" w:lineRule="exact"/>
        <w:ind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pStyle w:val="2"/>
        <w:spacing w:beforeLines="0" w:afterLines="0" w:line="560" w:lineRule="exact"/>
        <w:jc w:val="both"/>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附件：</w:t>
      </w:r>
    </w:p>
    <w:p>
      <w:pPr>
        <w:pStyle w:val="2"/>
        <w:spacing w:beforeLines="0" w:afterLines="0" w:line="560" w:lineRule="exac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基金合伙人实际出资情况表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327"/>
        <w:gridCol w:w="1486"/>
        <w:gridCol w:w="1569"/>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5" w:type="dxa"/>
          </w:tcPr>
          <w:p>
            <w:pPr>
              <w:spacing w:beforeLines="0" w:afterLines="0" w:line="560" w:lineRule="exact"/>
              <w:jc w:val="center"/>
              <w:rPr>
                <w:rFonts w:hint="eastAsia" w:eastAsia="宋体"/>
                <w:color w:val="auto"/>
                <w:highlight w:val="none"/>
                <w:vertAlign w:val="baseline"/>
                <w:lang w:eastAsia="zh-CN"/>
              </w:rPr>
            </w:pPr>
            <w:r>
              <w:rPr>
                <w:rFonts w:hint="eastAsia"/>
                <w:color w:val="auto"/>
                <w:highlight w:val="none"/>
                <w:vertAlign w:val="baseline"/>
                <w:lang w:eastAsia="zh-CN"/>
              </w:rPr>
              <w:t>合伙人名称</w:t>
            </w:r>
          </w:p>
        </w:tc>
        <w:tc>
          <w:tcPr>
            <w:tcW w:w="2327" w:type="dxa"/>
          </w:tcPr>
          <w:p>
            <w:pPr>
              <w:spacing w:beforeLines="0" w:afterLines="0" w:line="560" w:lineRule="exact"/>
              <w:jc w:val="center"/>
              <w:rPr>
                <w:rFonts w:hint="eastAsia" w:eastAsia="宋体"/>
                <w:color w:val="auto"/>
                <w:highlight w:val="none"/>
                <w:vertAlign w:val="baseline"/>
                <w:lang w:eastAsia="zh-CN"/>
              </w:rPr>
            </w:pPr>
            <w:r>
              <w:rPr>
                <w:rFonts w:hint="eastAsia"/>
                <w:color w:val="auto"/>
                <w:highlight w:val="none"/>
                <w:vertAlign w:val="baseline"/>
                <w:lang w:eastAsia="zh-CN"/>
              </w:rPr>
              <w:t>是否为公司制合伙人</w:t>
            </w:r>
          </w:p>
        </w:tc>
        <w:tc>
          <w:tcPr>
            <w:tcW w:w="1486" w:type="dxa"/>
          </w:tcPr>
          <w:p>
            <w:pPr>
              <w:spacing w:beforeLines="0" w:afterLines="0" w:line="560" w:lineRule="exact"/>
              <w:jc w:val="center"/>
              <w:rPr>
                <w:rFonts w:hint="eastAsia" w:eastAsia="宋体"/>
                <w:color w:val="auto"/>
                <w:highlight w:val="none"/>
                <w:vertAlign w:val="baseline"/>
                <w:lang w:eastAsia="zh-CN"/>
              </w:rPr>
            </w:pPr>
            <w:r>
              <w:rPr>
                <w:rFonts w:hint="eastAsia"/>
                <w:color w:val="auto"/>
                <w:highlight w:val="none"/>
                <w:vertAlign w:val="baseline"/>
                <w:lang w:eastAsia="zh-CN"/>
              </w:rPr>
              <w:t>注册地</w:t>
            </w:r>
          </w:p>
        </w:tc>
        <w:tc>
          <w:tcPr>
            <w:tcW w:w="1569" w:type="dxa"/>
          </w:tcPr>
          <w:p>
            <w:pPr>
              <w:spacing w:beforeLines="0" w:afterLines="0" w:line="560" w:lineRule="exact"/>
              <w:jc w:val="center"/>
              <w:rPr>
                <w:rFonts w:hint="eastAsia" w:eastAsia="宋体"/>
                <w:color w:val="auto"/>
                <w:highlight w:val="none"/>
                <w:vertAlign w:val="baseline"/>
                <w:lang w:eastAsia="zh-CN"/>
              </w:rPr>
            </w:pPr>
            <w:r>
              <w:rPr>
                <w:rFonts w:hint="eastAsia"/>
                <w:color w:val="auto"/>
                <w:highlight w:val="none"/>
                <w:vertAlign w:val="baseline"/>
                <w:lang w:eastAsia="zh-CN"/>
              </w:rPr>
              <w:t>实际出资金额</w:t>
            </w:r>
          </w:p>
        </w:tc>
        <w:tc>
          <w:tcPr>
            <w:tcW w:w="2051" w:type="dxa"/>
          </w:tcPr>
          <w:p>
            <w:pPr>
              <w:spacing w:beforeLines="0" w:afterLines="0" w:line="560" w:lineRule="exact"/>
              <w:jc w:val="center"/>
              <w:rPr>
                <w:rFonts w:hint="eastAsia"/>
                <w:color w:val="auto"/>
                <w:highlight w:val="none"/>
                <w:vertAlign w:val="baseline"/>
                <w:lang w:eastAsia="zh-CN"/>
              </w:rPr>
            </w:pPr>
            <w:r>
              <w:rPr>
                <w:rFonts w:hint="eastAsia"/>
                <w:color w:val="auto"/>
                <w:highlight w:val="none"/>
                <w:vertAlign w:val="baseline"/>
                <w:lang w:eastAsia="zh-CN"/>
              </w:rPr>
              <w:t>实际出资金额占比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5" w:type="dxa"/>
          </w:tcPr>
          <w:p>
            <w:pPr>
              <w:spacing w:beforeLines="0" w:afterLines="0" w:line="560" w:lineRule="exact"/>
              <w:rPr>
                <w:rFonts w:hint="eastAsia"/>
                <w:color w:val="auto"/>
                <w:highlight w:val="none"/>
                <w:vertAlign w:val="baseline"/>
              </w:rPr>
            </w:pPr>
          </w:p>
        </w:tc>
        <w:tc>
          <w:tcPr>
            <w:tcW w:w="2327" w:type="dxa"/>
          </w:tcPr>
          <w:p>
            <w:pPr>
              <w:spacing w:beforeLines="0" w:afterLines="0" w:line="560" w:lineRule="exact"/>
              <w:rPr>
                <w:rFonts w:hint="eastAsia"/>
                <w:color w:val="auto"/>
                <w:highlight w:val="none"/>
                <w:vertAlign w:val="baseline"/>
              </w:rPr>
            </w:pPr>
          </w:p>
        </w:tc>
        <w:tc>
          <w:tcPr>
            <w:tcW w:w="1486" w:type="dxa"/>
          </w:tcPr>
          <w:p>
            <w:pPr>
              <w:spacing w:beforeLines="0" w:afterLines="0" w:line="560" w:lineRule="exact"/>
              <w:rPr>
                <w:rFonts w:hint="eastAsia"/>
                <w:color w:val="auto"/>
                <w:highlight w:val="none"/>
                <w:vertAlign w:val="baseline"/>
              </w:rPr>
            </w:pPr>
          </w:p>
        </w:tc>
        <w:tc>
          <w:tcPr>
            <w:tcW w:w="1569" w:type="dxa"/>
          </w:tcPr>
          <w:p>
            <w:pPr>
              <w:spacing w:beforeLines="0" w:afterLines="0" w:line="560" w:lineRule="exact"/>
              <w:rPr>
                <w:rFonts w:hint="eastAsia"/>
                <w:color w:val="auto"/>
                <w:highlight w:val="none"/>
                <w:vertAlign w:val="baseline"/>
              </w:rPr>
            </w:pPr>
          </w:p>
        </w:tc>
        <w:tc>
          <w:tcPr>
            <w:tcW w:w="2051" w:type="dxa"/>
          </w:tcPr>
          <w:p>
            <w:pPr>
              <w:spacing w:beforeLines="0" w:afterLines="0" w:line="560" w:lineRule="exact"/>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5" w:type="dxa"/>
          </w:tcPr>
          <w:p>
            <w:pPr>
              <w:spacing w:beforeLines="0" w:afterLines="0" w:line="560" w:lineRule="exact"/>
              <w:rPr>
                <w:rFonts w:hint="eastAsia"/>
                <w:color w:val="auto"/>
                <w:highlight w:val="none"/>
                <w:vertAlign w:val="baseline"/>
              </w:rPr>
            </w:pPr>
          </w:p>
        </w:tc>
        <w:tc>
          <w:tcPr>
            <w:tcW w:w="2327" w:type="dxa"/>
          </w:tcPr>
          <w:p>
            <w:pPr>
              <w:spacing w:beforeLines="0" w:afterLines="0" w:line="560" w:lineRule="exact"/>
              <w:rPr>
                <w:rFonts w:hint="eastAsia"/>
                <w:color w:val="auto"/>
                <w:highlight w:val="none"/>
                <w:vertAlign w:val="baseline"/>
              </w:rPr>
            </w:pPr>
          </w:p>
        </w:tc>
        <w:tc>
          <w:tcPr>
            <w:tcW w:w="1486" w:type="dxa"/>
          </w:tcPr>
          <w:p>
            <w:pPr>
              <w:spacing w:beforeLines="0" w:afterLines="0" w:line="560" w:lineRule="exact"/>
              <w:rPr>
                <w:rFonts w:hint="eastAsia"/>
                <w:color w:val="auto"/>
                <w:highlight w:val="none"/>
                <w:vertAlign w:val="baseline"/>
              </w:rPr>
            </w:pPr>
          </w:p>
        </w:tc>
        <w:tc>
          <w:tcPr>
            <w:tcW w:w="1569" w:type="dxa"/>
          </w:tcPr>
          <w:p>
            <w:pPr>
              <w:spacing w:beforeLines="0" w:afterLines="0" w:line="560" w:lineRule="exact"/>
              <w:rPr>
                <w:rFonts w:hint="eastAsia"/>
                <w:color w:val="auto"/>
                <w:highlight w:val="none"/>
                <w:vertAlign w:val="baseline"/>
              </w:rPr>
            </w:pPr>
          </w:p>
        </w:tc>
        <w:tc>
          <w:tcPr>
            <w:tcW w:w="2051" w:type="dxa"/>
          </w:tcPr>
          <w:p>
            <w:pPr>
              <w:spacing w:beforeLines="0" w:afterLines="0" w:line="560" w:lineRule="exact"/>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5" w:type="dxa"/>
          </w:tcPr>
          <w:p>
            <w:pPr>
              <w:spacing w:beforeLines="0" w:afterLines="0" w:line="560" w:lineRule="exact"/>
              <w:rPr>
                <w:rFonts w:hint="eastAsia"/>
                <w:color w:val="auto"/>
                <w:highlight w:val="none"/>
                <w:vertAlign w:val="baseline"/>
              </w:rPr>
            </w:pPr>
          </w:p>
        </w:tc>
        <w:tc>
          <w:tcPr>
            <w:tcW w:w="2327" w:type="dxa"/>
          </w:tcPr>
          <w:p>
            <w:pPr>
              <w:spacing w:beforeLines="0" w:afterLines="0" w:line="560" w:lineRule="exact"/>
              <w:rPr>
                <w:rFonts w:hint="eastAsia"/>
                <w:color w:val="auto"/>
                <w:highlight w:val="none"/>
                <w:vertAlign w:val="baseline"/>
              </w:rPr>
            </w:pPr>
          </w:p>
        </w:tc>
        <w:tc>
          <w:tcPr>
            <w:tcW w:w="1486" w:type="dxa"/>
          </w:tcPr>
          <w:p>
            <w:pPr>
              <w:spacing w:beforeLines="0" w:afterLines="0" w:line="560" w:lineRule="exact"/>
              <w:rPr>
                <w:rFonts w:hint="eastAsia"/>
                <w:color w:val="auto"/>
                <w:highlight w:val="none"/>
                <w:vertAlign w:val="baseline"/>
              </w:rPr>
            </w:pPr>
          </w:p>
        </w:tc>
        <w:tc>
          <w:tcPr>
            <w:tcW w:w="1569" w:type="dxa"/>
          </w:tcPr>
          <w:p>
            <w:pPr>
              <w:spacing w:beforeLines="0" w:afterLines="0" w:line="560" w:lineRule="exact"/>
              <w:rPr>
                <w:rFonts w:hint="eastAsia"/>
                <w:color w:val="auto"/>
                <w:highlight w:val="none"/>
                <w:vertAlign w:val="baseline"/>
              </w:rPr>
            </w:pPr>
          </w:p>
        </w:tc>
        <w:tc>
          <w:tcPr>
            <w:tcW w:w="2051" w:type="dxa"/>
          </w:tcPr>
          <w:p>
            <w:pPr>
              <w:spacing w:beforeLines="0" w:afterLines="0" w:line="560" w:lineRule="exact"/>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5" w:type="dxa"/>
          </w:tcPr>
          <w:p>
            <w:pPr>
              <w:spacing w:beforeLines="0" w:afterLines="0" w:line="560" w:lineRule="exact"/>
              <w:rPr>
                <w:rFonts w:hint="eastAsia"/>
                <w:color w:val="auto"/>
                <w:highlight w:val="none"/>
                <w:vertAlign w:val="baseline"/>
              </w:rPr>
            </w:pPr>
          </w:p>
        </w:tc>
        <w:tc>
          <w:tcPr>
            <w:tcW w:w="2327" w:type="dxa"/>
          </w:tcPr>
          <w:p>
            <w:pPr>
              <w:spacing w:beforeLines="0" w:afterLines="0" w:line="560" w:lineRule="exact"/>
              <w:rPr>
                <w:rFonts w:hint="eastAsia"/>
                <w:color w:val="auto"/>
                <w:highlight w:val="none"/>
                <w:vertAlign w:val="baseline"/>
              </w:rPr>
            </w:pPr>
          </w:p>
        </w:tc>
        <w:tc>
          <w:tcPr>
            <w:tcW w:w="1486" w:type="dxa"/>
          </w:tcPr>
          <w:p>
            <w:pPr>
              <w:spacing w:beforeLines="0" w:afterLines="0" w:line="560" w:lineRule="exact"/>
              <w:rPr>
                <w:rFonts w:hint="eastAsia"/>
                <w:color w:val="auto"/>
                <w:highlight w:val="none"/>
                <w:vertAlign w:val="baseline"/>
              </w:rPr>
            </w:pPr>
          </w:p>
        </w:tc>
        <w:tc>
          <w:tcPr>
            <w:tcW w:w="1569" w:type="dxa"/>
          </w:tcPr>
          <w:p>
            <w:pPr>
              <w:spacing w:beforeLines="0" w:afterLines="0" w:line="560" w:lineRule="exact"/>
              <w:rPr>
                <w:rFonts w:hint="eastAsia"/>
                <w:color w:val="auto"/>
                <w:highlight w:val="none"/>
                <w:vertAlign w:val="baseline"/>
              </w:rPr>
            </w:pPr>
          </w:p>
        </w:tc>
        <w:tc>
          <w:tcPr>
            <w:tcW w:w="2051" w:type="dxa"/>
          </w:tcPr>
          <w:p>
            <w:pPr>
              <w:spacing w:beforeLines="0" w:afterLines="0" w:line="560" w:lineRule="exact"/>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15" w:type="dxa"/>
          </w:tcPr>
          <w:p>
            <w:pPr>
              <w:spacing w:beforeLines="0" w:afterLines="0" w:line="560" w:lineRule="exact"/>
              <w:rPr>
                <w:rFonts w:hint="eastAsia"/>
                <w:color w:val="auto"/>
                <w:highlight w:val="none"/>
                <w:vertAlign w:val="baseline"/>
              </w:rPr>
            </w:pPr>
          </w:p>
        </w:tc>
        <w:tc>
          <w:tcPr>
            <w:tcW w:w="2327" w:type="dxa"/>
          </w:tcPr>
          <w:p>
            <w:pPr>
              <w:spacing w:beforeLines="0" w:afterLines="0" w:line="560" w:lineRule="exact"/>
              <w:rPr>
                <w:rFonts w:hint="eastAsia"/>
                <w:color w:val="auto"/>
                <w:highlight w:val="none"/>
                <w:vertAlign w:val="baseline"/>
              </w:rPr>
            </w:pPr>
          </w:p>
        </w:tc>
        <w:tc>
          <w:tcPr>
            <w:tcW w:w="1486" w:type="dxa"/>
          </w:tcPr>
          <w:p>
            <w:pPr>
              <w:spacing w:beforeLines="0" w:afterLines="0" w:line="560" w:lineRule="exact"/>
              <w:rPr>
                <w:rFonts w:hint="eastAsia"/>
                <w:color w:val="auto"/>
                <w:highlight w:val="none"/>
                <w:vertAlign w:val="baseline"/>
              </w:rPr>
            </w:pPr>
          </w:p>
        </w:tc>
        <w:tc>
          <w:tcPr>
            <w:tcW w:w="1569" w:type="dxa"/>
          </w:tcPr>
          <w:p>
            <w:pPr>
              <w:spacing w:beforeLines="0" w:afterLines="0" w:line="560" w:lineRule="exact"/>
              <w:rPr>
                <w:rFonts w:hint="eastAsia"/>
                <w:color w:val="auto"/>
                <w:highlight w:val="none"/>
                <w:vertAlign w:val="baseline"/>
              </w:rPr>
            </w:pPr>
          </w:p>
        </w:tc>
        <w:tc>
          <w:tcPr>
            <w:tcW w:w="2051" w:type="dxa"/>
          </w:tcPr>
          <w:p>
            <w:pPr>
              <w:spacing w:beforeLines="0" w:afterLines="0" w:line="560" w:lineRule="exact"/>
              <w:rPr>
                <w:rFonts w:hint="eastAsia"/>
                <w:color w:val="auto"/>
                <w:highlight w:val="none"/>
                <w:vertAlign w:val="baseline"/>
              </w:rPr>
            </w:pPr>
          </w:p>
        </w:tc>
      </w:tr>
    </w:tbl>
    <w:p>
      <w:pPr>
        <w:spacing w:beforeLines="0" w:afterLines="0" w:line="560" w:lineRule="exact"/>
        <w:rPr>
          <w:rFonts w:hint="eastAsia" w:eastAsia="宋体"/>
          <w:color w:val="auto"/>
          <w:highlight w:val="none"/>
          <w:lang w:eastAsia="zh-CN"/>
        </w:rPr>
      </w:pPr>
      <w:r>
        <w:rPr>
          <w:rFonts w:hint="eastAsia"/>
          <w:color w:val="auto"/>
          <w:highlight w:val="none"/>
          <w:lang w:eastAsia="zh-CN"/>
        </w:rPr>
        <w:t>注：请按南山区公司制合伙人、个人合伙人、非南山区公司制合伙人顺序填写；合伙制合伙人穿透至上级合伙人填写。</w:t>
      </w:r>
    </w:p>
    <w:sectPr>
      <w:footerReference r:id="rId3" w:type="default"/>
      <w:pgSz w:w="11906" w:h="16838"/>
      <w:pgMar w:top="1440" w:right="1361"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OTM1MzNiYTMwZTE0NGFhZjgzOTg1YzcxMDgwOWIifQ=="/>
    <w:docVar w:name="KSO_WPS_MARK_KEY" w:val="b0577e6c-55d9-4653-83d7-08787ad93e79"/>
  </w:docVars>
  <w:rsids>
    <w:rsidRoot w:val="00172A27"/>
    <w:rsid w:val="000158B0"/>
    <w:rsid w:val="00015FC4"/>
    <w:rsid w:val="00080AC6"/>
    <w:rsid w:val="00083BC2"/>
    <w:rsid w:val="000C5CA4"/>
    <w:rsid w:val="000D29E0"/>
    <w:rsid w:val="000D589E"/>
    <w:rsid w:val="000D6A02"/>
    <w:rsid w:val="000E199C"/>
    <w:rsid w:val="000E7990"/>
    <w:rsid w:val="000F5A1A"/>
    <w:rsid w:val="00143CA8"/>
    <w:rsid w:val="00144B10"/>
    <w:rsid w:val="00150506"/>
    <w:rsid w:val="001A104C"/>
    <w:rsid w:val="001C52E2"/>
    <w:rsid w:val="001D3233"/>
    <w:rsid w:val="001D76F6"/>
    <w:rsid w:val="00220B1B"/>
    <w:rsid w:val="00225AED"/>
    <w:rsid w:val="00232A75"/>
    <w:rsid w:val="00247198"/>
    <w:rsid w:val="002778C1"/>
    <w:rsid w:val="0029529B"/>
    <w:rsid w:val="002A0177"/>
    <w:rsid w:val="002A6EA1"/>
    <w:rsid w:val="00303C31"/>
    <w:rsid w:val="00321E48"/>
    <w:rsid w:val="00335B73"/>
    <w:rsid w:val="00340DDC"/>
    <w:rsid w:val="00346D40"/>
    <w:rsid w:val="00363028"/>
    <w:rsid w:val="00367C0E"/>
    <w:rsid w:val="003A64D0"/>
    <w:rsid w:val="003A70E6"/>
    <w:rsid w:val="003C7EF1"/>
    <w:rsid w:val="003D0C64"/>
    <w:rsid w:val="003D78D7"/>
    <w:rsid w:val="003F448D"/>
    <w:rsid w:val="003F5EFA"/>
    <w:rsid w:val="004112A2"/>
    <w:rsid w:val="004153B7"/>
    <w:rsid w:val="00456542"/>
    <w:rsid w:val="004769F8"/>
    <w:rsid w:val="004A0FDA"/>
    <w:rsid w:val="004A64B4"/>
    <w:rsid w:val="004C40A3"/>
    <w:rsid w:val="004E07D7"/>
    <w:rsid w:val="00530C28"/>
    <w:rsid w:val="0053712F"/>
    <w:rsid w:val="005439C4"/>
    <w:rsid w:val="0054629A"/>
    <w:rsid w:val="006077EA"/>
    <w:rsid w:val="00652A9E"/>
    <w:rsid w:val="00656136"/>
    <w:rsid w:val="00661219"/>
    <w:rsid w:val="00670501"/>
    <w:rsid w:val="00694C8B"/>
    <w:rsid w:val="006A4CF9"/>
    <w:rsid w:val="006B2FF2"/>
    <w:rsid w:val="006C4F13"/>
    <w:rsid w:val="00743F3D"/>
    <w:rsid w:val="007723BD"/>
    <w:rsid w:val="007A23F2"/>
    <w:rsid w:val="007D4A55"/>
    <w:rsid w:val="007E4B74"/>
    <w:rsid w:val="00814D01"/>
    <w:rsid w:val="00831D25"/>
    <w:rsid w:val="00842298"/>
    <w:rsid w:val="00871651"/>
    <w:rsid w:val="008869DE"/>
    <w:rsid w:val="00891708"/>
    <w:rsid w:val="008A4557"/>
    <w:rsid w:val="008A6652"/>
    <w:rsid w:val="008A7A41"/>
    <w:rsid w:val="008C58A5"/>
    <w:rsid w:val="00907FCF"/>
    <w:rsid w:val="009144FD"/>
    <w:rsid w:val="00921E7B"/>
    <w:rsid w:val="00932911"/>
    <w:rsid w:val="009336B4"/>
    <w:rsid w:val="00934C8E"/>
    <w:rsid w:val="00953F8A"/>
    <w:rsid w:val="00974DDD"/>
    <w:rsid w:val="009A16B2"/>
    <w:rsid w:val="009E71CD"/>
    <w:rsid w:val="00A02270"/>
    <w:rsid w:val="00A114FA"/>
    <w:rsid w:val="00A472D5"/>
    <w:rsid w:val="00A53471"/>
    <w:rsid w:val="00A53B66"/>
    <w:rsid w:val="00A81DF0"/>
    <w:rsid w:val="00AA4F6F"/>
    <w:rsid w:val="00AF0EB2"/>
    <w:rsid w:val="00AF4571"/>
    <w:rsid w:val="00B002A8"/>
    <w:rsid w:val="00B2777C"/>
    <w:rsid w:val="00B3362A"/>
    <w:rsid w:val="00B6430C"/>
    <w:rsid w:val="00B73A54"/>
    <w:rsid w:val="00B75938"/>
    <w:rsid w:val="00BB37F0"/>
    <w:rsid w:val="00CE00D6"/>
    <w:rsid w:val="00CE0E6A"/>
    <w:rsid w:val="00CE37DA"/>
    <w:rsid w:val="00D13352"/>
    <w:rsid w:val="00D3588E"/>
    <w:rsid w:val="00D50A4E"/>
    <w:rsid w:val="00D87682"/>
    <w:rsid w:val="00D940F2"/>
    <w:rsid w:val="00D97533"/>
    <w:rsid w:val="00DE582F"/>
    <w:rsid w:val="00DF5453"/>
    <w:rsid w:val="00E01923"/>
    <w:rsid w:val="00E14595"/>
    <w:rsid w:val="00E259D2"/>
    <w:rsid w:val="00E956A6"/>
    <w:rsid w:val="00EB6ED1"/>
    <w:rsid w:val="00ED08B4"/>
    <w:rsid w:val="00ED5996"/>
    <w:rsid w:val="00F04BF1"/>
    <w:rsid w:val="00F10233"/>
    <w:rsid w:val="00F1642B"/>
    <w:rsid w:val="00F2676C"/>
    <w:rsid w:val="00F3374B"/>
    <w:rsid w:val="00FC5E13"/>
    <w:rsid w:val="00FF1695"/>
    <w:rsid w:val="013442D9"/>
    <w:rsid w:val="016067A8"/>
    <w:rsid w:val="02797491"/>
    <w:rsid w:val="03026EC1"/>
    <w:rsid w:val="03D92AFE"/>
    <w:rsid w:val="03EB5B3B"/>
    <w:rsid w:val="046C4DDD"/>
    <w:rsid w:val="04E13A54"/>
    <w:rsid w:val="04E757D3"/>
    <w:rsid w:val="064D7C47"/>
    <w:rsid w:val="07916569"/>
    <w:rsid w:val="08B20C06"/>
    <w:rsid w:val="09B16F69"/>
    <w:rsid w:val="0A2E5821"/>
    <w:rsid w:val="0BF87DD2"/>
    <w:rsid w:val="0C030474"/>
    <w:rsid w:val="0CA71485"/>
    <w:rsid w:val="0D244E84"/>
    <w:rsid w:val="0D3903B0"/>
    <w:rsid w:val="0D5E1091"/>
    <w:rsid w:val="0ED268C1"/>
    <w:rsid w:val="10CA3D3A"/>
    <w:rsid w:val="118154DB"/>
    <w:rsid w:val="11AB044C"/>
    <w:rsid w:val="124853EA"/>
    <w:rsid w:val="125D390D"/>
    <w:rsid w:val="126D414E"/>
    <w:rsid w:val="12AF3E58"/>
    <w:rsid w:val="12F473DC"/>
    <w:rsid w:val="132D409D"/>
    <w:rsid w:val="13A41B39"/>
    <w:rsid w:val="13EF56F6"/>
    <w:rsid w:val="142B6FFC"/>
    <w:rsid w:val="146B50E8"/>
    <w:rsid w:val="14BD284B"/>
    <w:rsid w:val="150A5D8E"/>
    <w:rsid w:val="155E709A"/>
    <w:rsid w:val="168C3B29"/>
    <w:rsid w:val="16B10E05"/>
    <w:rsid w:val="17022454"/>
    <w:rsid w:val="172C62BF"/>
    <w:rsid w:val="17891A56"/>
    <w:rsid w:val="17C21D17"/>
    <w:rsid w:val="18155030"/>
    <w:rsid w:val="19DE4DEE"/>
    <w:rsid w:val="19E568D0"/>
    <w:rsid w:val="19EC51B8"/>
    <w:rsid w:val="1B494CC0"/>
    <w:rsid w:val="1CE8062E"/>
    <w:rsid w:val="1D3F3F70"/>
    <w:rsid w:val="1DEEFD84"/>
    <w:rsid w:val="1F79635E"/>
    <w:rsid w:val="1F952F0C"/>
    <w:rsid w:val="1FE74413"/>
    <w:rsid w:val="20B367C3"/>
    <w:rsid w:val="2107646A"/>
    <w:rsid w:val="21492354"/>
    <w:rsid w:val="2178107F"/>
    <w:rsid w:val="21E62F1E"/>
    <w:rsid w:val="22625CFB"/>
    <w:rsid w:val="227F6EFD"/>
    <w:rsid w:val="228037CF"/>
    <w:rsid w:val="22DC4FAF"/>
    <w:rsid w:val="23930857"/>
    <w:rsid w:val="26283F19"/>
    <w:rsid w:val="2632642F"/>
    <w:rsid w:val="26C46941"/>
    <w:rsid w:val="26FB054E"/>
    <w:rsid w:val="27920E20"/>
    <w:rsid w:val="27D37DDC"/>
    <w:rsid w:val="286D47DA"/>
    <w:rsid w:val="295E4DC4"/>
    <w:rsid w:val="29AC7DF9"/>
    <w:rsid w:val="29B21FB1"/>
    <w:rsid w:val="29BD65DB"/>
    <w:rsid w:val="2A237987"/>
    <w:rsid w:val="2A36153A"/>
    <w:rsid w:val="2A497A11"/>
    <w:rsid w:val="2A501DB4"/>
    <w:rsid w:val="2AB975F0"/>
    <w:rsid w:val="2AFB4F87"/>
    <w:rsid w:val="2C781F28"/>
    <w:rsid w:val="2C96734F"/>
    <w:rsid w:val="2D633EA9"/>
    <w:rsid w:val="2E633793"/>
    <w:rsid w:val="2EAD26A6"/>
    <w:rsid w:val="2ECF199C"/>
    <w:rsid w:val="2F0C2252"/>
    <w:rsid w:val="2F47175B"/>
    <w:rsid w:val="309232AD"/>
    <w:rsid w:val="312D57A8"/>
    <w:rsid w:val="31362203"/>
    <w:rsid w:val="317D616C"/>
    <w:rsid w:val="319544E8"/>
    <w:rsid w:val="31F11A84"/>
    <w:rsid w:val="323A7ADD"/>
    <w:rsid w:val="32C0286A"/>
    <w:rsid w:val="340837AF"/>
    <w:rsid w:val="367A64A1"/>
    <w:rsid w:val="369411AB"/>
    <w:rsid w:val="378A2FE4"/>
    <w:rsid w:val="37BE2036"/>
    <w:rsid w:val="37E87110"/>
    <w:rsid w:val="3804030A"/>
    <w:rsid w:val="383B6B57"/>
    <w:rsid w:val="391B0D71"/>
    <w:rsid w:val="3B662C10"/>
    <w:rsid w:val="3CA922DC"/>
    <w:rsid w:val="3DE94B34"/>
    <w:rsid w:val="3E261B3B"/>
    <w:rsid w:val="3E7F1C28"/>
    <w:rsid w:val="3FE86893"/>
    <w:rsid w:val="3FF30099"/>
    <w:rsid w:val="400718BA"/>
    <w:rsid w:val="403C6D52"/>
    <w:rsid w:val="40BB58A9"/>
    <w:rsid w:val="431A7B56"/>
    <w:rsid w:val="43BE1658"/>
    <w:rsid w:val="445C5BE2"/>
    <w:rsid w:val="45030215"/>
    <w:rsid w:val="455E3B8A"/>
    <w:rsid w:val="458675DF"/>
    <w:rsid w:val="4757535A"/>
    <w:rsid w:val="47624F5D"/>
    <w:rsid w:val="47F1271A"/>
    <w:rsid w:val="49923172"/>
    <w:rsid w:val="4B207FF4"/>
    <w:rsid w:val="4C210609"/>
    <w:rsid w:val="4C2F4551"/>
    <w:rsid w:val="4D221AA6"/>
    <w:rsid w:val="4E464668"/>
    <w:rsid w:val="4E803ED7"/>
    <w:rsid w:val="504A44B1"/>
    <w:rsid w:val="516428BB"/>
    <w:rsid w:val="51F33B31"/>
    <w:rsid w:val="528A21F0"/>
    <w:rsid w:val="531466EC"/>
    <w:rsid w:val="53594222"/>
    <w:rsid w:val="550D0B2D"/>
    <w:rsid w:val="55762A6F"/>
    <w:rsid w:val="55816697"/>
    <w:rsid w:val="55E96ABB"/>
    <w:rsid w:val="569511B8"/>
    <w:rsid w:val="57DF6150"/>
    <w:rsid w:val="596307A5"/>
    <w:rsid w:val="5A1232CB"/>
    <w:rsid w:val="5A331717"/>
    <w:rsid w:val="5A4128C1"/>
    <w:rsid w:val="5A97031A"/>
    <w:rsid w:val="5B2B5BD4"/>
    <w:rsid w:val="5B59652C"/>
    <w:rsid w:val="5B865963"/>
    <w:rsid w:val="5B9557A4"/>
    <w:rsid w:val="5C4720D0"/>
    <w:rsid w:val="5CF179B5"/>
    <w:rsid w:val="5D2149D1"/>
    <w:rsid w:val="5DF50771"/>
    <w:rsid w:val="5F347287"/>
    <w:rsid w:val="5F8A300A"/>
    <w:rsid w:val="6017192A"/>
    <w:rsid w:val="60BC0DE5"/>
    <w:rsid w:val="61594690"/>
    <w:rsid w:val="62563DD4"/>
    <w:rsid w:val="629D5358"/>
    <w:rsid w:val="63DA2270"/>
    <w:rsid w:val="6411420B"/>
    <w:rsid w:val="65DA0D53"/>
    <w:rsid w:val="6611768F"/>
    <w:rsid w:val="666F44DA"/>
    <w:rsid w:val="67E6987B"/>
    <w:rsid w:val="680D196E"/>
    <w:rsid w:val="6866576B"/>
    <w:rsid w:val="68A502CB"/>
    <w:rsid w:val="697119CE"/>
    <w:rsid w:val="6983297D"/>
    <w:rsid w:val="6A3933BE"/>
    <w:rsid w:val="6A71089E"/>
    <w:rsid w:val="6A83652C"/>
    <w:rsid w:val="6A856D82"/>
    <w:rsid w:val="6BB34796"/>
    <w:rsid w:val="6CCF60ED"/>
    <w:rsid w:val="6ECD75C1"/>
    <w:rsid w:val="6EED4ED6"/>
    <w:rsid w:val="6F2F0107"/>
    <w:rsid w:val="6FFF9CA2"/>
    <w:rsid w:val="70C32BE5"/>
    <w:rsid w:val="7132524D"/>
    <w:rsid w:val="717958C4"/>
    <w:rsid w:val="72960CDC"/>
    <w:rsid w:val="7298562B"/>
    <w:rsid w:val="729D55E2"/>
    <w:rsid w:val="73F51455"/>
    <w:rsid w:val="748D4CA1"/>
    <w:rsid w:val="75235525"/>
    <w:rsid w:val="768D2A93"/>
    <w:rsid w:val="76C17351"/>
    <w:rsid w:val="76DF2942"/>
    <w:rsid w:val="775F7ECD"/>
    <w:rsid w:val="77BE445A"/>
    <w:rsid w:val="77BE9DE1"/>
    <w:rsid w:val="78357335"/>
    <w:rsid w:val="7987B646"/>
    <w:rsid w:val="79B17BC5"/>
    <w:rsid w:val="7A696318"/>
    <w:rsid w:val="7B042206"/>
    <w:rsid w:val="7B826AF6"/>
    <w:rsid w:val="7BB04186"/>
    <w:rsid w:val="7C3675F8"/>
    <w:rsid w:val="7C544994"/>
    <w:rsid w:val="7C9A5A94"/>
    <w:rsid w:val="7CF63021"/>
    <w:rsid w:val="7D23650D"/>
    <w:rsid w:val="7E8F76D4"/>
    <w:rsid w:val="7EA634C0"/>
    <w:rsid w:val="7EB3209B"/>
    <w:rsid w:val="7EF01E9A"/>
    <w:rsid w:val="7FE7E52C"/>
    <w:rsid w:val="87FD397C"/>
    <w:rsid w:val="9BBF2EBE"/>
    <w:rsid w:val="BEDFD568"/>
    <w:rsid w:val="BFD24DD0"/>
    <w:rsid w:val="DFDE6DF7"/>
    <w:rsid w:val="FF7FC8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ind w:firstLine="0" w:firstLineChars="0"/>
      <w:jc w:val="center"/>
      <w:outlineLvl w:val="0"/>
    </w:pPr>
    <w:rPr>
      <w:rFonts w:eastAsia="黑体"/>
      <w:kern w:val="44"/>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Lines="0" w:beforeAutospacing="1" w:after="100" w:afterLines="0" w:afterAutospacing="1" w:line="375" w:lineRule="atLeast"/>
      <w:ind w:left="150"/>
      <w:jc w:val="left"/>
    </w:pPr>
    <w:rPr>
      <w:rFonts w:ascii="宋体" w:hAnsi="宋体" w:cs="宋体"/>
      <w:color w:val="555555"/>
      <w:kern w:val="0"/>
      <w:sz w:val="24"/>
    </w:rPr>
  </w:style>
  <w:style w:type="paragraph" w:styleId="9">
    <w:name w:val="annotation subject"/>
    <w:basedOn w:val="3"/>
    <w:next w:val="3"/>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页脚 Char"/>
    <w:link w:val="5"/>
    <w:qFormat/>
    <w:uiPriority w:val="0"/>
    <w:rPr>
      <w:kern w:val="2"/>
      <w:sz w:val="18"/>
      <w:szCs w:val="18"/>
    </w:rPr>
  </w:style>
  <w:style w:type="character" w:customStyle="1" w:styleId="17">
    <w:name w:val="页眉 Char"/>
    <w:link w:val="6"/>
    <w:qFormat/>
    <w:uiPriority w:val="0"/>
    <w:rPr>
      <w:kern w:val="2"/>
      <w:sz w:val="18"/>
      <w:szCs w:val="18"/>
    </w:rPr>
  </w:style>
  <w:style w:type="character" w:customStyle="1" w:styleId="18">
    <w:name w:val="defaultfont1"/>
    <w:basedOn w:val="12"/>
    <w:qFormat/>
    <w:uiPriority w:val="0"/>
  </w:style>
  <w:style w:type="paragraph" w:customStyle="1" w:styleId="19">
    <w:name w:val="cas_cont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0">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默认段落字体 Para Char Char"/>
    <w:basedOn w:val="1"/>
    <w:qFormat/>
    <w:uiPriority w:val="0"/>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defaultfo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
    <w:name w:val="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6327</Words>
  <Characters>6903</Characters>
  <Lines>16</Lines>
  <Paragraphs>4</Paragraphs>
  <TotalTime>11</TotalTime>
  <ScaleCrop>false</ScaleCrop>
  <LinksUpToDate>false</LinksUpToDate>
  <CharactersWithSpaces>6908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2018-05-23T21:38:00Z</dcterms:created>
  <dc:creator>User</dc:creator>
  <cp:lastModifiedBy>刘畅</cp:lastModifiedBy>
  <cp:lastPrinted>2023-03-02T21:00:00Z</cp:lastPrinted>
  <dcterms:modified xsi:type="dcterms:W3CDTF">2023-04-19T18:13:57Z</dcterms:modified>
  <dc:title>第一章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E4760DE990A24D30BBD759BFDD5835C3_13</vt:lpwstr>
  </property>
</Properties>
</file>