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ascii="Arial" w:hAnsi="Arial" w:cs="Arial"/>
          <w:color w:val="333333"/>
          <w:szCs w:val="21"/>
        </w:rPr>
      </w:pPr>
    </w:p>
    <w:p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</w:rPr>
        <w:t>22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12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</w:rPr>
        <w:t xml:space="preserve">  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深圳市南山区工业和信息化局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200" w:hanging="1200" w:hangingChars="4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促进消费提升扶持计划（纾困政策—住宿餐饮及批发零售企业防疫消杀补贴项目）</w:t>
      </w:r>
      <w:r>
        <w:rPr>
          <w:rFonts w:hint="eastAsia"/>
          <w:sz w:val="30"/>
          <w:szCs w:val="30"/>
          <w:u w:val="single"/>
          <w:lang w:eastAsia="zh-CN"/>
        </w:rPr>
        <w:t>第三批</w:t>
      </w:r>
      <w:bookmarkStart w:id="0" w:name="_GoBack"/>
      <w:bookmarkEnd w:id="0"/>
      <w:r>
        <w:rPr>
          <w:sz w:val="30"/>
          <w:szCs w:val="30"/>
          <w:u w:val="single"/>
        </w:rPr>
        <w:t>资助款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</w:rPr>
        <w:t>人民币零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</w:rPr>
        <w:t xml:space="preserve">0.00 </w:t>
      </w:r>
      <w:r>
        <w:rPr>
          <w:rFonts w:hint="eastAsia"/>
          <w:sz w:val="30"/>
          <w:szCs w:val="30"/>
        </w:rPr>
        <w:t xml:space="preserve">万元        </w:t>
      </w:r>
      <w:r>
        <w:rPr>
          <w:sz w:val="30"/>
          <w:szCs w:val="30"/>
        </w:rPr>
        <w:t>收款单位（财务专用章）</w:t>
      </w:r>
    </w:p>
    <w:p>
      <w:pPr>
        <w:ind w:firstLine="3300" w:firstLineChars="1100"/>
        <w:rPr>
          <w:sz w:val="24"/>
        </w:rPr>
      </w:pPr>
      <w:r>
        <w:rPr>
          <w:rFonts w:hint="eastAsia"/>
          <w:sz w:val="30"/>
          <w:szCs w:val="30"/>
        </w:rPr>
        <w:t>复核人：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hint="eastAsia"/>
          <w:sz w:val="30"/>
          <w:szCs w:val="30"/>
        </w:rPr>
        <w:t>制单人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1759" w:leftChars="152" w:hanging="1440" w:hangingChars="45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>促进消费提升扶持计划（纾困政策—住宿餐饮及批发零售企业防疫消杀补贴项目）</w:t>
      </w:r>
    </w:p>
    <w:p>
      <w:pPr>
        <w:ind w:firstLine="320" w:firstLineChars="1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</w:p>
    <w:p>
      <w:pPr>
        <w:ind w:firstLine="960" w:firstLineChars="30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</w:t>
      </w:r>
      <w:r>
        <w:rPr>
          <w:rFonts w:hint="eastAsia" w:ascii="Arial" w:hAnsi="Arial" w:cs="Arial"/>
          <w:color w:val="333333"/>
          <w:sz w:val="22"/>
          <w:szCs w:val="22"/>
        </w:rPr>
        <w:t xml:space="preserve">　                            </w:t>
      </w:r>
    </w:p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1、收款收据金额（大写、小写金额均需填）需自行规范填写，奖励金额详见通知附件。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收款收据中复核人、制单人</w:t>
      </w:r>
      <w:r>
        <w:rPr>
          <w:rFonts w:hint="eastAsia"/>
          <w:sz w:val="32"/>
          <w:szCs w:val="32"/>
          <w:highlight w:val="red"/>
        </w:rPr>
        <w:t>必填且不同人员，签名需使用黑色签字水笔手签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3、收款单位盖章必须为财务章，若收款单位名称和财务章不一致，收款单位必须同步提交《变更备案通知书》及加盖企业公章的情况说明。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FBE30"/>
    <w:multiLevelType w:val="singleLevel"/>
    <w:tmpl w:val="753FBE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2E0A52BE"/>
    <w:rsid w:val="6FF90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20</TotalTime>
  <ScaleCrop>false</ScaleCrop>
  <LinksUpToDate>false</LinksUpToDate>
  <CharactersWithSpaces>564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2020-09-10T17:28:00Z</dcterms:created>
  <dc:creator>Administrator</dc:creator>
  <cp:lastModifiedBy>huawei</cp:lastModifiedBy>
  <cp:lastPrinted>2019-04-16T16:17:00Z</cp:lastPrinted>
  <dcterms:modified xsi:type="dcterms:W3CDTF">2022-12-02T11:18:41Z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