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3E18C">
      <w:pPr>
        <w:adjustRightInd w:val="0"/>
        <w:snapToGrid w:val="0"/>
        <w:spacing w:line="360" w:lineRule="auto"/>
        <w:ind w:firstLine="4779" w:firstLineChars="1700"/>
        <w:rPr>
          <w:rFonts w:ascii="方正大黑简体" w:eastAsia="方正大黑简体"/>
          <w:color w:val="auto"/>
          <w:sz w:val="44"/>
          <w:highlight w:val="none"/>
        </w:rPr>
      </w:pPr>
      <w:r>
        <w:rPr>
          <w:rFonts w:hint="eastAsia"/>
          <w:b/>
          <w:bCs/>
          <w:color w:val="auto"/>
          <w:sz w:val="28"/>
          <w:highlight w:val="none"/>
        </w:rPr>
        <w:t>标段编号：</w:t>
      </w:r>
      <w:r>
        <w:rPr>
          <w:color w:val="auto"/>
          <w:sz w:val="28"/>
          <w:highlight w:val="none"/>
          <w:u w:val="single"/>
        </w:rPr>
        <w:t xml:space="preserve">       </w:t>
      </w:r>
      <w:r>
        <w:rPr>
          <w:bCs/>
          <w:color w:val="auto"/>
          <w:sz w:val="28"/>
          <w:highlight w:val="none"/>
          <w:u w:val="single"/>
        </w:rPr>
        <w:fldChar w:fldCharType="begin"/>
      </w:r>
      <w:r>
        <w:rPr>
          <w:bCs/>
          <w:color w:val="auto"/>
          <w:sz w:val="28"/>
          <w:highlight w:val="none"/>
          <w:u w:val="single"/>
        </w:rPr>
        <w:instrText xml:space="preserve"> AUTOTEXT  input1 \* MERGEFORMAT </w:instrText>
      </w:r>
      <w:r>
        <w:rPr>
          <w:bCs/>
          <w:color w:val="auto"/>
          <w:sz w:val="28"/>
          <w:highlight w:val="none"/>
          <w:u w:val="single"/>
        </w:rPr>
        <w:fldChar w:fldCharType="end"/>
      </w:r>
    </w:p>
    <w:p w14:paraId="6AC58F12">
      <w:pPr>
        <w:adjustRightInd w:val="0"/>
        <w:snapToGrid w:val="0"/>
        <w:spacing w:line="360" w:lineRule="auto"/>
        <w:rPr>
          <w:rFonts w:ascii="黑体" w:eastAsia="黑体"/>
          <w:b/>
          <w:bCs/>
          <w:color w:val="auto"/>
          <w:sz w:val="28"/>
          <w:szCs w:val="28"/>
          <w:highlight w:val="none"/>
        </w:rPr>
      </w:pPr>
    </w:p>
    <w:p w14:paraId="012B7BA8">
      <w:pPr>
        <w:adjustRightInd w:val="0"/>
        <w:snapToGrid w:val="0"/>
        <w:spacing w:line="360" w:lineRule="auto"/>
        <w:rPr>
          <w:rFonts w:ascii="黑体" w:eastAsia="黑体"/>
          <w:b/>
          <w:bCs/>
          <w:color w:val="auto"/>
          <w:sz w:val="28"/>
          <w:szCs w:val="28"/>
          <w:highlight w:val="none"/>
        </w:rPr>
      </w:pPr>
    </w:p>
    <w:p w14:paraId="1A668EC8">
      <w:pPr>
        <w:adjustRightInd w:val="0"/>
        <w:snapToGrid w:val="0"/>
        <w:spacing w:line="360" w:lineRule="auto"/>
        <w:jc w:val="center"/>
        <w:rPr>
          <w:rFonts w:ascii="黑体" w:eastAsia="黑体"/>
          <w:b/>
          <w:bCs/>
          <w:color w:val="auto"/>
          <w:sz w:val="72"/>
          <w:highlight w:val="none"/>
        </w:rPr>
      </w:pPr>
      <w:r>
        <w:rPr>
          <w:rFonts w:hint="eastAsia" w:ascii="黑体" w:eastAsia="黑体"/>
          <w:b/>
          <w:bCs/>
          <w:color w:val="auto"/>
          <w:sz w:val="72"/>
          <w:highlight w:val="none"/>
        </w:rPr>
        <w:t>深圳市建设工程</w:t>
      </w:r>
    </w:p>
    <w:p w14:paraId="73DC93B3">
      <w:pPr>
        <w:adjustRightInd w:val="0"/>
        <w:snapToGrid w:val="0"/>
        <w:spacing w:line="360" w:lineRule="auto"/>
        <w:jc w:val="center"/>
        <w:rPr>
          <w:rFonts w:ascii="黑体" w:eastAsia="黑体"/>
          <w:b/>
          <w:bCs/>
          <w:color w:val="auto"/>
          <w:sz w:val="72"/>
          <w:highlight w:val="none"/>
        </w:rPr>
      </w:pPr>
      <w:r>
        <w:rPr>
          <w:rFonts w:hint="eastAsia" w:ascii="黑体" w:eastAsia="黑体"/>
          <w:b/>
          <w:bCs/>
          <w:color w:val="auto"/>
          <w:sz w:val="72"/>
          <w:highlight w:val="none"/>
        </w:rPr>
        <w:t>其他类招标文件</w:t>
      </w:r>
    </w:p>
    <w:p w14:paraId="39BBEBC4">
      <w:pPr>
        <w:adjustRightInd w:val="0"/>
        <w:snapToGrid w:val="0"/>
        <w:spacing w:line="360" w:lineRule="auto"/>
        <w:ind w:firstLine="1084" w:firstLineChars="300"/>
        <w:rPr>
          <w:b/>
          <w:color w:val="auto"/>
          <w:sz w:val="36"/>
          <w:szCs w:val="36"/>
          <w:highlight w:val="none"/>
        </w:rPr>
      </w:pPr>
    </w:p>
    <w:p w14:paraId="1586C1E2">
      <w:pPr>
        <w:adjustRightInd w:val="0"/>
        <w:snapToGrid w:val="0"/>
        <w:spacing w:line="360" w:lineRule="auto"/>
        <w:ind w:firstLine="843" w:firstLineChars="300"/>
        <w:rPr>
          <w:b/>
          <w:bCs/>
          <w:color w:val="auto"/>
          <w:sz w:val="28"/>
          <w:highlight w:val="none"/>
        </w:rPr>
      </w:pPr>
    </w:p>
    <w:p w14:paraId="0FD6F5C4">
      <w:pPr>
        <w:adjustRightInd w:val="0"/>
        <w:snapToGrid w:val="0"/>
        <w:spacing w:line="360" w:lineRule="auto"/>
        <w:ind w:firstLine="843" w:firstLineChars="300"/>
        <w:rPr>
          <w:b/>
          <w:bCs/>
          <w:color w:val="auto"/>
          <w:sz w:val="28"/>
          <w:highlight w:val="none"/>
        </w:rPr>
      </w:pPr>
    </w:p>
    <w:p w14:paraId="6DC1CBE0">
      <w:pPr>
        <w:adjustRightInd w:val="0"/>
        <w:snapToGrid w:val="0"/>
        <w:spacing w:line="360" w:lineRule="auto"/>
        <w:ind w:firstLine="843" w:firstLineChars="300"/>
        <w:rPr>
          <w:b/>
          <w:bCs/>
          <w:color w:val="auto"/>
          <w:sz w:val="28"/>
          <w:highlight w:val="none"/>
        </w:rPr>
      </w:pPr>
      <w:r>
        <w:rPr>
          <w:rFonts w:hint="eastAsia"/>
          <w:b/>
          <w:bCs/>
          <w:color w:val="auto"/>
          <w:sz w:val="28"/>
          <w:highlight w:val="none"/>
        </w:rPr>
        <w:t>标段名称：</w:t>
      </w:r>
      <w:r>
        <w:rPr>
          <w:rFonts w:hint="eastAsia"/>
          <w:color w:val="auto"/>
          <w:sz w:val="28"/>
          <w:highlight w:val="none"/>
          <w:u w:val="single"/>
        </w:rPr>
        <w:t>铁岗水库牛成村建成区径流调蓄转输工程—宣传拍摄</w:t>
      </w:r>
      <w:r>
        <w:rPr>
          <w:bCs/>
          <w:color w:val="auto"/>
          <w:sz w:val="28"/>
          <w:highlight w:val="none"/>
          <w:u w:val="single"/>
        </w:rPr>
        <w:fldChar w:fldCharType="begin"/>
      </w:r>
      <w:r>
        <w:rPr>
          <w:bCs/>
          <w:color w:val="auto"/>
          <w:sz w:val="28"/>
          <w:highlight w:val="none"/>
          <w:u w:val="single"/>
        </w:rPr>
        <w:instrText xml:space="preserve"> AUTOTEXT  input2 \* MERGEFORMAT </w:instrText>
      </w:r>
      <w:r>
        <w:rPr>
          <w:bCs/>
          <w:color w:val="auto"/>
          <w:sz w:val="28"/>
          <w:highlight w:val="none"/>
          <w:u w:val="single"/>
        </w:rPr>
        <w:fldChar w:fldCharType="end"/>
      </w:r>
    </w:p>
    <w:p w14:paraId="1AA8ECBA">
      <w:pPr>
        <w:adjustRightInd w:val="0"/>
        <w:snapToGrid w:val="0"/>
        <w:spacing w:line="360" w:lineRule="auto"/>
        <w:ind w:firstLine="843" w:firstLineChars="300"/>
        <w:rPr>
          <w:b/>
          <w:bCs/>
          <w:color w:val="auto"/>
          <w:sz w:val="28"/>
          <w:highlight w:val="none"/>
        </w:rPr>
      </w:pPr>
      <w:r>
        <w:rPr>
          <w:rFonts w:hint="eastAsia"/>
          <w:b/>
          <w:bCs/>
          <w:color w:val="auto"/>
          <w:sz w:val="28"/>
          <w:highlight w:val="none"/>
        </w:rPr>
        <w:t>招 标 人：</w:t>
      </w:r>
      <w:r>
        <w:rPr>
          <w:rFonts w:hint="eastAsia"/>
          <w:color w:val="auto"/>
          <w:sz w:val="28"/>
          <w:highlight w:val="none"/>
          <w:u w:val="single"/>
        </w:rPr>
        <w:t>深圳市工勘岩土集团有限公司</w:t>
      </w:r>
      <w:r>
        <w:rPr>
          <w:bCs/>
          <w:color w:val="auto"/>
          <w:sz w:val="28"/>
          <w:highlight w:val="none"/>
          <w:u w:val="single"/>
        </w:rPr>
        <w:fldChar w:fldCharType="begin"/>
      </w:r>
      <w:r>
        <w:rPr>
          <w:bCs/>
          <w:color w:val="auto"/>
          <w:sz w:val="28"/>
          <w:highlight w:val="none"/>
          <w:u w:val="single"/>
        </w:rPr>
        <w:instrText xml:space="preserve"> AUTOTEXT  input4 \* MERGEFORMAT </w:instrText>
      </w:r>
      <w:r>
        <w:rPr>
          <w:bCs/>
          <w:color w:val="auto"/>
          <w:sz w:val="28"/>
          <w:highlight w:val="none"/>
          <w:u w:val="single"/>
        </w:rPr>
        <w:fldChar w:fldCharType="end"/>
      </w:r>
    </w:p>
    <w:p w14:paraId="1345FC5F">
      <w:pPr>
        <w:adjustRightInd w:val="0"/>
        <w:snapToGrid w:val="0"/>
        <w:spacing w:line="360" w:lineRule="auto"/>
        <w:ind w:firstLine="843" w:firstLineChars="300"/>
        <w:rPr>
          <w:b/>
          <w:bCs/>
          <w:color w:val="auto"/>
          <w:sz w:val="28"/>
          <w:highlight w:val="none"/>
        </w:rPr>
      </w:pPr>
      <w:r>
        <w:rPr>
          <w:rFonts w:hint="eastAsia"/>
          <w:b/>
          <w:bCs/>
          <w:color w:val="auto"/>
          <w:sz w:val="28"/>
          <w:highlight w:val="none"/>
        </w:rPr>
        <w:t>法定代表人或其委托代理人：</w:t>
      </w:r>
      <w:r>
        <w:rPr>
          <w:rFonts w:hint="eastAsia"/>
          <w:color w:val="auto"/>
          <w:sz w:val="28"/>
          <w:highlight w:val="none"/>
          <w:u w:val="single"/>
        </w:rPr>
        <w:t>李红波</w:t>
      </w:r>
      <w:r>
        <w:rPr>
          <w:bCs/>
          <w:color w:val="auto"/>
          <w:sz w:val="28"/>
          <w:highlight w:val="none"/>
          <w:u w:val="single"/>
        </w:rPr>
        <w:fldChar w:fldCharType="begin"/>
      </w:r>
      <w:r>
        <w:rPr>
          <w:bCs/>
          <w:color w:val="auto"/>
          <w:sz w:val="28"/>
          <w:highlight w:val="none"/>
          <w:u w:val="single"/>
        </w:rPr>
        <w:instrText xml:space="preserve"> AUTOTEXT  input5 \* MERGEFORMAT </w:instrText>
      </w:r>
      <w:r>
        <w:rPr>
          <w:bCs/>
          <w:color w:val="auto"/>
          <w:sz w:val="28"/>
          <w:highlight w:val="none"/>
          <w:u w:val="single"/>
        </w:rPr>
        <w:fldChar w:fldCharType="end"/>
      </w:r>
    </w:p>
    <w:p w14:paraId="778E4C12">
      <w:pPr>
        <w:adjustRightInd w:val="0"/>
        <w:snapToGrid w:val="0"/>
        <w:spacing w:line="360" w:lineRule="auto"/>
        <w:ind w:firstLine="843" w:firstLineChars="300"/>
        <w:rPr>
          <w:b/>
          <w:bCs/>
          <w:color w:val="auto"/>
          <w:sz w:val="28"/>
          <w:highlight w:val="none"/>
        </w:rPr>
      </w:pPr>
      <w:r>
        <w:rPr>
          <w:rFonts w:hint="eastAsia"/>
          <w:b/>
          <w:bCs/>
          <w:color w:val="auto"/>
          <w:sz w:val="28"/>
          <w:highlight w:val="none"/>
        </w:rPr>
        <w:t>招标代理机构：</w:t>
      </w:r>
      <w:r>
        <w:rPr>
          <w:rFonts w:hint="eastAsia"/>
          <w:color w:val="auto"/>
          <w:sz w:val="28"/>
          <w:highlight w:val="none"/>
          <w:u w:val="single"/>
        </w:rPr>
        <w:t>深圳市深水水务咨询有限公司</w:t>
      </w:r>
      <w:r>
        <w:rPr>
          <w:bCs/>
          <w:color w:val="auto"/>
          <w:sz w:val="28"/>
          <w:highlight w:val="none"/>
          <w:u w:val="single"/>
        </w:rPr>
        <w:fldChar w:fldCharType="begin"/>
      </w:r>
      <w:r>
        <w:rPr>
          <w:bCs/>
          <w:color w:val="auto"/>
          <w:sz w:val="28"/>
          <w:highlight w:val="none"/>
          <w:u w:val="single"/>
        </w:rPr>
        <w:instrText xml:space="preserve"> AUTOTEXT  input6 \* MERGEFORMAT </w:instrText>
      </w:r>
      <w:r>
        <w:rPr>
          <w:bCs/>
          <w:color w:val="auto"/>
          <w:sz w:val="28"/>
          <w:highlight w:val="none"/>
          <w:u w:val="single"/>
        </w:rPr>
        <w:fldChar w:fldCharType="end"/>
      </w:r>
    </w:p>
    <w:p w14:paraId="2E5B4955">
      <w:pPr>
        <w:adjustRightInd w:val="0"/>
        <w:snapToGrid w:val="0"/>
        <w:spacing w:line="360" w:lineRule="auto"/>
        <w:ind w:firstLine="843" w:firstLineChars="300"/>
        <w:rPr>
          <w:b/>
          <w:bCs/>
          <w:color w:val="auto"/>
          <w:sz w:val="28"/>
          <w:highlight w:val="none"/>
        </w:rPr>
      </w:pPr>
      <w:r>
        <w:rPr>
          <w:rFonts w:hint="eastAsia"/>
          <w:b/>
          <w:bCs/>
          <w:color w:val="auto"/>
          <w:sz w:val="28"/>
          <w:highlight w:val="none"/>
        </w:rPr>
        <w:t>法定代表人或其委托代理人：</w:t>
      </w:r>
      <w:r>
        <w:rPr>
          <w:rFonts w:hint="eastAsia"/>
          <w:color w:val="auto"/>
          <w:sz w:val="28"/>
          <w:highlight w:val="none"/>
          <w:u w:val="single"/>
        </w:rPr>
        <w:t>陆子锋</w:t>
      </w:r>
      <w:r>
        <w:rPr>
          <w:bCs/>
          <w:color w:val="auto"/>
          <w:sz w:val="28"/>
          <w:highlight w:val="none"/>
          <w:u w:val="single"/>
        </w:rPr>
        <w:fldChar w:fldCharType="begin"/>
      </w:r>
      <w:r>
        <w:rPr>
          <w:bCs/>
          <w:color w:val="auto"/>
          <w:sz w:val="28"/>
          <w:highlight w:val="none"/>
          <w:u w:val="single"/>
        </w:rPr>
        <w:instrText xml:space="preserve"> AUTOTEXT  input7 \* MERGEFORMAT </w:instrText>
      </w:r>
      <w:r>
        <w:rPr>
          <w:bCs/>
          <w:color w:val="auto"/>
          <w:sz w:val="28"/>
          <w:highlight w:val="none"/>
          <w:u w:val="single"/>
        </w:rPr>
        <w:fldChar w:fldCharType="end"/>
      </w:r>
    </w:p>
    <w:p w14:paraId="7867FAE1">
      <w:pPr>
        <w:adjustRightInd w:val="0"/>
        <w:snapToGrid w:val="0"/>
        <w:spacing w:line="360" w:lineRule="auto"/>
        <w:jc w:val="center"/>
        <w:rPr>
          <w:color w:val="auto"/>
          <w:highlight w:val="none"/>
        </w:rPr>
      </w:pPr>
      <w:r>
        <w:rPr>
          <w:color w:val="auto"/>
          <w:highlight w:val="none"/>
        </w:rPr>
        <w:br w:type="page"/>
      </w:r>
    </w:p>
    <w:p w14:paraId="792D4A73">
      <w:pPr>
        <w:adjustRightInd w:val="0"/>
        <w:snapToGrid w:val="0"/>
        <w:spacing w:line="360" w:lineRule="auto"/>
        <w:jc w:val="center"/>
        <w:outlineLvl w:val="0"/>
        <w:rPr>
          <w:rFonts w:ascii="黑体" w:eastAsia="黑体"/>
          <w:b/>
          <w:bCs/>
          <w:color w:val="auto"/>
          <w:sz w:val="36"/>
          <w:highlight w:val="none"/>
        </w:rPr>
      </w:pPr>
      <w:r>
        <w:rPr>
          <w:rFonts w:hint="eastAsia"/>
          <w:b/>
          <w:color w:val="auto"/>
          <w:sz w:val="52"/>
          <w:szCs w:val="52"/>
          <w:highlight w:val="none"/>
        </w:rPr>
        <w:t>第一章  使用说明</w:t>
      </w:r>
    </w:p>
    <w:p w14:paraId="65EC3FFF">
      <w:pPr>
        <w:adjustRightInd w:val="0"/>
        <w:snapToGrid w:val="0"/>
        <w:spacing w:line="360" w:lineRule="auto"/>
        <w:ind w:firstLine="480" w:firstLineChars="200"/>
        <w:rPr>
          <w:color w:val="auto"/>
          <w:highlight w:val="none"/>
        </w:rPr>
      </w:pPr>
      <w:r>
        <w:rPr>
          <w:rFonts w:hint="eastAsia"/>
          <w:color w:val="auto"/>
          <w:highlight w:val="none"/>
        </w:rPr>
        <w:t>一、本招标文件示范文本的主要编写依据：</w:t>
      </w:r>
    </w:p>
    <w:p w14:paraId="022A993A">
      <w:pPr>
        <w:adjustRightInd w:val="0"/>
        <w:snapToGrid w:val="0"/>
        <w:spacing w:line="360" w:lineRule="auto"/>
        <w:ind w:firstLine="480" w:firstLineChars="200"/>
        <w:rPr>
          <w:color w:val="auto"/>
          <w:highlight w:val="none"/>
        </w:rPr>
      </w:pPr>
      <w:r>
        <w:rPr>
          <w:rFonts w:hint="eastAsia"/>
          <w:color w:val="auto"/>
          <w:highlight w:val="none"/>
        </w:rPr>
        <w:t>1．《中华人民共和国建筑法》；</w:t>
      </w:r>
    </w:p>
    <w:p w14:paraId="11FA70F2">
      <w:pPr>
        <w:adjustRightInd w:val="0"/>
        <w:snapToGrid w:val="0"/>
        <w:spacing w:line="360" w:lineRule="auto"/>
        <w:ind w:firstLine="480" w:firstLineChars="200"/>
        <w:rPr>
          <w:color w:val="auto"/>
          <w:highlight w:val="none"/>
        </w:rPr>
      </w:pPr>
      <w:r>
        <w:rPr>
          <w:rFonts w:hint="eastAsia"/>
          <w:color w:val="auto"/>
          <w:highlight w:val="none"/>
        </w:rPr>
        <w:t>2．《中华人民共和国招标投标法》；</w:t>
      </w:r>
    </w:p>
    <w:p w14:paraId="72A32B2B">
      <w:pPr>
        <w:adjustRightInd w:val="0"/>
        <w:snapToGrid w:val="0"/>
        <w:spacing w:line="360" w:lineRule="auto"/>
        <w:ind w:firstLine="480" w:firstLineChars="200"/>
        <w:rPr>
          <w:color w:val="auto"/>
          <w:highlight w:val="none"/>
        </w:rPr>
      </w:pPr>
      <w:r>
        <w:rPr>
          <w:rFonts w:hint="eastAsia"/>
          <w:color w:val="auto"/>
          <w:highlight w:val="none"/>
        </w:rPr>
        <w:t>3．《中华人民共和国民法典》；</w:t>
      </w:r>
    </w:p>
    <w:p w14:paraId="0D5F9E87">
      <w:pPr>
        <w:adjustRightInd w:val="0"/>
        <w:snapToGrid w:val="0"/>
        <w:spacing w:line="360" w:lineRule="auto"/>
        <w:ind w:firstLine="480" w:firstLineChars="200"/>
        <w:rPr>
          <w:color w:val="auto"/>
          <w:highlight w:val="none"/>
        </w:rPr>
      </w:pPr>
      <w:r>
        <w:rPr>
          <w:rFonts w:hint="eastAsia"/>
          <w:color w:val="auto"/>
          <w:highlight w:val="none"/>
        </w:rPr>
        <w:t>4</w:t>
      </w:r>
      <w:r>
        <w:rPr>
          <w:color w:val="auto"/>
          <w:highlight w:val="none"/>
        </w:rPr>
        <w:t>.</w:t>
      </w:r>
      <w:r>
        <w:rPr>
          <w:rFonts w:hint="eastAsia"/>
          <w:color w:val="auto"/>
          <w:highlight w:val="none"/>
        </w:rPr>
        <w:t xml:space="preserve"> 《保障农民工工资支付条例》；</w:t>
      </w:r>
    </w:p>
    <w:p w14:paraId="0C90E066">
      <w:pPr>
        <w:adjustRightInd w:val="0"/>
        <w:snapToGrid w:val="0"/>
        <w:spacing w:line="360" w:lineRule="auto"/>
        <w:ind w:firstLine="480" w:firstLineChars="200"/>
        <w:rPr>
          <w:color w:val="auto"/>
          <w:highlight w:val="none"/>
        </w:rPr>
      </w:pPr>
      <w:r>
        <w:rPr>
          <w:rFonts w:hint="eastAsia"/>
          <w:color w:val="auto"/>
          <w:highlight w:val="none"/>
        </w:rPr>
        <w:t>5．《深圳经济特区建设工程施工招标投标条例》；</w:t>
      </w:r>
    </w:p>
    <w:p w14:paraId="1D716C5C">
      <w:pPr>
        <w:adjustRightInd w:val="0"/>
        <w:snapToGrid w:val="0"/>
        <w:spacing w:line="360" w:lineRule="auto"/>
        <w:ind w:firstLine="480" w:firstLineChars="200"/>
        <w:rPr>
          <w:color w:val="auto"/>
          <w:highlight w:val="none"/>
        </w:rPr>
      </w:pPr>
      <w:r>
        <w:rPr>
          <w:rFonts w:hint="eastAsia"/>
          <w:color w:val="auto"/>
          <w:highlight w:val="none"/>
        </w:rPr>
        <w:t>6．《建设工程工程量清单计价规范》（GB50500-2013）；</w:t>
      </w:r>
    </w:p>
    <w:p w14:paraId="70DFB859">
      <w:pPr>
        <w:adjustRightInd w:val="0"/>
        <w:snapToGrid w:val="0"/>
        <w:spacing w:line="360" w:lineRule="auto"/>
        <w:ind w:firstLine="480" w:firstLineChars="200"/>
        <w:rPr>
          <w:color w:val="auto"/>
          <w:highlight w:val="none"/>
        </w:rPr>
      </w:pPr>
      <w:r>
        <w:rPr>
          <w:rFonts w:hint="eastAsia"/>
          <w:color w:val="auto"/>
          <w:highlight w:val="none"/>
        </w:rPr>
        <w:t>7．《关于建设工程招标投标改革的若干规定》(深府〔2015〕73号)；</w:t>
      </w:r>
    </w:p>
    <w:p w14:paraId="48E55B99">
      <w:pPr>
        <w:adjustRightInd w:val="0"/>
        <w:snapToGrid w:val="0"/>
        <w:spacing w:line="360" w:lineRule="auto"/>
        <w:ind w:firstLine="480" w:firstLineChars="200"/>
        <w:rPr>
          <w:color w:val="auto"/>
          <w:highlight w:val="none"/>
        </w:rPr>
      </w:pPr>
      <w:r>
        <w:rPr>
          <w:rFonts w:hint="eastAsia"/>
          <w:color w:val="auto"/>
          <w:highlight w:val="none"/>
        </w:rPr>
        <w:t>8.《关于进一步完善建设工程招标投标制度的若干措施》；</w:t>
      </w:r>
    </w:p>
    <w:p w14:paraId="4C20D4B1">
      <w:pPr>
        <w:adjustRightInd w:val="0"/>
        <w:snapToGrid w:val="0"/>
        <w:spacing w:line="360" w:lineRule="auto"/>
        <w:ind w:firstLine="480" w:firstLineChars="200"/>
        <w:rPr>
          <w:color w:val="auto"/>
          <w:highlight w:val="none"/>
        </w:rPr>
      </w:pPr>
      <w:r>
        <w:rPr>
          <w:rFonts w:hint="eastAsia"/>
          <w:color w:val="auto"/>
          <w:highlight w:val="none"/>
        </w:rPr>
        <w:t>9．《深圳市建筑废弃物管理办法》（市政府令第</w:t>
      </w:r>
      <w:r>
        <w:rPr>
          <w:color w:val="auto"/>
          <w:highlight w:val="none"/>
        </w:rPr>
        <w:t>330号）</w:t>
      </w:r>
      <w:r>
        <w:rPr>
          <w:rFonts w:hint="eastAsia"/>
          <w:color w:val="auto"/>
          <w:highlight w:val="none"/>
        </w:rPr>
        <w:t>；</w:t>
      </w:r>
    </w:p>
    <w:p w14:paraId="403A7997">
      <w:pPr>
        <w:adjustRightInd w:val="0"/>
        <w:snapToGrid w:val="0"/>
        <w:spacing w:line="360" w:lineRule="auto"/>
        <w:ind w:firstLine="480" w:firstLineChars="200"/>
        <w:rPr>
          <w:color w:val="auto"/>
          <w:highlight w:val="none"/>
        </w:rPr>
      </w:pPr>
      <w:r>
        <w:rPr>
          <w:color w:val="auto"/>
          <w:highlight w:val="none"/>
        </w:rPr>
        <w:t>1</w:t>
      </w:r>
      <w:r>
        <w:rPr>
          <w:rFonts w:hint="eastAsia"/>
          <w:color w:val="auto"/>
          <w:highlight w:val="none"/>
        </w:rPr>
        <w:t>0</w:t>
      </w:r>
      <w:r>
        <w:rPr>
          <w:color w:val="auto"/>
          <w:highlight w:val="none"/>
        </w:rPr>
        <w:t>.</w:t>
      </w:r>
      <w:r>
        <w:rPr>
          <w:rFonts w:hint="eastAsia"/>
          <w:color w:val="auto"/>
          <w:highlight w:val="none"/>
        </w:rPr>
        <w:t>其他有关工程建设的法律、法规、规章和规范性文件。</w:t>
      </w:r>
    </w:p>
    <w:p w14:paraId="2E22590D">
      <w:pPr>
        <w:adjustRightInd w:val="0"/>
        <w:snapToGrid w:val="0"/>
        <w:spacing w:line="360" w:lineRule="auto"/>
        <w:ind w:firstLine="480" w:firstLineChars="200"/>
        <w:rPr>
          <w:color w:val="auto"/>
          <w:highlight w:val="none"/>
        </w:rPr>
      </w:pPr>
      <w:r>
        <w:rPr>
          <w:rFonts w:hint="eastAsia"/>
          <w:color w:val="auto"/>
          <w:highlight w:val="none"/>
        </w:rPr>
        <w:t>二、本工程招标投标活动在</w:t>
      </w:r>
      <w:bookmarkStart w:id="0" w:name="宝安分公司"/>
      <w:bookmarkEnd w:id="0"/>
      <w:bookmarkStart w:id="1" w:name="龙岗分公司"/>
      <w:bookmarkEnd w:id="1"/>
      <w:r>
        <w:rPr>
          <w:rFonts w:hint="eastAsia"/>
          <w:color w:val="auto"/>
          <w:highlight w:val="none"/>
        </w:rPr>
        <w:t>深圳市南山区水务局、深圳市工勘岩土集团有限公司、深圳市深水水务咨询有限公司</w:t>
      </w:r>
      <w:r>
        <w:rPr>
          <w:color w:val="auto"/>
          <w:highlight w:val="none"/>
        </w:rPr>
        <w:t>进行。</w:t>
      </w:r>
    </w:p>
    <w:p w14:paraId="7C6CA04C">
      <w:pPr>
        <w:adjustRightInd w:val="0"/>
        <w:snapToGrid w:val="0"/>
        <w:spacing w:line="360" w:lineRule="auto"/>
        <w:ind w:firstLine="480" w:firstLineChars="200"/>
        <w:rPr>
          <w:color w:val="auto"/>
          <w:highlight w:val="none"/>
        </w:rPr>
      </w:pPr>
      <w:r>
        <w:rPr>
          <w:rFonts w:hint="eastAsia"/>
          <w:color w:val="auto"/>
          <w:highlight w:val="none"/>
        </w:rPr>
        <w:t>三、本招标文件所指相关网站为：深圳市南山区水务局网站、深圳市深水水务咨询有限公司官网。</w:t>
      </w:r>
    </w:p>
    <w:p w14:paraId="6FAB5DE6">
      <w:pPr>
        <w:adjustRightInd w:val="0"/>
        <w:snapToGrid w:val="0"/>
        <w:spacing w:line="360" w:lineRule="auto"/>
        <w:rPr>
          <w:color w:val="auto"/>
          <w:highlight w:val="none"/>
        </w:rPr>
      </w:pPr>
      <w:r>
        <w:rPr>
          <w:rFonts w:hint="eastAsia"/>
          <w:color w:val="auto"/>
          <w:highlight w:val="none"/>
        </w:rPr>
        <w:t xml:space="preserve"> 四、有关投标问题的说明</w:t>
      </w:r>
    </w:p>
    <w:p w14:paraId="284F87CF">
      <w:pPr>
        <w:adjustRightInd w:val="0"/>
        <w:snapToGrid w:val="0"/>
        <w:spacing w:line="360" w:lineRule="auto"/>
        <w:ind w:firstLine="480" w:firstLineChars="200"/>
        <w:rPr>
          <w:color w:val="auto"/>
          <w:highlight w:val="none"/>
        </w:rPr>
      </w:pPr>
      <w:r>
        <w:rPr>
          <w:rFonts w:hint="eastAsia"/>
          <w:color w:val="auto"/>
          <w:highlight w:val="none"/>
        </w:rPr>
        <w:t>1.参加投标的单位（包含联合体投标的各成员）须符合投标须知前附表的资格要求。</w:t>
      </w:r>
    </w:p>
    <w:p w14:paraId="0EE3F336">
      <w:pPr>
        <w:adjustRightInd w:val="0"/>
        <w:snapToGrid w:val="0"/>
        <w:spacing w:line="360" w:lineRule="auto"/>
        <w:ind w:firstLine="480" w:firstLineChars="200"/>
        <w:rPr>
          <w:color w:val="auto"/>
          <w:highlight w:val="none"/>
        </w:rPr>
      </w:pPr>
      <w:r>
        <w:rPr>
          <w:rFonts w:hint="eastAsia"/>
          <w:color w:val="auto"/>
          <w:highlight w:val="none"/>
        </w:rPr>
        <w:t>2.投标人获取招标文件后，应仔细阅读招标文件及附件的全部内容，附件与招标文件具有同等效力。</w:t>
      </w:r>
    </w:p>
    <w:p w14:paraId="078AD867">
      <w:pPr>
        <w:adjustRightInd w:val="0"/>
        <w:snapToGrid w:val="0"/>
        <w:spacing w:line="360" w:lineRule="auto"/>
        <w:ind w:firstLine="480" w:firstLineChars="200"/>
        <w:rPr>
          <w:color w:val="auto"/>
          <w:highlight w:val="none"/>
        </w:rPr>
      </w:pPr>
      <w:r>
        <w:rPr>
          <w:rFonts w:hint="eastAsia"/>
          <w:color w:val="auto"/>
          <w:highlight w:val="none"/>
        </w:rPr>
        <w:t>3.投标人应在投标截止时间前，登记并购买招标文件、获取答疑及招标文件补充通知；招标人不接受未购买招标文件的投标人递交的投标文件。</w:t>
      </w:r>
    </w:p>
    <w:p w14:paraId="77E3810B">
      <w:pPr>
        <w:adjustRightInd w:val="0"/>
        <w:snapToGrid w:val="0"/>
        <w:spacing w:line="360" w:lineRule="auto"/>
        <w:ind w:firstLine="480" w:firstLineChars="200"/>
        <w:rPr>
          <w:color w:val="auto"/>
          <w:highlight w:val="none"/>
        </w:rPr>
      </w:pPr>
      <w:r>
        <w:rPr>
          <w:rFonts w:hint="eastAsia"/>
          <w:color w:val="auto"/>
          <w:highlight w:val="none"/>
        </w:rPr>
        <w:t>4.投标人对招标文件有不同意见或不明之处，应通过邮箱向招标代理提出。</w:t>
      </w:r>
    </w:p>
    <w:p w14:paraId="419E4952">
      <w:pPr>
        <w:adjustRightInd w:val="0"/>
        <w:snapToGrid w:val="0"/>
        <w:spacing w:line="360" w:lineRule="auto"/>
        <w:ind w:firstLine="480" w:firstLineChars="200"/>
        <w:rPr>
          <w:color w:val="auto"/>
          <w:highlight w:val="none"/>
        </w:rPr>
      </w:pPr>
      <w:r>
        <w:rPr>
          <w:rFonts w:hint="eastAsia"/>
          <w:color w:val="auto"/>
          <w:highlight w:val="none"/>
        </w:rPr>
        <w:t>5.投标人应在遵循招标文件的各项规定和要求的前提下，编制投标文件。投标文件必须满足招标文件中的实质性要求和条件。投标文件若出现否决性条款的情形其投标将会被否决。</w:t>
      </w:r>
    </w:p>
    <w:p w14:paraId="1A396596">
      <w:pPr>
        <w:adjustRightInd w:val="0"/>
        <w:snapToGrid w:val="0"/>
        <w:spacing w:line="360" w:lineRule="auto"/>
        <w:ind w:firstLine="480" w:firstLineChars="200"/>
        <w:rPr>
          <w:color w:val="auto"/>
          <w:highlight w:val="none"/>
        </w:rPr>
      </w:pPr>
      <w:r>
        <w:rPr>
          <w:rFonts w:hint="eastAsia"/>
          <w:color w:val="auto"/>
          <w:highlight w:val="none"/>
        </w:rPr>
        <w:t>6.投标人应严格按招标文件要求，在投标文件递交截止时间及开标时间前按要求递交投标文件。</w:t>
      </w:r>
    </w:p>
    <w:p w14:paraId="04BAAED3">
      <w:pPr>
        <w:adjustRightInd w:val="0"/>
        <w:snapToGrid w:val="0"/>
        <w:spacing w:line="360" w:lineRule="auto"/>
        <w:ind w:firstLine="480" w:firstLineChars="200"/>
        <w:rPr>
          <w:color w:val="auto"/>
          <w:highlight w:val="none"/>
        </w:rPr>
      </w:pPr>
      <w:r>
        <w:rPr>
          <w:rFonts w:hint="eastAsia"/>
          <w:color w:val="auto"/>
          <w:highlight w:val="none"/>
        </w:rPr>
        <w:t>7.投标人须对投标资料的真实性负责。招标人有权将投标文件的部分或全部内容向外公示，若公示期间收到有关弄虚作假投诉的，招标人将提请建设行政主管部门或有关行政管理部门查处。一旦查实将严格按照法律法规以及《施工投标承诺函》的有关承诺作出处理。</w:t>
      </w:r>
    </w:p>
    <w:p w14:paraId="350F956A">
      <w:pPr>
        <w:adjustRightInd w:val="0"/>
        <w:snapToGrid w:val="0"/>
        <w:spacing w:line="360" w:lineRule="auto"/>
        <w:ind w:firstLine="480" w:firstLineChars="200"/>
        <w:rPr>
          <w:color w:val="auto"/>
          <w:highlight w:val="none"/>
        </w:rPr>
      </w:pPr>
      <w:r>
        <w:rPr>
          <w:rFonts w:hint="eastAsia"/>
          <w:color w:val="auto"/>
          <w:highlight w:val="none"/>
        </w:rPr>
        <w:t>8.若投标人资质证书或安全生产许可证被暂扣或吊销，但仍参与投标的，招标人将取消其投标或中标资格、没收其投标保证金，建设行政主管部门或有关行政管理部门将按弄虚作假行为对其进行行政处罚。</w:t>
      </w:r>
    </w:p>
    <w:p w14:paraId="434F2C34">
      <w:pPr>
        <w:adjustRightInd w:val="0"/>
        <w:snapToGrid w:val="0"/>
        <w:spacing w:line="360" w:lineRule="auto"/>
        <w:ind w:firstLine="480" w:firstLineChars="200"/>
        <w:rPr>
          <w:color w:val="auto"/>
          <w:highlight w:val="none"/>
        </w:rPr>
      </w:pPr>
    </w:p>
    <w:tbl>
      <w:tblPr>
        <w:tblStyle w:val="40"/>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8"/>
        <w:gridCol w:w="2835"/>
        <w:gridCol w:w="1873"/>
        <w:gridCol w:w="2913"/>
      </w:tblGrid>
      <w:tr w14:paraId="74135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8" w:type="pct"/>
            <w:shd w:val="clear" w:color="auto" w:fill="auto"/>
            <w:vAlign w:val="center"/>
          </w:tcPr>
          <w:p w14:paraId="6E9B45D5">
            <w:pPr>
              <w:widowControl w:val="0"/>
              <w:adjustRightInd w:val="0"/>
              <w:snapToGrid w:val="0"/>
              <w:spacing w:line="360" w:lineRule="auto"/>
              <w:jc w:val="both"/>
              <w:rPr>
                <w:rFonts w:cs="Courier New"/>
                <w:color w:val="auto"/>
                <w:highlight w:val="none"/>
              </w:rPr>
            </w:pPr>
            <w:r>
              <w:rPr>
                <w:rFonts w:hint="eastAsia" w:cs="Courier New"/>
                <w:color w:val="auto"/>
                <w:highlight w:val="none"/>
              </w:rPr>
              <w:t>招 标 人：</w:t>
            </w:r>
          </w:p>
        </w:tc>
        <w:tc>
          <w:tcPr>
            <w:tcW w:w="1526" w:type="pct"/>
            <w:shd w:val="clear" w:color="auto" w:fill="auto"/>
            <w:vAlign w:val="center"/>
          </w:tcPr>
          <w:p w14:paraId="75829D87">
            <w:pPr>
              <w:widowControl w:val="0"/>
              <w:adjustRightInd w:val="0"/>
              <w:snapToGrid w:val="0"/>
              <w:spacing w:line="360" w:lineRule="auto"/>
              <w:jc w:val="both"/>
              <w:rPr>
                <w:rFonts w:cs="Courier New"/>
                <w:color w:val="auto"/>
                <w:highlight w:val="none"/>
                <w:u w:val="single"/>
              </w:rPr>
            </w:pPr>
            <w:r>
              <w:rPr>
                <w:rFonts w:hint="eastAsia"/>
                <w:color w:val="auto"/>
                <w:highlight w:val="none"/>
                <w:u w:val="single"/>
              </w:rPr>
              <w:t>深圳市工勘岩土集团有限公司</w:t>
            </w:r>
            <w:r>
              <w:rPr>
                <w:rFonts w:cs="Courier New"/>
                <w:color w:val="auto"/>
                <w:highlight w:val="none"/>
                <w:u w:val="single"/>
              </w:rPr>
              <w:fldChar w:fldCharType="begin"/>
            </w:r>
            <w:r>
              <w:rPr>
                <w:rFonts w:cs="Courier New"/>
                <w:color w:val="auto"/>
                <w:highlight w:val="none"/>
                <w:u w:val="single"/>
              </w:rPr>
              <w:instrText xml:space="preserve"> AUTOTEXT  input423 \* MERGEFORMAT </w:instrText>
            </w:r>
            <w:r>
              <w:rPr>
                <w:rFonts w:cs="Courier New"/>
                <w:color w:val="auto"/>
                <w:highlight w:val="none"/>
                <w:u w:val="single"/>
              </w:rPr>
              <w:fldChar w:fldCharType="end"/>
            </w:r>
          </w:p>
        </w:tc>
        <w:tc>
          <w:tcPr>
            <w:tcW w:w="1008" w:type="pct"/>
            <w:shd w:val="clear" w:color="auto" w:fill="auto"/>
            <w:vAlign w:val="center"/>
          </w:tcPr>
          <w:p w14:paraId="4841D2A8">
            <w:pPr>
              <w:widowControl w:val="0"/>
              <w:adjustRightInd w:val="0"/>
              <w:snapToGrid w:val="0"/>
              <w:spacing w:line="360" w:lineRule="auto"/>
              <w:jc w:val="both"/>
              <w:rPr>
                <w:rFonts w:cs="Courier New"/>
                <w:color w:val="auto"/>
                <w:highlight w:val="none"/>
              </w:rPr>
            </w:pPr>
            <w:r>
              <w:rPr>
                <w:rFonts w:hint="eastAsia" w:cs="Courier New"/>
                <w:color w:val="auto"/>
                <w:highlight w:val="none"/>
              </w:rPr>
              <w:t>招标代理机构：</w:t>
            </w:r>
          </w:p>
        </w:tc>
        <w:tc>
          <w:tcPr>
            <w:tcW w:w="1568" w:type="pct"/>
            <w:shd w:val="clear" w:color="auto" w:fill="auto"/>
            <w:vAlign w:val="center"/>
          </w:tcPr>
          <w:p w14:paraId="7E6A2D75">
            <w:pPr>
              <w:widowControl w:val="0"/>
              <w:adjustRightInd w:val="0"/>
              <w:snapToGrid w:val="0"/>
              <w:spacing w:line="360" w:lineRule="auto"/>
              <w:jc w:val="both"/>
              <w:rPr>
                <w:rFonts w:cs="Courier New"/>
                <w:color w:val="auto"/>
                <w:highlight w:val="none"/>
                <w:u w:val="single"/>
              </w:rPr>
            </w:pPr>
            <w:r>
              <w:rPr>
                <w:rFonts w:hint="eastAsia"/>
                <w:color w:val="auto"/>
                <w:highlight w:val="none"/>
                <w:u w:val="single"/>
              </w:rPr>
              <w:t>深圳市深水水务咨询有限公司</w:t>
            </w:r>
            <w:r>
              <w:rPr>
                <w:rFonts w:cs="Courier New"/>
                <w:color w:val="auto"/>
                <w:highlight w:val="none"/>
                <w:u w:val="single"/>
              </w:rPr>
              <w:fldChar w:fldCharType="begin"/>
            </w:r>
            <w:r>
              <w:rPr>
                <w:rFonts w:cs="Courier New"/>
                <w:color w:val="auto"/>
                <w:highlight w:val="none"/>
                <w:u w:val="single"/>
              </w:rPr>
              <w:instrText xml:space="preserve"> AUTOTEXT  input424 \* MERGEFORMAT </w:instrText>
            </w:r>
            <w:r>
              <w:rPr>
                <w:rFonts w:cs="Courier New"/>
                <w:color w:val="auto"/>
                <w:highlight w:val="none"/>
                <w:u w:val="single"/>
              </w:rPr>
              <w:fldChar w:fldCharType="end"/>
            </w:r>
          </w:p>
        </w:tc>
      </w:tr>
      <w:tr w14:paraId="6FA1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8" w:type="pct"/>
            <w:shd w:val="clear" w:color="auto" w:fill="auto"/>
            <w:vAlign w:val="center"/>
          </w:tcPr>
          <w:p w14:paraId="5915E787">
            <w:pPr>
              <w:widowControl w:val="0"/>
              <w:adjustRightInd w:val="0"/>
              <w:snapToGrid w:val="0"/>
              <w:spacing w:line="360" w:lineRule="auto"/>
              <w:jc w:val="both"/>
              <w:rPr>
                <w:rFonts w:cs="Courier New"/>
                <w:color w:val="auto"/>
                <w:highlight w:val="none"/>
              </w:rPr>
            </w:pPr>
            <w:r>
              <w:rPr>
                <w:rFonts w:hint="eastAsia" w:cs="Courier New"/>
                <w:color w:val="auto"/>
                <w:highlight w:val="none"/>
              </w:rPr>
              <w:t>法定代表人：</w:t>
            </w:r>
          </w:p>
        </w:tc>
        <w:tc>
          <w:tcPr>
            <w:tcW w:w="1526" w:type="pct"/>
            <w:shd w:val="clear" w:color="auto" w:fill="auto"/>
            <w:vAlign w:val="center"/>
          </w:tcPr>
          <w:p w14:paraId="3C76D8BB">
            <w:pPr>
              <w:widowControl w:val="0"/>
              <w:adjustRightInd w:val="0"/>
              <w:snapToGrid w:val="0"/>
              <w:spacing w:line="360" w:lineRule="auto"/>
              <w:jc w:val="both"/>
              <w:rPr>
                <w:rFonts w:cs="Courier New"/>
                <w:bCs/>
                <w:color w:val="auto"/>
                <w:highlight w:val="none"/>
                <w:u w:val="single"/>
              </w:rPr>
            </w:pPr>
            <w:r>
              <w:rPr>
                <w:rFonts w:hint="eastAsia"/>
                <w:color w:val="auto"/>
                <w:highlight w:val="none"/>
                <w:u w:val="single"/>
              </w:rPr>
              <w:t>李红波</w:t>
            </w:r>
            <w:r>
              <w:rPr>
                <w:rFonts w:cs="Courier New"/>
                <w:color w:val="auto"/>
                <w:highlight w:val="none"/>
                <w:u w:val="single"/>
              </w:rPr>
              <w:fldChar w:fldCharType="begin"/>
            </w:r>
            <w:r>
              <w:rPr>
                <w:rFonts w:cs="Courier New"/>
                <w:color w:val="auto"/>
                <w:highlight w:val="none"/>
                <w:u w:val="single"/>
              </w:rPr>
              <w:instrText xml:space="preserve"> AUTOTEXT  input425 \* MERGEFORMAT </w:instrText>
            </w:r>
            <w:r>
              <w:rPr>
                <w:rFonts w:cs="Courier New"/>
                <w:color w:val="auto"/>
                <w:highlight w:val="none"/>
                <w:u w:val="single"/>
              </w:rPr>
              <w:fldChar w:fldCharType="end"/>
            </w:r>
          </w:p>
        </w:tc>
        <w:tc>
          <w:tcPr>
            <w:tcW w:w="1008" w:type="pct"/>
            <w:shd w:val="clear" w:color="auto" w:fill="auto"/>
            <w:vAlign w:val="center"/>
          </w:tcPr>
          <w:p w14:paraId="0CF9CA5D">
            <w:pPr>
              <w:widowControl w:val="0"/>
              <w:adjustRightInd w:val="0"/>
              <w:snapToGrid w:val="0"/>
              <w:spacing w:line="360" w:lineRule="auto"/>
              <w:jc w:val="both"/>
              <w:rPr>
                <w:rFonts w:cs="Courier New"/>
                <w:color w:val="auto"/>
                <w:highlight w:val="none"/>
              </w:rPr>
            </w:pPr>
            <w:r>
              <w:rPr>
                <w:rFonts w:hint="eastAsia" w:cs="Courier New"/>
                <w:color w:val="auto"/>
                <w:highlight w:val="none"/>
              </w:rPr>
              <w:t>法定代表人：</w:t>
            </w:r>
          </w:p>
        </w:tc>
        <w:tc>
          <w:tcPr>
            <w:tcW w:w="1568" w:type="pct"/>
            <w:shd w:val="clear" w:color="auto" w:fill="auto"/>
            <w:vAlign w:val="center"/>
          </w:tcPr>
          <w:p w14:paraId="2E53B3B5">
            <w:pPr>
              <w:widowControl w:val="0"/>
              <w:adjustRightInd w:val="0"/>
              <w:snapToGrid w:val="0"/>
              <w:spacing w:line="360" w:lineRule="auto"/>
              <w:jc w:val="both"/>
              <w:rPr>
                <w:rFonts w:cs="Courier New"/>
                <w:bCs/>
                <w:color w:val="auto"/>
                <w:highlight w:val="none"/>
                <w:u w:val="single"/>
              </w:rPr>
            </w:pPr>
            <w:r>
              <w:rPr>
                <w:rFonts w:hint="eastAsia"/>
                <w:color w:val="auto"/>
                <w:highlight w:val="none"/>
                <w:u w:val="single"/>
              </w:rPr>
              <w:t>陆子锋</w:t>
            </w:r>
            <w:r>
              <w:rPr>
                <w:rFonts w:cs="Courier New"/>
                <w:color w:val="auto"/>
                <w:highlight w:val="none"/>
                <w:u w:val="single"/>
              </w:rPr>
              <w:fldChar w:fldCharType="begin"/>
            </w:r>
            <w:r>
              <w:rPr>
                <w:rFonts w:cs="Courier New"/>
                <w:color w:val="auto"/>
                <w:highlight w:val="none"/>
                <w:u w:val="single"/>
              </w:rPr>
              <w:instrText xml:space="preserve"> AUTOTEXT  input426 \* MERGEFORMAT </w:instrText>
            </w:r>
            <w:r>
              <w:rPr>
                <w:rFonts w:cs="Courier New"/>
                <w:color w:val="auto"/>
                <w:highlight w:val="none"/>
                <w:u w:val="single"/>
              </w:rPr>
              <w:fldChar w:fldCharType="end"/>
            </w:r>
          </w:p>
        </w:tc>
      </w:tr>
      <w:tr w14:paraId="1E7B2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8" w:type="pct"/>
            <w:shd w:val="clear" w:color="auto" w:fill="auto"/>
            <w:vAlign w:val="center"/>
          </w:tcPr>
          <w:p w14:paraId="302F4D41">
            <w:pPr>
              <w:widowControl w:val="0"/>
              <w:adjustRightInd w:val="0"/>
              <w:snapToGrid w:val="0"/>
              <w:spacing w:line="360" w:lineRule="auto"/>
              <w:jc w:val="both"/>
              <w:rPr>
                <w:rFonts w:cs="Courier New"/>
                <w:color w:val="auto"/>
                <w:highlight w:val="none"/>
              </w:rPr>
            </w:pPr>
            <w:r>
              <w:rPr>
                <w:rFonts w:hint="eastAsia" w:cs="Courier New"/>
                <w:color w:val="auto"/>
                <w:highlight w:val="none"/>
              </w:rPr>
              <w:t>联系地址：</w:t>
            </w:r>
          </w:p>
        </w:tc>
        <w:tc>
          <w:tcPr>
            <w:tcW w:w="1526" w:type="pct"/>
            <w:shd w:val="clear" w:color="auto" w:fill="auto"/>
            <w:vAlign w:val="center"/>
          </w:tcPr>
          <w:p w14:paraId="7598B12D">
            <w:pPr>
              <w:widowControl w:val="0"/>
              <w:adjustRightInd w:val="0"/>
              <w:snapToGrid w:val="0"/>
              <w:spacing w:line="360" w:lineRule="auto"/>
              <w:jc w:val="both"/>
              <w:rPr>
                <w:rFonts w:cs="Courier New"/>
                <w:color w:val="auto"/>
                <w:highlight w:val="none"/>
                <w:u w:val="single"/>
              </w:rPr>
            </w:pPr>
            <w:r>
              <w:rPr>
                <w:rFonts w:hint="eastAsia"/>
                <w:color w:val="auto"/>
                <w:highlight w:val="none"/>
                <w:u w:val="single"/>
              </w:rPr>
              <w:t>深圳市南山区粤海街道科技南八路8号博泰工勘大厦15楼</w:t>
            </w:r>
            <w:r>
              <w:rPr>
                <w:rFonts w:cs="Courier New"/>
                <w:bCs/>
                <w:color w:val="auto"/>
                <w:highlight w:val="none"/>
                <w:u w:val="single"/>
              </w:rPr>
              <w:fldChar w:fldCharType="begin"/>
            </w:r>
            <w:r>
              <w:rPr>
                <w:rFonts w:cs="Courier New"/>
                <w:bCs/>
                <w:color w:val="auto"/>
                <w:highlight w:val="none"/>
                <w:u w:val="single"/>
              </w:rPr>
              <w:instrText xml:space="preserve"> AUTOTEXT  input351 \* MERGEFORMAT </w:instrText>
            </w:r>
            <w:r>
              <w:rPr>
                <w:rFonts w:cs="Courier New"/>
                <w:bCs/>
                <w:color w:val="auto"/>
                <w:highlight w:val="none"/>
                <w:u w:val="single"/>
              </w:rPr>
              <w:fldChar w:fldCharType="end"/>
            </w:r>
          </w:p>
        </w:tc>
        <w:tc>
          <w:tcPr>
            <w:tcW w:w="1008" w:type="pct"/>
            <w:shd w:val="clear" w:color="auto" w:fill="auto"/>
            <w:vAlign w:val="center"/>
          </w:tcPr>
          <w:p w14:paraId="04577137">
            <w:pPr>
              <w:widowControl w:val="0"/>
              <w:adjustRightInd w:val="0"/>
              <w:snapToGrid w:val="0"/>
              <w:spacing w:line="360" w:lineRule="auto"/>
              <w:jc w:val="both"/>
              <w:rPr>
                <w:rFonts w:cs="Courier New"/>
                <w:color w:val="auto"/>
                <w:highlight w:val="none"/>
              </w:rPr>
            </w:pPr>
            <w:r>
              <w:rPr>
                <w:rFonts w:hint="eastAsia" w:cs="Courier New"/>
                <w:color w:val="auto"/>
                <w:highlight w:val="none"/>
              </w:rPr>
              <w:t>联系地址：</w:t>
            </w:r>
          </w:p>
        </w:tc>
        <w:tc>
          <w:tcPr>
            <w:tcW w:w="1568" w:type="pct"/>
            <w:shd w:val="clear" w:color="auto" w:fill="auto"/>
            <w:vAlign w:val="center"/>
          </w:tcPr>
          <w:p w14:paraId="4365B075">
            <w:pPr>
              <w:widowControl w:val="0"/>
              <w:adjustRightInd w:val="0"/>
              <w:snapToGrid w:val="0"/>
              <w:spacing w:line="360" w:lineRule="auto"/>
              <w:jc w:val="both"/>
              <w:rPr>
                <w:rFonts w:cs="Courier New"/>
                <w:color w:val="auto"/>
                <w:highlight w:val="none"/>
                <w:u w:val="single"/>
              </w:rPr>
            </w:pPr>
            <w:r>
              <w:rPr>
                <w:rFonts w:hint="eastAsia"/>
                <w:color w:val="auto"/>
                <w:highlight w:val="none"/>
                <w:u w:val="single"/>
              </w:rPr>
              <w:t>深圳市罗湖区清水河街道清水河社区清水河一路112号罗湖投资控股大厦裙楼401</w:t>
            </w:r>
            <w:r>
              <w:rPr>
                <w:rFonts w:cs="Courier New"/>
                <w:bCs/>
                <w:color w:val="auto"/>
                <w:highlight w:val="none"/>
                <w:u w:val="single"/>
              </w:rPr>
              <w:fldChar w:fldCharType="begin"/>
            </w:r>
            <w:r>
              <w:rPr>
                <w:rFonts w:cs="Courier New"/>
                <w:bCs/>
                <w:color w:val="auto"/>
                <w:highlight w:val="none"/>
                <w:u w:val="single"/>
              </w:rPr>
              <w:instrText xml:space="preserve"> AUTOTEXT  input352 \* MERGEFORMAT </w:instrText>
            </w:r>
            <w:r>
              <w:rPr>
                <w:rFonts w:cs="Courier New"/>
                <w:bCs/>
                <w:color w:val="auto"/>
                <w:highlight w:val="none"/>
                <w:u w:val="single"/>
              </w:rPr>
              <w:fldChar w:fldCharType="end"/>
            </w:r>
          </w:p>
        </w:tc>
      </w:tr>
      <w:tr w14:paraId="2F7E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8" w:type="pct"/>
            <w:shd w:val="clear" w:color="auto" w:fill="auto"/>
            <w:vAlign w:val="center"/>
          </w:tcPr>
          <w:p w14:paraId="12168946">
            <w:pPr>
              <w:widowControl w:val="0"/>
              <w:adjustRightInd w:val="0"/>
              <w:snapToGrid w:val="0"/>
              <w:spacing w:line="360" w:lineRule="auto"/>
              <w:jc w:val="both"/>
              <w:rPr>
                <w:rFonts w:cs="Courier New"/>
                <w:color w:val="auto"/>
                <w:highlight w:val="none"/>
              </w:rPr>
            </w:pPr>
            <w:r>
              <w:rPr>
                <w:rFonts w:hint="eastAsia" w:cs="Courier New"/>
                <w:color w:val="auto"/>
                <w:highlight w:val="none"/>
              </w:rPr>
              <w:t>联系电话：</w:t>
            </w:r>
          </w:p>
        </w:tc>
        <w:tc>
          <w:tcPr>
            <w:tcW w:w="1526" w:type="pct"/>
            <w:shd w:val="clear" w:color="auto" w:fill="auto"/>
            <w:vAlign w:val="center"/>
          </w:tcPr>
          <w:p w14:paraId="5C6AE81B">
            <w:pPr>
              <w:widowControl w:val="0"/>
              <w:adjustRightInd w:val="0"/>
              <w:snapToGrid w:val="0"/>
              <w:spacing w:line="360" w:lineRule="auto"/>
              <w:jc w:val="both"/>
              <w:rPr>
                <w:rFonts w:cs="Courier New"/>
                <w:color w:val="auto"/>
                <w:highlight w:val="none"/>
                <w:u w:val="single"/>
              </w:rPr>
            </w:pPr>
            <w:r>
              <w:rPr>
                <w:rFonts w:hint="eastAsia"/>
                <w:color w:val="auto"/>
                <w:highlight w:val="none"/>
                <w:u w:val="single"/>
                <w:lang w:eastAsia="zh-CN"/>
              </w:rPr>
              <w:t>胡工</w:t>
            </w:r>
            <w:r>
              <w:rPr>
                <w:rFonts w:hint="eastAsia"/>
                <w:color w:val="auto"/>
                <w:highlight w:val="none"/>
                <w:u w:val="single"/>
              </w:rPr>
              <w:t xml:space="preserve"> </w:t>
            </w:r>
            <w:r>
              <w:rPr>
                <w:rFonts w:hint="eastAsia"/>
                <w:color w:val="auto"/>
                <w:highlight w:val="none"/>
                <w:u w:val="single"/>
                <w:lang w:val="en-US" w:eastAsia="zh-CN"/>
              </w:rPr>
              <w:t>19801119963</w:t>
            </w:r>
            <w:r>
              <w:rPr>
                <w:rFonts w:hint="eastAsia"/>
                <w:color w:val="auto"/>
                <w:highlight w:val="none"/>
                <w:u w:val="single"/>
              </w:rPr>
              <w:t xml:space="preserve">       </w:t>
            </w:r>
            <w:r>
              <w:rPr>
                <w:rFonts w:cs="Courier New"/>
                <w:bCs/>
                <w:color w:val="auto"/>
                <w:highlight w:val="none"/>
                <w:u w:val="single"/>
              </w:rPr>
              <w:fldChar w:fldCharType="begin"/>
            </w:r>
            <w:r>
              <w:rPr>
                <w:rFonts w:cs="Courier New"/>
                <w:bCs/>
                <w:color w:val="auto"/>
                <w:highlight w:val="none"/>
                <w:u w:val="single"/>
              </w:rPr>
              <w:instrText xml:space="preserve"> AUTOTEXT  input359 \* MERGEFORMAT </w:instrText>
            </w:r>
            <w:r>
              <w:rPr>
                <w:rFonts w:cs="Courier New"/>
                <w:bCs/>
                <w:color w:val="auto"/>
                <w:highlight w:val="none"/>
                <w:u w:val="single"/>
              </w:rPr>
              <w:fldChar w:fldCharType="end"/>
            </w:r>
          </w:p>
        </w:tc>
        <w:tc>
          <w:tcPr>
            <w:tcW w:w="1008" w:type="pct"/>
            <w:shd w:val="clear" w:color="auto" w:fill="auto"/>
            <w:vAlign w:val="center"/>
          </w:tcPr>
          <w:p w14:paraId="66F5012F">
            <w:pPr>
              <w:widowControl w:val="0"/>
              <w:adjustRightInd w:val="0"/>
              <w:snapToGrid w:val="0"/>
              <w:spacing w:line="360" w:lineRule="auto"/>
              <w:jc w:val="both"/>
              <w:rPr>
                <w:rFonts w:cs="Courier New"/>
                <w:color w:val="auto"/>
                <w:highlight w:val="none"/>
              </w:rPr>
            </w:pPr>
            <w:r>
              <w:rPr>
                <w:rFonts w:hint="eastAsia" w:cs="Courier New"/>
                <w:color w:val="auto"/>
                <w:highlight w:val="none"/>
              </w:rPr>
              <w:t>联系电话：</w:t>
            </w:r>
          </w:p>
        </w:tc>
        <w:tc>
          <w:tcPr>
            <w:tcW w:w="1568" w:type="pct"/>
            <w:shd w:val="clear" w:color="auto" w:fill="auto"/>
            <w:vAlign w:val="center"/>
          </w:tcPr>
          <w:p w14:paraId="74889E32">
            <w:pPr>
              <w:widowControl w:val="0"/>
              <w:adjustRightInd w:val="0"/>
              <w:snapToGrid w:val="0"/>
              <w:spacing w:line="360" w:lineRule="auto"/>
              <w:jc w:val="both"/>
              <w:rPr>
                <w:rFonts w:cs="Courier New"/>
                <w:color w:val="auto"/>
                <w:highlight w:val="none"/>
                <w:u w:val="single"/>
              </w:rPr>
            </w:pPr>
            <w:r>
              <w:rPr>
                <w:rFonts w:hint="eastAsia"/>
                <w:color w:val="auto"/>
                <w:highlight w:val="none"/>
                <w:u w:val="single"/>
              </w:rPr>
              <w:t>王工 16675117936</w:t>
            </w:r>
            <w:r>
              <w:rPr>
                <w:rFonts w:cs="Courier New"/>
                <w:bCs/>
                <w:color w:val="auto"/>
                <w:highlight w:val="none"/>
                <w:u w:val="single"/>
              </w:rPr>
              <w:fldChar w:fldCharType="begin"/>
            </w:r>
            <w:r>
              <w:rPr>
                <w:rFonts w:cs="Courier New"/>
                <w:bCs/>
                <w:color w:val="auto"/>
                <w:highlight w:val="none"/>
                <w:u w:val="single"/>
              </w:rPr>
              <w:instrText xml:space="preserve"> AUTOTEXT  input360 \* MERGEFORMAT </w:instrText>
            </w:r>
            <w:r>
              <w:rPr>
                <w:rFonts w:cs="Courier New"/>
                <w:bCs/>
                <w:color w:val="auto"/>
                <w:highlight w:val="none"/>
                <w:u w:val="single"/>
              </w:rPr>
              <w:fldChar w:fldCharType="end"/>
            </w:r>
          </w:p>
        </w:tc>
      </w:tr>
      <w:tr w14:paraId="59B9F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8" w:type="pct"/>
            <w:shd w:val="clear" w:color="auto" w:fill="auto"/>
            <w:vAlign w:val="center"/>
          </w:tcPr>
          <w:p w14:paraId="349089AF">
            <w:pPr>
              <w:widowControl w:val="0"/>
              <w:adjustRightInd w:val="0"/>
              <w:snapToGrid w:val="0"/>
              <w:spacing w:line="360" w:lineRule="auto"/>
              <w:jc w:val="both"/>
              <w:rPr>
                <w:rFonts w:cs="Courier New"/>
                <w:color w:val="auto"/>
                <w:highlight w:val="none"/>
              </w:rPr>
            </w:pPr>
            <w:r>
              <w:rPr>
                <w:rFonts w:hint="eastAsia" w:cs="Courier New"/>
                <w:color w:val="auto"/>
                <w:highlight w:val="none"/>
              </w:rPr>
              <w:t>传真电话：</w:t>
            </w:r>
          </w:p>
        </w:tc>
        <w:tc>
          <w:tcPr>
            <w:tcW w:w="1526" w:type="pct"/>
            <w:shd w:val="clear" w:color="auto" w:fill="auto"/>
            <w:vAlign w:val="center"/>
          </w:tcPr>
          <w:p w14:paraId="27FEBE76">
            <w:pPr>
              <w:widowControl w:val="0"/>
              <w:adjustRightInd w:val="0"/>
              <w:snapToGrid w:val="0"/>
              <w:spacing w:line="360" w:lineRule="auto"/>
              <w:jc w:val="both"/>
              <w:rPr>
                <w:rFonts w:cs="Courier New"/>
                <w:color w:val="auto"/>
                <w:highlight w:val="none"/>
                <w:u w:val="single"/>
              </w:rPr>
            </w:pPr>
            <w:r>
              <w:rPr>
                <w:rFonts w:hint="eastAsia"/>
                <w:color w:val="auto"/>
                <w:highlight w:val="none"/>
                <w:u w:val="single"/>
              </w:rPr>
              <w:t xml:space="preserve">     /      </w:t>
            </w:r>
          </w:p>
        </w:tc>
        <w:tc>
          <w:tcPr>
            <w:tcW w:w="1008" w:type="pct"/>
            <w:shd w:val="clear" w:color="auto" w:fill="auto"/>
            <w:vAlign w:val="center"/>
          </w:tcPr>
          <w:p w14:paraId="279843A5">
            <w:pPr>
              <w:widowControl w:val="0"/>
              <w:adjustRightInd w:val="0"/>
              <w:snapToGrid w:val="0"/>
              <w:spacing w:line="360" w:lineRule="auto"/>
              <w:jc w:val="both"/>
              <w:rPr>
                <w:rFonts w:cs="Courier New"/>
                <w:color w:val="auto"/>
                <w:highlight w:val="none"/>
              </w:rPr>
            </w:pPr>
            <w:r>
              <w:rPr>
                <w:rFonts w:hint="eastAsia" w:cs="Courier New"/>
                <w:color w:val="auto"/>
                <w:highlight w:val="none"/>
              </w:rPr>
              <w:t>传真电话：</w:t>
            </w:r>
          </w:p>
        </w:tc>
        <w:tc>
          <w:tcPr>
            <w:tcW w:w="1568" w:type="pct"/>
            <w:shd w:val="clear" w:color="auto" w:fill="auto"/>
            <w:vAlign w:val="center"/>
          </w:tcPr>
          <w:p w14:paraId="6BC1364E">
            <w:pPr>
              <w:widowControl w:val="0"/>
              <w:adjustRightInd w:val="0"/>
              <w:snapToGrid w:val="0"/>
              <w:spacing w:line="360" w:lineRule="auto"/>
              <w:jc w:val="both"/>
              <w:rPr>
                <w:rFonts w:cs="Courier New"/>
                <w:color w:val="auto"/>
                <w:highlight w:val="none"/>
                <w:u w:val="single"/>
              </w:rPr>
            </w:pPr>
            <w:r>
              <w:rPr>
                <w:rFonts w:hint="eastAsia"/>
                <w:color w:val="auto"/>
                <w:highlight w:val="none"/>
                <w:u w:val="single"/>
              </w:rPr>
              <w:t xml:space="preserve">     /      </w:t>
            </w:r>
            <w:r>
              <w:rPr>
                <w:rFonts w:cs="Courier New"/>
                <w:bCs/>
                <w:color w:val="auto"/>
                <w:highlight w:val="none"/>
                <w:u w:val="single"/>
              </w:rPr>
              <w:fldChar w:fldCharType="begin"/>
            </w:r>
            <w:r>
              <w:rPr>
                <w:rFonts w:cs="Courier New"/>
                <w:bCs/>
                <w:color w:val="auto"/>
                <w:highlight w:val="none"/>
                <w:u w:val="single"/>
              </w:rPr>
              <w:instrText xml:space="preserve"> AUTOTEXT  input356 \* MERGEFORMAT </w:instrText>
            </w:r>
            <w:r>
              <w:rPr>
                <w:rFonts w:cs="Courier New"/>
                <w:bCs/>
                <w:color w:val="auto"/>
                <w:highlight w:val="none"/>
                <w:u w:val="single"/>
              </w:rPr>
              <w:fldChar w:fldCharType="end"/>
            </w:r>
          </w:p>
        </w:tc>
      </w:tr>
      <w:tr w14:paraId="6099C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8" w:type="pct"/>
            <w:shd w:val="clear" w:color="auto" w:fill="auto"/>
            <w:vAlign w:val="center"/>
          </w:tcPr>
          <w:p w14:paraId="69B17648">
            <w:pPr>
              <w:widowControl w:val="0"/>
              <w:adjustRightInd w:val="0"/>
              <w:snapToGrid w:val="0"/>
              <w:spacing w:line="360" w:lineRule="auto"/>
              <w:jc w:val="both"/>
              <w:rPr>
                <w:rFonts w:cs="Courier New"/>
                <w:color w:val="auto"/>
                <w:highlight w:val="none"/>
              </w:rPr>
            </w:pPr>
            <w:r>
              <w:rPr>
                <w:rFonts w:hint="eastAsia" w:cs="Courier New"/>
                <w:color w:val="auto"/>
                <w:highlight w:val="none"/>
              </w:rPr>
              <w:t>电子信箱：</w:t>
            </w:r>
          </w:p>
        </w:tc>
        <w:tc>
          <w:tcPr>
            <w:tcW w:w="1526" w:type="pct"/>
            <w:shd w:val="clear" w:color="auto" w:fill="auto"/>
            <w:vAlign w:val="center"/>
          </w:tcPr>
          <w:p w14:paraId="3D839114">
            <w:pPr>
              <w:widowControl w:val="0"/>
              <w:adjustRightInd w:val="0"/>
              <w:snapToGrid w:val="0"/>
              <w:spacing w:line="360" w:lineRule="auto"/>
              <w:jc w:val="both"/>
              <w:rPr>
                <w:rFonts w:cs="Courier New"/>
                <w:color w:val="auto"/>
                <w:highlight w:val="none"/>
                <w:u w:val="single"/>
              </w:rPr>
            </w:pPr>
            <w:r>
              <w:rPr>
                <w:rFonts w:hint="eastAsia"/>
                <w:color w:val="auto"/>
                <w:highlight w:val="none"/>
                <w:u w:val="single"/>
              </w:rPr>
              <w:t xml:space="preserve">     /      </w:t>
            </w:r>
          </w:p>
        </w:tc>
        <w:tc>
          <w:tcPr>
            <w:tcW w:w="1008" w:type="pct"/>
            <w:shd w:val="clear" w:color="auto" w:fill="auto"/>
            <w:vAlign w:val="center"/>
          </w:tcPr>
          <w:p w14:paraId="5C1DE97F">
            <w:pPr>
              <w:widowControl w:val="0"/>
              <w:adjustRightInd w:val="0"/>
              <w:snapToGrid w:val="0"/>
              <w:spacing w:line="360" w:lineRule="auto"/>
              <w:jc w:val="both"/>
              <w:rPr>
                <w:rFonts w:cs="Courier New"/>
                <w:color w:val="auto"/>
                <w:highlight w:val="none"/>
              </w:rPr>
            </w:pPr>
            <w:r>
              <w:rPr>
                <w:rFonts w:hint="eastAsia" w:cs="Courier New"/>
                <w:color w:val="auto"/>
                <w:highlight w:val="none"/>
              </w:rPr>
              <w:t>电子信箱：</w:t>
            </w:r>
          </w:p>
        </w:tc>
        <w:tc>
          <w:tcPr>
            <w:tcW w:w="1568" w:type="pct"/>
            <w:shd w:val="clear" w:color="auto" w:fill="auto"/>
            <w:vAlign w:val="center"/>
          </w:tcPr>
          <w:p w14:paraId="486DEF5A">
            <w:pPr>
              <w:widowControl w:val="0"/>
              <w:adjustRightInd w:val="0"/>
              <w:snapToGrid w:val="0"/>
              <w:spacing w:line="360" w:lineRule="auto"/>
              <w:jc w:val="both"/>
              <w:rPr>
                <w:rFonts w:cs="Courier New"/>
                <w:color w:val="auto"/>
                <w:highlight w:val="none"/>
                <w:u w:val="single"/>
              </w:rPr>
            </w:pPr>
            <w:r>
              <w:rPr>
                <w:rFonts w:hint="eastAsia"/>
                <w:color w:val="auto"/>
                <w:highlight w:val="none"/>
                <w:u w:val="single"/>
              </w:rPr>
              <w:t xml:space="preserve">     /      </w:t>
            </w:r>
            <w:r>
              <w:rPr>
                <w:rFonts w:cs="Courier New"/>
                <w:color w:val="auto"/>
                <w:highlight w:val="none"/>
                <w:u w:val="single"/>
              </w:rPr>
              <w:fldChar w:fldCharType="begin"/>
            </w:r>
            <w:r>
              <w:rPr>
                <w:rFonts w:cs="Courier New"/>
                <w:color w:val="auto"/>
                <w:highlight w:val="none"/>
                <w:u w:val="single"/>
              </w:rPr>
              <w:instrText xml:space="preserve"> AUTOTEXT  input428 \* MERGEFORMAT </w:instrText>
            </w:r>
            <w:r>
              <w:rPr>
                <w:rFonts w:cs="Courier New"/>
                <w:color w:val="auto"/>
                <w:highlight w:val="none"/>
                <w:u w:val="single"/>
              </w:rPr>
              <w:fldChar w:fldCharType="end"/>
            </w:r>
          </w:p>
        </w:tc>
      </w:tr>
      <w:tr w14:paraId="2762A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98" w:type="pct"/>
            <w:shd w:val="clear" w:color="auto" w:fill="auto"/>
            <w:vAlign w:val="center"/>
          </w:tcPr>
          <w:p w14:paraId="2172074D">
            <w:pPr>
              <w:widowControl w:val="0"/>
              <w:adjustRightInd w:val="0"/>
              <w:snapToGrid w:val="0"/>
              <w:spacing w:line="360" w:lineRule="auto"/>
              <w:jc w:val="both"/>
              <w:rPr>
                <w:rFonts w:cs="Courier New"/>
                <w:color w:val="auto"/>
                <w:highlight w:val="none"/>
              </w:rPr>
            </w:pPr>
            <w:r>
              <w:rPr>
                <w:rFonts w:hint="eastAsia" w:cs="Courier New"/>
                <w:color w:val="auto"/>
                <w:highlight w:val="none"/>
              </w:rPr>
              <w:t>日    期：</w:t>
            </w:r>
          </w:p>
        </w:tc>
        <w:tc>
          <w:tcPr>
            <w:tcW w:w="1526" w:type="pct"/>
            <w:shd w:val="clear" w:color="auto" w:fill="auto"/>
            <w:vAlign w:val="center"/>
          </w:tcPr>
          <w:p w14:paraId="78FD7E36">
            <w:pPr>
              <w:widowControl w:val="0"/>
              <w:adjustRightInd w:val="0"/>
              <w:snapToGrid w:val="0"/>
              <w:spacing w:line="360" w:lineRule="auto"/>
              <w:jc w:val="both"/>
              <w:rPr>
                <w:rFonts w:cs="Courier New"/>
                <w:color w:val="auto"/>
                <w:highlight w:val="none"/>
                <w:u w:val="single"/>
              </w:rPr>
            </w:pPr>
            <w:r>
              <w:rPr>
                <w:color w:val="auto"/>
                <w:highlight w:val="none"/>
                <w:u w:val="single"/>
              </w:rPr>
              <w:t xml:space="preserve">       </w:t>
            </w:r>
            <w:r>
              <w:rPr>
                <w:rFonts w:cs="Courier New"/>
                <w:bCs/>
                <w:color w:val="auto"/>
                <w:highlight w:val="none"/>
                <w:u w:val="single"/>
              </w:rPr>
              <w:fldChar w:fldCharType="begin"/>
            </w:r>
            <w:r>
              <w:rPr>
                <w:rFonts w:cs="Courier New"/>
                <w:bCs/>
                <w:color w:val="auto"/>
                <w:highlight w:val="none"/>
                <w:u w:val="single"/>
              </w:rPr>
              <w:instrText xml:space="preserve"> AUTOTEXT  input361 \* MERGEFORMAT </w:instrText>
            </w:r>
            <w:r>
              <w:rPr>
                <w:rFonts w:cs="Courier New"/>
                <w:bCs/>
                <w:color w:val="auto"/>
                <w:highlight w:val="none"/>
                <w:u w:val="single"/>
              </w:rPr>
              <w:fldChar w:fldCharType="end"/>
            </w:r>
          </w:p>
        </w:tc>
        <w:tc>
          <w:tcPr>
            <w:tcW w:w="1008" w:type="pct"/>
            <w:shd w:val="clear" w:color="auto" w:fill="auto"/>
            <w:vAlign w:val="center"/>
          </w:tcPr>
          <w:p w14:paraId="429871A6">
            <w:pPr>
              <w:widowControl w:val="0"/>
              <w:adjustRightInd w:val="0"/>
              <w:snapToGrid w:val="0"/>
              <w:spacing w:line="360" w:lineRule="auto"/>
              <w:jc w:val="both"/>
              <w:rPr>
                <w:rFonts w:cs="Courier New"/>
                <w:color w:val="auto"/>
                <w:highlight w:val="none"/>
              </w:rPr>
            </w:pPr>
            <w:r>
              <w:rPr>
                <w:rFonts w:hint="eastAsia" w:cs="Courier New"/>
                <w:color w:val="auto"/>
                <w:highlight w:val="none"/>
              </w:rPr>
              <w:t>日    期：</w:t>
            </w:r>
          </w:p>
        </w:tc>
        <w:tc>
          <w:tcPr>
            <w:tcW w:w="1568" w:type="pct"/>
            <w:shd w:val="clear" w:color="auto" w:fill="auto"/>
            <w:vAlign w:val="center"/>
          </w:tcPr>
          <w:p w14:paraId="3BD99701">
            <w:pPr>
              <w:widowControl w:val="0"/>
              <w:adjustRightInd w:val="0"/>
              <w:snapToGrid w:val="0"/>
              <w:spacing w:line="360" w:lineRule="auto"/>
              <w:jc w:val="both"/>
              <w:rPr>
                <w:rFonts w:cs="Courier New"/>
                <w:color w:val="auto"/>
                <w:highlight w:val="none"/>
                <w:u w:val="single"/>
              </w:rPr>
            </w:pPr>
            <w:r>
              <w:rPr>
                <w:color w:val="auto"/>
                <w:highlight w:val="none"/>
                <w:u w:val="single"/>
              </w:rPr>
              <w:t xml:space="preserve">       </w:t>
            </w:r>
            <w:r>
              <w:rPr>
                <w:rFonts w:cs="Courier New"/>
                <w:bCs/>
                <w:color w:val="auto"/>
                <w:highlight w:val="none"/>
                <w:u w:val="single"/>
              </w:rPr>
              <w:fldChar w:fldCharType="begin"/>
            </w:r>
            <w:r>
              <w:rPr>
                <w:rFonts w:cs="Courier New"/>
                <w:bCs/>
                <w:color w:val="auto"/>
                <w:highlight w:val="none"/>
                <w:u w:val="single"/>
              </w:rPr>
              <w:instrText xml:space="preserve"> AUTOTEXT  input362 \* MERGEFORMAT </w:instrText>
            </w:r>
            <w:r>
              <w:rPr>
                <w:rFonts w:cs="Courier New"/>
                <w:bCs/>
                <w:color w:val="auto"/>
                <w:highlight w:val="none"/>
                <w:u w:val="single"/>
              </w:rPr>
              <w:fldChar w:fldCharType="end"/>
            </w:r>
          </w:p>
        </w:tc>
      </w:tr>
    </w:tbl>
    <w:p w14:paraId="779D4425">
      <w:pPr>
        <w:spacing w:line="360" w:lineRule="auto"/>
        <w:rPr>
          <w:color w:val="auto"/>
          <w:highlight w:val="none"/>
        </w:rPr>
      </w:pPr>
    </w:p>
    <w:p w14:paraId="2B1910E4">
      <w:pPr>
        <w:adjustRightInd w:val="0"/>
        <w:snapToGrid w:val="0"/>
        <w:spacing w:line="360" w:lineRule="auto"/>
        <w:ind w:firstLine="480" w:firstLineChars="200"/>
        <w:rPr>
          <w:color w:val="auto"/>
          <w:highlight w:val="none"/>
        </w:rPr>
      </w:pPr>
    </w:p>
    <w:p w14:paraId="7B20308A">
      <w:pPr>
        <w:adjustRightInd w:val="0"/>
        <w:snapToGrid w:val="0"/>
        <w:spacing w:line="360" w:lineRule="auto"/>
        <w:rPr>
          <w:color w:val="auto"/>
          <w:highlight w:val="none"/>
        </w:rPr>
      </w:pPr>
      <w:r>
        <w:rPr>
          <w:color w:val="auto"/>
          <w:highlight w:val="none"/>
        </w:rPr>
        <w:br w:type="page"/>
      </w:r>
    </w:p>
    <w:p w14:paraId="4B714135">
      <w:pPr>
        <w:adjustRightInd w:val="0"/>
        <w:snapToGrid w:val="0"/>
        <w:spacing w:line="360" w:lineRule="auto"/>
        <w:jc w:val="center"/>
        <w:outlineLvl w:val="0"/>
        <w:rPr>
          <w:b/>
          <w:color w:val="auto"/>
          <w:sz w:val="52"/>
          <w:szCs w:val="52"/>
          <w:highlight w:val="none"/>
        </w:rPr>
      </w:pPr>
      <w:r>
        <w:rPr>
          <w:rFonts w:hint="eastAsia"/>
          <w:b/>
          <w:color w:val="auto"/>
          <w:sz w:val="52"/>
          <w:szCs w:val="52"/>
          <w:highlight w:val="none"/>
        </w:rPr>
        <w:t>第二章  投标须知</w:t>
      </w:r>
    </w:p>
    <w:p w14:paraId="76C25D8D">
      <w:pPr>
        <w:adjustRightInd w:val="0"/>
        <w:snapToGrid w:val="0"/>
        <w:spacing w:line="360" w:lineRule="auto"/>
        <w:jc w:val="center"/>
        <w:outlineLvl w:val="1"/>
        <w:rPr>
          <w:b/>
          <w:color w:val="auto"/>
          <w:sz w:val="44"/>
          <w:highlight w:val="none"/>
        </w:rPr>
      </w:pPr>
      <w:r>
        <w:rPr>
          <w:rFonts w:hint="eastAsia"/>
          <w:b/>
          <w:color w:val="auto"/>
          <w:sz w:val="44"/>
          <w:highlight w:val="none"/>
        </w:rPr>
        <w:t>一、投标须知前附表</w:t>
      </w:r>
    </w:p>
    <w:tbl>
      <w:tblPr>
        <w:tblStyle w:val="40"/>
        <w:tblW w:w="44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31"/>
        <w:gridCol w:w="5351"/>
      </w:tblGrid>
      <w:tr w14:paraId="5DE7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659B837F">
            <w:pPr>
              <w:widowControl w:val="0"/>
              <w:adjustRightInd w:val="0"/>
              <w:snapToGrid w:val="0"/>
              <w:spacing w:line="360" w:lineRule="auto"/>
              <w:jc w:val="center"/>
              <w:rPr>
                <w:rFonts w:ascii="黑体" w:hAnsi="黑体" w:eastAsia="黑体" w:cs="Courier New"/>
                <w:color w:val="auto"/>
                <w:highlight w:val="none"/>
              </w:rPr>
            </w:pPr>
            <w:r>
              <w:rPr>
                <w:rFonts w:hint="eastAsia" w:ascii="黑体" w:hAnsi="黑体" w:eastAsia="黑体" w:cs="Courier New"/>
                <w:color w:val="auto"/>
                <w:highlight w:val="none"/>
              </w:rPr>
              <w:t>项号</w:t>
            </w:r>
          </w:p>
        </w:tc>
        <w:tc>
          <w:tcPr>
            <w:tcW w:w="1283" w:type="pct"/>
            <w:shd w:val="clear" w:color="auto" w:fill="auto"/>
            <w:vAlign w:val="center"/>
          </w:tcPr>
          <w:p w14:paraId="45DE9BF0">
            <w:pPr>
              <w:widowControl w:val="0"/>
              <w:adjustRightInd w:val="0"/>
              <w:snapToGrid w:val="0"/>
              <w:spacing w:line="360" w:lineRule="auto"/>
              <w:jc w:val="center"/>
              <w:rPr>
                <w:rFonts w:ascii="黑体" w:hAnsi="黑体" w:eastAsia="黑体" w:cs="Courier New"/>
                <w:color w:val="auto"/>
                <w:highlight w:val="none"/>
              </w:rPr>
            </w:pPr>
            <w:r>
              <w:rPr>
                <w:rFonts w:hint="eastAsia" w:ascii="黑体" w:hAnsi="黑体" w:eastAsia="黑体" w:cs="Courier New"/>
                <w:color w:val="auto"/>
                <w:highlight w:val="none"/>
              </w:rPr>
              <w:t>内</w:t>
            </w:r>
            <w:r>
              <w:rPr>
                <w:rFonts w:ascii="黑体" w:hAnsi="黑体" w:eastAsia="黑体" w:cs="Courier New"/>
                <w:color w:val="auto"/>
                <w:highlight w:val="none"/>
              </w:rPr>
              <w:t xml:space="preserve">  </w:t>
            </w:r>
            <w:r>
              <w:rPr>
                <w:rFonts w:hint="eastAsia" w:ascii="黑体" w:hAnsi="黑体" w:eastAsia="黑体" w:cs="Courier New"/>
                <w:color w:val="auto"/>
                <w:highlight w:val="none"/>
              </w:rPr>
              <w:t>容</w:t>
            </w:r>
          </w:p>
        </w:tc>
        <w:tc>
          <w:tcPr>
            <w:tcW w:w="3223" w:type="pct"/>
            <w:shd w:val="clear" w:color="auto" w:fill="auto"/>
            <w:vAlign w:val="center"/>
          </w:tcPr>
          <w:p w14:paraId="7CB50669">
            <w:pPr>
              <w:widowControl w:val="0"/>
              <w:adjustRightInd w:val="0"/>
              <w:snapToGrid w:val="0"/>
              <w:spacing w:line="360" w:lineRule="auto"/>
              <w:jc w:val="center"/>
              <w:rPr>
                <w:rFonts w:ascii="黑体" w:hAnsi="黑体" w:eastAsia="黑体" w:cs="Courier New"/>
                <w:color w:val="auto"/>
                <w:highlight w:val="none"/>
              </w:rPr>
            </w:pPr>
            <w:r>
              <w:rPr>
                <w:rFonts w:hint="eastAsia" w:ascii="黑体" w:hAnsi="黑体" w:eastAsia="黑体" w:cs="Courier New"/>
                <w:color w:val="auto"/>
                <w:highlight w:val="none"/>
              </w:rPr>
              <w:t>规</w:t>
            </w:r>
            <w:r>
              <w:rPr>
                <w:rFonts w:ascii="黑体" w:hAnsi="黑体" w:eastAsia="黑体" w:cs="Courier New"/>
                <w:color w:val="auto"/>
                <w:highlight w:val="none"/>
              </w:rPr>
              <w:t xml:space="preserve">       </w:t>
            </w:r>
            <w:r>
              <w:rPr>
                <w:rFonts w:hint="eastAsia" w:ascii="黑体" w:hAnsi="黑体" w:eastAsia="黑体" w:cs="Courier New"/>
                <w:color w:val="auto"/>
                <w:highlight w:val="none"/>
              </w:rPr>
              <w:t>定</w:t>
            </w:r>
          </w:p>
        </w:tc>
      </w:tr>
      <w:tr w14:paraId="5D7D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500939A6">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1</w:t>
            </w:r>
          </w:p>
        </w:tc>
        <w:tc>
          <w:tcPr>
            <w:tcW w:w="1283" w:type="pct"/>
            <w:shd w:val="clear" w:color="auto" w:fill="auto"/>
            <w:vAlign w:val="center"/>
          </w:tcPr>
          <w:p w14:paraId="26CBF101">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标段名称</w:t>
            </w:r>
          </w:p>
        </w:tc>
        <w:tc>
          <w:tcPr>
            <w:tcW w:w="3223" w:type="pct"/>
            <w:shd w:val="clear" w:color="auto" w:fill="auto"/>
            <w:vAlign w:val="center"/>
          </w:tcPr>
          <w:p w14:paraId="1386B101">
            <w:pPr>
              <w:widowControl w:val="0"/>
              <w:adjustRightInd w:val="0"/>
              <w:snapToGrid w:val="0"/>
              <w:spacing w:line="360" w:lineRule="auto"/>
              <w:jc w:val="both"/>
              <w:rPr>
                <w:rFonts w:cs="Courier New"/>
                <w:color w:val="auto"/>
                <w:sz w:val="21"/>
                <w:szCs w:val="21"/>
                <w:highlight w:val="none"/>
              </w:rPr>
            </w:pPr>
            <w:r>
              <w:rPr>
                <w:rFonts w:hint="eastAsia"/>
                <w:color w:val="auto"/>
                <w:sz w:val="21"/>
                <w:highlight w:val="none"/>
                <w:u w:val="single"/>
              </w:rPr>
              <w:t>铁岗水库牛成村建成区径流调蓄转输工程—宣传拍摄</w:t>
            </w:r>
            <w:r>
              <w:rPr>
                <w:rFonts w:cs="Courier New"/>
                <w:bCs/>
                <w:color w:val="auto"/>
                <w:szCs w:val="21"/>
                <w:highlight w:val="none"/>
                <w:u w:val="single"/>
              </w:rPr>
              <w:fldChar w:fldCharType="begin"/>
            </w:r>
            <w:r>
              <w:rPr>
                <w:rFonts w:cs="Courier New"/>
                <w:bCs/>
                <w:color w:val="auto"/>
                <w:sz w:val="21"/>
                <w:szCs w:val="21"/>
                <w:highlight w:val="none"/>
                <w:u w:val="single"/>
              </w:rPr>
              <w:instrText xml:space="preserve"> AUTOTEXT  input363 \* MERGEFORMAT </w:instrText>
            </w:r>
            <w:r>
              <w:rPr>
                <w:rFonts w:cs="Courier New"/>
                <w:bCs/>
                <w:color w:val="auto"/>
                <w:szCs w:val="21"/>
                <w:highlight w:val="none"/>
                <w:u w:val="single"/>
              </w:rPr>
              <w:fldChar w:fldCharType="end"/>
            </w:r>
          </w:p>
        </w:tc>
      </w:tr>
      <w:tr w14:paraId="7F4F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59A99F12">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2</w:t>
            </w:r>
          </w:p>
        </w:tc>
        <w:tc>
          <w:tcPr>
            <w:tcW w:w="1283" w:type="pct"/>
            <w:shd w:val="clear" w:color="auto" w:fill="auto"/>
            <w:vAlign w:val="center"/>
          </w:tcPr>
          <w:p w14:paraId="1FFEE099">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工程地点</w:t>
            </w:r>
          </w:p>
        </w:tc>
        <w:tc>
          <w:tcPr>
            <w:tcW w:w="3223" w:type="pct"/>
            <w:shd w:val="clear" w:color="auto" w:fill="auto"/>
            <w:vAlign w:val="center"/>
          </w:tcPr>
          <w:p w14:paraId="162B27D5">
            <w:pPr>
              <w:widowControl w:val="0"/>
              <w:adjustRightInd w:val="0"/>
              <w:snapToGrid w:val="0"/>
              <w:spacing w:line="360" w:lineRule="auto"/>
              <w:jc w:val="both"/>
              <w:rPr>
                <w:rFonts w:cs="Courier New"/>
                <w:color w:val="auto"/>
                <w:sz w:val="21"/>
                <w:szCs w:val="21"/>
                <w:highlight w:val="none"/>
              </w:rPr>
            </w:pPr>
            <w:r>
              <w:rPr>
                <w:color w:val="auto"/>
                <w:sz w:val="21"/>
                <w:highlight w:val="none"/>
                <w:u w:val="single"/>
              </w:rPr>
              <w:t>深圳市南山区</w:t>
            </w:r>
            <w:r>
              <w:rPr>
                <w:rFonts w:cs="Courier New"/>
                <w:bCs/>
                <w:color w:val="auto"/>
                <w:szCs w:val="21"/>
                <w:highlight w:val="none"/>
                <w:u w:val="single"/>
              </w:rPr>
              <w:fldChar w:fldCharType="begin"/>
            </w:r>
            <w:r>
              <w:rPr>
                <w:rFonts w:cs="Courier New"/>
                <w:bCs/>
                <w:color w:val="auto"/>
                <w:sz w:val="21"/>
                <w:szCs w:val="21"/>
                <w:highlight w:val="none"/>
                <w:u w:val="single"/>
              </w:rPr>
              <w:instrText xml:space="preserve"> AUTOTEXT  input364 \* MERGEFORMAT </w:instrText>
            </w:r>
            <w:r>
              <w:rPr>
                <w:rFonts w:cs="Courier New"/>
                <w:bCs/>
                <w:color w:val="auto"/>
                <w:szCs w:val="21"/>
                <w:highlight w:val="none"/>
                <w:u w:val="single"/>
              </w:rPr>
              <w:fldChar w:fldCharType="end"/>
            </w:r>
          </w:p>
        </w:tc>
      </w:tr>
      <w:tr w14:paraId="4EC6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6C437F09">
            <w:pPr>
              <w:widowControl w:val="0"/>
              <w:adjustRightInd w:val="0"/>
              <w:snapToGrid w:val="0"/>
              <w:spacing w:line="360" w:lineRule="auto"/>
              <w:jc w:val="center"/>
              <w:rPr>
                <w:rFonts w:cs="Courier New"/>
                <w:color w:val="auto"/>
                <w:sz w:val="21"/>
                <w:szCs w:val="21"/>
                <w:highlight w:val="none"/>
              </w:rPr>
            </w:pPr>
            <w:r>
              <w:rPr>
                <w:rFonts w:cs="Courier New"/>
                <w:color w:val="auto"/>
                <w:sz w:val="21"/>
                <w:szCs w:val="21"/>
                <w:highlight w:val="none"/>
              </w:rPr>
              <w:t>4</w:t>
            </w:r>
          </w:p>
        </w:tc>
        <w:tc>
          <w:tcPr>
            <w:tcW w:w="1283" w:type="pct"/>
            <w:shd w:val="clear" w:color="auto" w:fill="auto"/>
            <w:vAlign w:val="center"/>
          </w:tcPr>
          <w:p w14:paraId="388F62F0">
            <w:pPr>
              <w:widowControl w:val="0"/>
              <w:spacing w:line="360" w:lineRule="auto"/>
              <w:jc w:val="center"/>
              <w:rPr>
                <w:snapToGrid w:val="0"/>
                <w:color w:val="auto"/>
                <w:sz w:val="21"/>
                <w:szCs w:val="21"/>
                <w:highlight w:val="none"/>
              </w:rPr>
            </w:pPr>
            <w:r>
              <w:rPr>
                <w:rFonts w:hint="eastAsia"/>
                <w:snapToGrid w:val="0"/>
                <w:color w:val="auto"/>
                <w:sz w:val="21"/>
                <w:szCs w:val="21"/>
                <w:highlight w:val="none"/>
              </w:rPr>
              <w:t>总投资额</w:t>
            </w:r>
          </w:p>
        </w:tc>
        <w:tc>
          <w:tcPr>
            <w:tcW w:w="3223" w:type="pct"/>
            <w:shd w:val="clear" w:color="auto" w:fill="auto"/>
            <w:vAlign w:val="center"/>
          </w:tcPr>
          <w:p w14:paraId="6D609520">
            <w:pPr>
              <w:widowControl w:val="0"/>
              <w:spacing w:line="360" w:lineRule="auto"/>
              <w:jc w:val="both"/>
              <w:rPr>
                <w:snapToGrid w:val="0"/>
                <w:color w:val="auto"/>
                <w:sz w:val="21"/>
                <w:szCs w:val="21"/>
                <w:highlight w:val="none"/>
              </w:rPr>
            </w:pPr>
            <w:r>
              <w:rPr>
                <w:rFonts w:hint="eastAsia"/>
                <w:color w:val="auto"/>
                <w:sz w:val="21"/>
                <w:highlight w:val="none"/>
                <w:u w:val="single"/>
              </w:rPr>
              <w:t xml:space="preserve"> 2.95亿元 </w:t>
            </w:r>
          </w:p>
        </w:tc>
      </w:tr>
      <w:tr w14:paraId="2995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710F9942">
            <w:pPr>
              <w:widowControl w:val="0"/>
              <w:spacing w:line="360" w:lineRule="auto"/>
              <w:jc w:val="center"/>
              <w:rPr>
                <w:color w:val="auto"/>
                <w:sz w:val="21"/>
                <w:highlight w:val="none"/>
                <w:u w:val="single"/>
              </w:rPr>
            </w:pPr>
            <w:r>
              <w:rPr>
                <w:snapToGrid w:val="0"/>
                <w:color w:val="auto"/>
                <w:sz w:val="21"/>
                <w:szCs w:val="21"/>
                <w:highlight w:val="none"/>
              </w:rPr>
              <w:t>5</w:t>
            </w:r>
          </w:p>
        </w:tc>
        <w:tc>
          <w:tcPr>
            <w:tcW w:w="1283" w:type="pct"/>
            <w:shd w:val="clear" w:color="auto" w:fill="auto"/>
            <w:vAlign w:val="center"/>
          </w:tcPr>
          <w:p w14:paraId="79D10AF4">
            <w:pPr>
              <w:widowControl w:val="0"/>
              <w:spacing w:line="360" w:lineRule="auto"/>
              <w:jc w:val="center"/>
              <w:rPr>
                <w:color w:val="auto"/>
                <w:sz w:val="21"/>
                <w:highlight w:val="none"/>
                <w:u w:val="single"/>
              </w:rPr>
            </w:pPr>
            <w:r>
              <w:rPr>
                <w:rFonts w:hint="eastAsia"/>
                <w:snapToGrid w:val="0"/>
                <w:color w:val="auto"/>
                <w:sz w:val="21"/>
                <w:szCs w:val="21"/>
                <w:highlight w:val="none"/>
              </w:rPr>
              <w:t>招标范围</w:t>
            </w:r>
          </w:p>
        </w:tc>
        <w:tc>
          <w:tcPr>
            <w:tcW w:w="3223" w:type="pct"/>
            <w:shd w:val="clear" w:color="auto" w:fill="auto"/>
            <w:vAlign w:val="center"/>
          </w:tcPr>
          <w:p w14:paraId="5993C0EC">
            <w:pPr>
              <w:widowControl w:val="0"/>
              <w:spacing w:line="360" w:lineRule="auto"/>
              <w:jc w:val="both"/>
              <w:rPr>
                <w:color w:val="auto"/>
                <w:sz w:val="21"/>
                <w:highlight w:val="none"/>
                <w:u w:val="single"/>
              </w:rPr>
            </w:pPr>
            <w:r>
              <w:rPr>
                <w:rFonts w:hint="eastAsia"/>
                <w:color w:val="auto"/>
                <w:sz w:val="21"/>
                <w:highlight w:val="none"/>
                <w:u w:val="single"/>
              </w:rPr>
              <w:t>包括但不限于：宣传拍摄的策划设计、对相关单位代表进行采访、工程特色施工技术展示、工程实施效果的展示、工程实现的效益价值宣传等，详见任务书。</w:t>
            </w:r>
          </w:p>
        </w:tc>
      </w:tr>
      <w:tr w14:paraId="4B44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62DC40D2">
            <w:pPr>
              <w:widowControl w:val="0"/>
              <w:adjustRightInd w:val="0"/>
              <w:snapToGrid w:val="0"/>
              <w:spacing w:line="360" w:lineRule="auto"/>
              <w:jc w:val="center"/>
              <w:rPr>
                <w:rFonts w:cs="Courier New"/>
                <w:color w:val="auto"/>
                <w:sz w:val="21"/>
                <w:szCs w:val="21"/>
                <w:highlight w:val="none"/>
              </w:rPr>
            </w:pPr>
            <w:r>
              <w:rPr>
                <w:rFonts w:cs="Courier New"/>
                <w:color w:val="auto"/>
                <w:sz w:val="21"/>
                <w:szCs w:val="21"/>
                <w:highlight w:val="none"/>
              </w:rPr>
              <w:t>6</w:t>
            </w:r>
          </w:p>
        </w:tc>
        <w:tc>
          <w:tcPr>
            <w:tcW w:w="1283" w:type="pct"/>
            <w:shd w:val="clear" w:color="auto" w:fill="auto"/>
            <w:vAlign w:val="center"/>
          </w:tcPr>
          <w:p w14:paraId="37D6C4E2">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资金来源</w:t>
            </w:r>
          </w:p>
        </w:tc>
        <w:tc>
          <w:tcPr>
            <w:tcW w:w="3223" w:type="pct"/>
            <w:shd w:val="clear" w:color="auto" w:fill="auto"/>
            <w:vAlign w:val="center"/>
          </w:tcPr>
          <w:p w14:paraId="463EF6FB">
            <w:pPr>
              <w:widowControl w:val="0"/>
              <w:adjustRightInd w:val="0"/>
              <w:snapToGrid w:val="0"/>
              <w:spacing w:line="360" w:lineRule="auto"/>
              <w:jc w:val="both"/>
              <w:rPr>
                <w:rFonts w:cs="Courier New"/>
                <w:b/>
                <w:bCs/>
                <w:color w:val="auto"/>
                <w:sz w:val="21"/>
                <w:szCs w:val="21"/>
                <w:highlight w:val="none"/>
                <w:u w:val="single"/>
              </w:rPr>
            </w:pPr>
            <w:r>
              <w:rPr>
                <w:color w:val="auto"/>
                <w:sz w:val="21"/>
                <w:highlight w:val="none"/>
                <w:u w:val="single"/>
              </w:rPr>
              <w:t>政府投资100%</w:t>
            </w:r>
            <w:r>
              <w:rPr>
                <w:rFonts w:cs="Courier New"/>
                <w:bCs/>
                <w:color w:val="auto"/>
                <w:szCs w:val="21"/>
                <w:highlight w:val="none"/>
                <w:u w:val="single"/>
              </w:rPr>
              <w:fldChar w:fldCharType="begin"/>
            </w:r>
            <w:r>
              <w:rPr>
                <w:rFonts w:cs="Courier New"/>
                <w:bCs/>
                <w:color w:val="auto"/>
                <w:sz w:val="21"/>
                <w:szCs w:val="21"/>
                <w:highlight w:val="none"/>
                <w:u w:val="single"/>
              </w:rPr>
              <w:instrText xml:space="preserve"> AUTOTEXT  input368 \* MERGEFORMAT </w:instrText>
            </w:r>
            <w:r>
              <w:rPr>
                <w:rFonts w:cs="Courier New"/>
                <w:bCs/>
                <w:color w:val="auto"/>
                <w:szCs w:val="21"/>
                <w:highlight w:val="none"/>
                <w:u w:val="single"/>
              </w:rPr>
              <w:fldChar w:fldCharType="end"/>
            </w:r>
          </w:p>
        </w:tc>
      </w:tr>
      <w:tr w14:paraId="7E91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74D2D43C">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7</w:t>
            </w:r>
          </w:p>
        </w:tc>
        <w:tc>
          <w:tcPr>
            <w:tcW w:w="1283" w:type="pct"/>
            <w:shd w:val="clear" w:color="auto" w:fill="auto"/>
            <w:vAlign w:val="center"/>
          </w:tcPr>
          <w:p w14:paraId="72A71B8F">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投标人要求</w:t>
            </w:r>
          </w:p>
        </w:tc>
        <w:tc>
          <w:tcPr>
            <w:tcW w:w="3223" w:type="pct"/>
            <w:shd w:val="clear" w:color="auto" w:fill="auto"/>
            <w:vAlign w:val="center"/>
          </w:tcPr>
          <w:p w14:paraId="39B6A93A">
            <w:pPr>
              <w:widowControl w:val="0"/>
              <w:adjustRightInd w:val="0"/>
              <w:snapToGrid w:val="0"/>
              <w:spacing w:line="360" w:lineRule="auto"/>
              <w:jc w:val="both"/>
              <w:rPr>
                <w:color w:val="auto"/>
                <w:sz w:val="21"/>
                <w:highlight w:val="none"/>
                <w:u w:val="single"/>
              </w:rPr>
            </w:pPr>
            <w:r>
              <w:rPr>
                <w:rFonts w:hint="eastAsia"/>
                <w:color w:val="auto"/>
                <w:sz w:val="21"/>
                <w:highlight w:val="none"/>
                <w:u w:val="single"/>
              </w:rPr>
              <w:t>投标人必须是在中华人民共和国境内注册的具有合法经营资格的独立法人、合伙制企业或者其他组织</w:t>
            </w:r>
            <w:r>
              <w:rPr>
                <w:rFonts w:cs="Courier New"/>
                <w:color w:val="auto"/>
                <w:szCs w:val="21"/>
                <w:highlight w:val="none"/>
                <w:u w:val="single"/>
              </w:rPr>
              <w:fldChar w:fldCharType="begin"/>
            </w:r>
            <w:r>
              <w:rPr>
                <w:rFonts w:cs="Courier New"/>
                <w:color w:val="auto"/>
                <w:sz w:val="21"/>
                <w:szCs w:val="21"/>
                <w:highlight w:val="none"/>
                <w:u w:val="single"/>
              </w:rPr>
              <w:instrText xml:space="preserve"> </w:instrText>
            </w:r>
            <w:r>
              <w:rPr>
                <w:rFonts w:hint="eastAsia" w:cs="Courier New"/>
                <w:color w:val="auto"/>
                <w:sz w:val="21"/>
                <w:szCs w:val="21"/>
                <w:highlight w:val="none"/>
                <w:u w:val="single"/>
              </w:rPr>
              <w:instrText xml:space="preserve">AUTOTEXT  input429 \* MERGEFORMAT</w:instrText>
            </w:r>
            <w:r>
              <w:rPr>
                <w:rFonts w:cs="Courier New"/>
                <w:color w:val="auto"/>
                <w:sz w:val="21"/>
                <w:szCs w:val="21"/>
                <w:highlight w:val="none"/>
                <w:u w:val="single"/>
              </w:rPr>
              <w:instrText xml:space="preserve"> </w:instrText>
            </w:r>
            <w:r>
              <w:rPr>
                <w:rFonts w:cs="Courier New"/>
                <w:color w:val="auto"/>
                <w:szCs w:val="21"/>
                <w:highlight w:val="none"/>
                <w:u w:val="single"/>
              </w:rPr>
              <w:fldChar w:fldCharType="end"/>
            </w:r>
          </w:p>
        </w:tc>
      </w:tr>
      <w:tr w14:paraId="4F71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92" w:type="pct"/>
            <w:shd w:val="clear" w:color="auto" w:fill="auto"/>
            <w:vAlign w:val="center"/>
          </w:tcPr>
          <w:p w14:paraId="110FC826">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8</w:t>
            </w:r>
          </w:p>
        </w:tc>
        <w:tc>
          <w:tcPr>
            <w:tcW w:w="1283" w:type="pct"/>
            <w:shd w:val="clear" w:color="auto" w:fill="auto"/>
            <w:vAlign w:val="center"/>
          </w:tcPr>
          <w:p w14:paraId="388BC816">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资格审查方式</w:t>
            </w:r>
          </w:p>
        </w:tc>
        <w:tc>
          <w:tcPr>
            <w:tcW w:w="3223" w:type="pct"/>
            <w:shd w:val="clear" w:color="auto" w:fill="auto"/>
            <w:vAlign w:val="center"/>
          </w:tcPr>
          <w:p w14:paraId="7543688D">
            <w:pPr>
              <w:widowControl w:val="0"/>
              <w:adjustRightInd w:val="0"/>
              <w:snapToGrid w:val="0"/>
              <w:spacing w:line="360" w:lineRule="auto"/>
              <w:jc w:val="both"/>
              <w:rPr>
                <w:rFonts w:cs="Courier New"/>
                <w:color w:val="auto"/>
                <w:sz w:val="21"/>
                <w:szCs w:val="21"/>
                <w:highlight w:val="none"/>
              </w:rPr>
            </w:pPr>
            <w:r>
              <w:rPr>
                <w:rFonts w:hint="eastAsia" w:cs="Courier New"/>
                <w:color w:val="auto"/>
                <w:sz w:val="21"/>
                <w:szCs w:val="21"/>
                <w:highlight w:val="none"/>
              </w:rPr>
              <w:t>□投标报名</w:t>
            </w:r>
            <w:r>
              <w:rPr>
                <w:rFonts w:cs="Courier New"/>
                <w:color w:val="auto"/>
                <w:sz w:val="21"/>
                <w:szCs w:val="21"/>
                <w:highlight w:val="none"/>
              </w:rPr>
              <w:t xml:space="preserve">    □资格预审    </w:t>
            </w:r>
            <w:r>
              <w:rPr>
                <w:color w:val="auto"/>
                <w:sz w:val="21"/>
                <w:highlight w:val="none"/>
              </w:rPr>
              <w:t xml:space="preserve"> ■</w:t>
            </w:r>
            <w:r>
              <w:rPr>
                <w:rFonts w:cs="Courier New"/>
                <w:color w:val="auto"/>
                <w:sz w:val="21"/>
                <w:szCs w:val="21"/>
                <w:highlight w:val="none"/>
              </w:rPr>
              <w:t>资格后审</w:t>
            </w:r>
          </w:p>
        </w:tc>
      </w:tr>
      <w:tr w14:paraId="3F3A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1897C611">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9</w:t>
            </w:r>
          </w:p>
        </w:tc>
        <w:tc>
          <w:tcPr>
            <w:tcW w:w="1283" w:type="pct"/>
            <w:shd w:val="clear" w:color="auto" w:fill="auto"/>
            <w:vAlign w:val="center"/>
          </w:tcPr>
          <w:p w14:paraId="717248E3">
            <w:pPr>
              <w:widowControl w:val="0"/>
              <w:spacing w:line="360" w:lineRule="auto"/>
              <w:jc w:val="center"/>
              <w:rPr>
                <w:rFonts w:cs="Courier New"/>
                <w:color w:val="auto"/>
                <w:sz w:val="21"/>
                <w:szCs w:val="21"/>
                <w:highlight w:val="none"/>
              </w:rPr>
            </w:pPr>
            <w:r>
              <w:rPr>
                <w:rFonts w:hint="eastAsia" w:cs="Courier New"/>
                <w:color w:val="auto"/>
                <w:sz w:val="21"/>
                <w:szCs w:val="21"/>
                <w:highlight w:val="none"/>
              </w:rPr>
              <w:t>是否接受</w:t>
            </w:r>
          </w:p>
          <w:p w14:paraId="7B38356D">
            <w:pPr>
              <w:widowControl w:val="0"/>
              <w:spacing w:line="360" w:lineRule="auto"/>
              <w:jc w:val="center"/>
              <w:rPr>
                <w:rFonts w:cs="Courier New"/>
                <w:color w:val="auto"/>
                <w:sz w:val="21"/>
                <w:szCs w:val="21"/>
                <w:highlight w:val="none"/>
              </w:rPr>
            </w:pPr>
            <w:r>
              <w:rPr>
                <w:rFonts w:hint="eastAsia" w:cs="Courier New"/>
                <w:color w:val="auto"/>
                <w:sz w:val="21"/>
                <w:szCs w:val="21"/>
                <w:highlight w:val="none"/>
              </w:rPr>
              <w:t>联合体投标</w:t>
            </w:r>
          </w:p>
        </w:tc>
        <w:tc>
          <w:tcPr>
            <w:tcW w:w="3223" w:type="pct"/>
            <w:shd w:val="clear" w:color="auto" w:fill="auto"/>
            <w:vAlign w:val="center"/>
          </w:tcPr>
          <w:p w14:paraId="6BD4479F">
            <w:pPr>
              <w:widowControl w:val="0"/>
              <w:spacing w:line="360" w:lineRule="auto"/>
              <w:jc w:val="both"/>
              <w:rPr>
                <w:rFonts w:cs="Courier New"/>
                <w:color w:val="auto"/>
                <w:sz w:val="21"/>
                <w:szCs w:val="21"/>
                <w:highlight w:val="none"/>
              </w:rPr>
            </w:pPr>
            <w:r>
              <w:rPr>
                <w:rFonts w:hint="eastAsia"/>
                <w:color w:val="auto"/>
                <w:sz w:val="21"/>
                <w:highlight w:val="none"/>
              </w:rPr>
              <w:t>■</w:t>
            </w:r>
            <w:r>
              <w:rPr>
                <w:rFonts w:hint="eastAsia" w:cs="Courier New"/>
                <w:color w:val="auto"/>
                <w:sz w:val="21"/>
                <w:szCs w:val="21"/>
                <w:highlight w:val="none"/>
              </w:rPr>
              <w:t>不接受   □接受</w:t>
            </w:r>
          </w:p>
        </w:tc>
      </w:tr>
      <w:tr w14:paraId="531B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6D5329D2">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10</w:t>
            </w:r>
          </w:p>
        </w:tc>
        <w:tc>
          <w:tcPr>
            <w:tcW w:w="1283" w:type="pct"/>
            <w:shd w:val="clear" w:color="auto" w:fill="auto"/>
            <w:vAlign w:val="center"/>
          </w:tcPr>
          <w:p w14:paraId="6DDA9208">
            <w:pPr>
              <w:widowControl w:val="0"/>
              <w:spacing w:line="360" w:lineRule="auto"/>
              <w:jc w:val="center"/>
              <w:rPr>
                <w:rFonts w:cs="Courier New"/>
                <w:color w:val="auto"/>
                <w:sz w:val="21"/>
                <w:szCs w:val="21"/>
                <w:highlight w:val="none"/>
              </w:rPr>
            </w:pPr>
            <w:r>
              <w:rPr>
                <w:rFonts w:hint="eastAsia" w:cs="Courier New"/>
                <w:color w:val="auto"/>
                <w:sz w:val="21"/>
                <w:szCs w:val="21"/>
                <w:highlight w:val="none"/>
              </w:rPr>
              <w:t>项目负责人资格要求</w:t>
            </w:r>
          </w:p>
        </w:tc>
        <w:tc>
          <w:tcPr>
            <w:tcW w:w="3223" w:type="pct"/>
            <w:shd w:val="clear" w:color="auto" w:fill="auto"/>
            <w:vAlign w:val="center"/>
          </w:tcPr>
          <w:p w14:paraId="05D013CD">
            <w:pPr>
              <w:widowControl w:val="0"/>
              <w:spacing w:line="360" w:lineRule="auto"/>
              <w:jc w:val="left"/>
              <w:rPr>
                <w:color w:val="auto"/>
                <w:sz w:val="21"/>
                <w:highlight w:val="none"/>
                <w:u w:val="single"/>
              </w:rPr>
            </w:pPr>
            <w:r>
              <w:rPr>
                <w:rFonts w:hint="eastAsia"/>
                <w:color w:val="auto"/>
                <w:sz w:val="21"/>
                <w:highlight w:val="none"/>
                <w:u w:val="single"/>
              </w:rPr>
              <w:t>无</w:t>
            </w:r>
          </w:p>
        </w:tc>
      </w:tr>
      <w:tr w14:paraId="4856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2F4A0930">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11</w:t>
            </w:r>
          </w:p>
        </w:tc>
        <w:tc>
          <w:tcPr>
            <w:tcW w:w="1283" w:type="pct"/>
            <w:shd w:val="clear" w:color="auto" w:fill="auto"/>
            <w:vAlign w:val="center"/>
          </w:tcPr>
          <w:p w14:paraId="1BC16BD9">
            <w:pPr>
              <w:widowControl w:val="0"/>
              <w:adjustRightInd w:val="0"/>
              <w:snapToGrid w:val="0"/>
              <w:jc w:val="center"/>
              <w:rPr>
                <w:rFonts w:cs="Courier New"/>
                <w:color w:val="auto"/>
                <w:sz w:val="21"/>
                <w:szCs w:val="21"/>
                <w:highlight w:val="none"/>
              </w:rPr>
            </w:pPr>
            <w:r>
              <w:rPr>
                <w:rFonts w:hint="eastAsia" w:cs="Courier New"/>
                <w:color w:val="auto"/>
                <w:sz w:val="21"/>
                <w:szCs w:val="21"/>
                <w:highlight w:val="none"/>
              </w:rPr>
              <w:t>投标报价要求</w:t>
            </w:r>
          </w:p>
        </w:tc>
        <w:tc>
          <w:tcPr>
            <w:tcW w:w="3223" w:type="pct"/>
            <w:shd w:val="clear" w:color="auto" w:fill="auto"/>
            <w:vAlign w:val="center"/>
          </w:tcPr>
          <w:p w14:paraId="446449FA">
            <w:pPr>
              <w:widowControl w:val="0"/>
              <w:adjustRightInd w:val="0"/>
              <w:snapToGrid w:val="0"/>
              <w:spacing w:line="360" w:lineRule="auto"/>
              <w:jc w:val="both"/>
              <w:rPr>
                <w:color w:val="auto"/>
                <w:sz w:val="21"/>
                <w:szCs w:val="21"/>
                <w:highlight w:val="none"/>
              </w:rPr>
            </w:pPr>
          </w:p>
          <w:p w14:paraId="1D101E75">
            <w:pPr>
              <w:widowControl w:val="0"/>
              <w:adjustRightInd w:val="0"/>
              <w:snapToGrid w:val="0"/>
              <w:spacing w:line="360" w:lineRule="auto"/>
              <w:jc w:val="both"/>
              <w:rPr>
                <w:color w:val="auto"/>
                <w:sz w:val="21"/>
                <w:szCs w:val="21"/>
                <w:highlight w:val="none"/>
              </w:rPr>
            </w:pPr>
            <w:r>
              <w:rPr>
                <w:rFonts w:hint="eastAsia"/>
                <w:color w:val="auto"/>
                <w:sz w:val="21"/>
                <w:szCs w:val="21"/>
                <w:highlight w:val="none"/>
              </w:rPr>
              <w:t>投标报价上限为：■</w:t>
            </w:r>
            <w:r>
              <w:rPr>
                <w:rFonts w:hint="eastAsia"/>
                <w:color w:val="auto"/>
                <w:sz w:val="21"/>
                <w:szCs w:val="21"/>
                <w:highlight w:val="none"/>
                <w:u w:val="single"/>
                <w:lang w:bidi="ar"/>
              </w:rPr>
              <w:t>39.48</w:t>
            </w:r>
            <w:r>
              <w:rPr>
                <w:rFonts w:hint="eastAsia"/>
                <w:color w:val="auto"/>
                <w:sz w:val="21"/>
                <w:szCs w:val="21"/>
                <w:highlight w:val="none"/>
              </w:rPr>
              <w:t xml:space="preserve">万元  </w:t>
            </w:r>
            <w:r>
              <w:rPr>
                <w:rFonts w:hint="eastAsia"/>
                <w:color w:val="auto"/>
                <w:sz w:val="21"/>
                <w:szCs w:val="21"/>
                <w:highlight w:val="none"/>
                <w:lang w:bidi="ar"/>
              </w:rPr>
              <w:t>□</w:t>
            </w:r>
            <w:r>
              <w:rPr>
                <w:rFonts w:hint="eastAsia"/>
                <w:color w:val="auto"/>
                <w:sz w:val="21"/>
                <w:szCs w:val="21"/>
                <w:highlight w:val="none"/>
              </w:rPr>
              <w:t>公示招标控制价净下浮</w:t>
            </w:r>
            <w:r>
              <w:rPr>
                <w:rFonts w:hint="eastAsia"/>
                <w:color w:val="auto"/>
                <w:sz w:val="21"/>
                <w:szCs w:val="21"/>
                <w:highlight w:val="none"/>
                <w:u w:val="single"/>
                <w:lang w:bidi="ar"/>
              </w:rPr>
              <w:t xml:space="preserve">      </w:t>
            </w:r>
            <w:r>
              <w:rPr>
                <w:rFonts w:hint="eastAsia"/>
                <w:color w:val="auto"/>
                <w:sz w:val="21"/>
                <w:szCs w:val="21"/>
                <w:highlight w:val="none"/>
              </w:rPr>
              <w:t xml:space="preserve">% </w:t>
            </w:r>
          </w:p>
          <w:p w14:paraId="5020AF80">
            <w:pPr>
              <w:widowControl w:val="0"/>
              <w:adjustRightInd w:val="0"/>
              <w:snapToGrid w:val="0"/>
              <w:spacing w:line="360" w:lineRule="auto"/>
              <w:jc w:val="both"/>
              <w:rPr>
                <w:snapToGrid w:val="0"/>
                <w:color w:val="auto"/>
                <w:sz w:val="21"/>
                <w:szCs w:val="21"/>
                <w:highlight w:val="none"/>
              </w:rPr>
            </w:pPr>
          </w:p>
        </w:tc>
      </w:tr>
      <w:tr w14:paraId="5AB7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vMerge w:val="restart"/>
            <w:shd w:val="clear" w:color="auto" w:fill="auto"/>
            <w:vAlign w:val="center"/>
          </w:tcPr>
          <w:p w14:paraId="43F91264">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12</w:t>
            </w:r>
          </w:p>
        </w:tc>
        <w:tc>
          <w:tcPr>
            <w:tcW w:w="1283" w:type="pct"/>
            <w:vMerge w:val="restart"/>
            <w:shd w:val="clear" w:color="auto" w:fill="auto"/>
            <w:vAlign w:val="center"/>
          </w:tcPr>
          <w:p w14:paraId="3C8DF25D">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投标文件</w:t>
            </w:r>
          </w:p>
        </w:tc>
        <w:tc>
          <w:tcPr>
            <w:tcW w:w="3223" w:type="pct"/>
            <w:shd w:val="clear" w:color="auto" w:fill="auto"/>
            <w:vAlign w:val="center"/>
          </w:tcPr>
          <w:p w14:paraId="10326225">
            <w:pPr>
              <w:widowControl w:val="0"/>
              <w:adjustRightInd w:val="0"/>
              <w:snapToGrid w:val="0"/>
              <w:spacing w:line="360" w:lineRule="auto"/>
              <w:jc w:val="left"/>
              <w:rPr>
                <w:rFonts w:cs="Courier New"/>
                <w:color w:val="auto"/>
                <w:sz w:val="21"/>
                <w:szCs w:val="21"/>
                <w:highlight w:val="none"/>
              </w:rPr>
            </w:pPr>
            <w:r>
              <w:rPr>
                <w:rFonts w:hint="eastAsia" w:cs="Courier New"/>
                <w:color w:val="auto"/>
                <w:sz w:val="21"/>
                <w:szCs w:val="21"/>
                <w:highlight w:val="none"/>
              </w:rPr>
              <w:t>投标文件组成：</w:t>
            </w:r>
          </w:p>
          <w:p w14:paraId="7462C7D7">
            <w:pPr>
              <w:widowControl w:val="0"/>
              <w:tabs>
                <w:tab w:val="left" w:pos="360"/>
              </w:tabs>
              <w:spacing w:line="360" w:lineRule="auto"/>
              <w:jc w:val="both"/>
              <w:rPr>
                <w:b/>
                <w:color w:val="auto"/>
                <w:sz w:val="21"/>
                <w:szCs w:val="21"/>
                <w:highlight w:val="none"/>
              </w:rPr>
            </w:pPr>
            <w:r>
              <w:rPr>
                <w:rFonts w:hint="eastAsia"/>
                <w:color w:val="auto"/>
                <w:sz w:val="21"/>
                <w:szCs w:val="21"/>
                <w:highlight w:val="none"/>
              </w:rPr>
              <w:t>■</w:t>
            </w:r>
            <w:r>
              <w:rPr>
                <w:rFonts w:hint="eastAsia"/>
                <w:b/>
                <w:snapToGrid w:val="0"/>
                <w:color w:val="auto"/>
                <w:sz w:val="21"/>
                <w:szCs w:val="21"/>
                <w:highlight w:val="none"/>
              </w:rPr>
              <w:t>资格审查文件</w:t>
            </w:r>
            <w:r>
              <w:rPr>
                <w:rFonts w:hint="eastAsia"/>
                <w:b/>
                <w:color w:val="auto"/>
                <w:sz w:val="21"/>
                <w:szCs w:val="21"/>
                <w:highlight w:val="none"/>
              </w:rPr>
              <w:t>3份</w:t>
            </w:r>
          </w:p>
          <w:p w14:paraId="05A4D440">
            <w:pPr>
              <w:widowControl w:val="0"/>
              <w:spacing w:line="360" w:lineRule="auto"/>
              <w:jc w:val="left"/>
              <w:rPr>
                <w:color w:val="auto"/>
                <w:sz w:val="21"/>
                <w:highlight w:val="none"/>
                <w:u w:val="single"/>
              </w:rPr>
            </w:pPr>
            <w:r>
              <w:rPr>
                <w:rFonts w:hint="eastAsia"/>
                <w:color w:val="auto"/>
                <w:sz w:val="21"/>
                <w:highlight w:val="none"/>
                <w:u w:val="single"/>
              </w:rPr>
              <w:t>1、营业执照，或事业单位法人证书，或者工商行政主管部门颁发的工商登记证明的原件扫描件（原件扫描件）；</w:t>
            </w:r>
          </w:p>
          <w:p w14:paraId="2971C6BB">
            <w:pPr>
              <w:widowControl w:val="0"/>
              <w:tabs>
                <w:tab w:val="left" w:pos="360"/>
              </w:tabs>
              <w:spacing w:line="360" w:lineRule="auto"/>
              <w:jc w:val="both"/>
              <w:rPr>
                <w:color w:val="auto"/>
                <w:sz w:val="21"/>
                <w:highlight w:val="none"/>
                <w:u w:val="single"/>
              </w:rPr>
            </w:pPr>
            <w:r>
              <w:rPr>
                <w:rFonts w:hint="eastAsia"/>
                <w:color w:val="auto"/>
                <w:sz w:val="21"/>
                <w:highlight w:val="none"/>
                <w:u w:val="single"/>
              </w:rPr>
              <w:t>招标文件要求提交的其它资料：</w:t>
            </w:r>
            <w:r>
              <w:rPr>
                <w:color w:val="auto"/>
                <w:sz w:val="21"/>
                <w:highlight w:val="none"/>
                <w:u w:val="single"/>
              </w:rPr>
              <w:t xml:space="preserve"> </w:t>
            </w:r>
          </w:p>
          <w:p w14:paraId="4720103A">
            <w:pPr>
              <w:widowControl w:val="0"/>
              <w:tabs>
                <w:tab w:val="left" w:pos="360"/>
              </w:tabs>
              <w:spacing w:line="360" w:lineRule="auto"/>
              <w:jc w:val="both"/>
              <w:rPr>
                <w:color w:val="auto"/>
                <w:sz w:val="21"/>
                <w:highlight w:val="none"/>
                <w:u w:val="single"/>
              </w:rPr>
            </w:pPr>
            <w:r>
              <w:rPr>
                <w:rFonts w:hint="eastAsia"/>
                <w:color w:val="auto"/>
                <w:sz w:val="21"/>
                <w:highlight w:val="none"/>
                <w:u w:val="single"/>
              </w:rPr>
              <w:t>2、</w:t>
            </w:r>
            <w:r>
              <w:rPr>
                <w:color w:val="auto"/>
                <w:sz w:val="21"/>
                <w:highlight w:val="none"/>
                <w:u w:val="single"/>
              </w:rPr>
              <w:t>投标人认为需提供的其它材料（原件扫描件）</w:t>
            </w:r>
            <w:r>
              <w:rPr>
                <w:rFonts w:hint="eastAsia"/>
                <w:color w:val="auto"/>
                <w:sz w:val="21"/>
                <w:highlight w:val="none"/>
                <w:u w:val="single"/>
              </w:rPr>
              <w:t>。</w:t>
            </w:r>
          </w:p>
          <w:p w14:paraId="0F444FD5">
            <w:pPr>
              <w:widowControl w:val="0"/>
              <w:tabs>
                <w:tab w:val="left" w:pos="360"/>
              </w:tabs>
              <w:spacing w:line="360" w:lineRule="auto"/>
              <w:jc w:val="both"/>
              <w:rPr>
                <w:b/>
                <w:snapToGrid w:val="0"/>
                <w:color w:val="auto"/>
                <w:sz w:val="21"/>
                <w:szCs w:val="21"/>
                <w:highlight w:val="none"/>
              </w:rPr>
            </w:pPr>
            <w:r>
              <w:rPr>
                <w:rFonts w:hint="eastAsia"/>
                <w:color w:val="auto"/>
                <w:sz w:val="21"/>
                <w:szCs w:val="21"/>
                <w:highlight w:val="none"/>
              </w:rPr>
              <w:t>■</w:t>
            </w:r>
            <w:r>
              <w:rPr>
                <w:rFonts w:hint="eastAsia"/>
                <w:b/>
                <w:snapToGrid w:val="0"/>
                <w:color w:val="auto"/>
                <w:sz w:val="21"/>
                <w:szCs w:val="21"/>
                <w:highlight w:val="none"/>
              </w:rPr>
              <w:t>资信标3份</w:t>
            </w:r>
          </w:p>
          <w:p w14:paraId="612FFB85">
            <w:pPr>
              <w:widowControl w:val="0"/>
              <w:spacing w:line="360" w:lineRule="auto"/>
              <w:jc w:val="left"/>
              <w:rPr>
                <w:snapToGrid w:val="0"/>
                <w:color w:val="auto"/>
                <w:sz w:val="21"/>
                <w:szCs w:val="21"/>
                <w:highlight w:val="none"/>
              </w:rPr>
            </w:pPr>
            <w:r>
              <w:rPr>
                <w:rFonts w:hint="eastAsia"/>
                <w:snapToGrid w:val="0"/>
                <w:color w:val="auto"/>
                <w:sz w:val="21"/>
                <w:szCs w:val="21"/>
                <w:highlight w:val="none"/>
              </w:rPr>
              <w:t>1、投标函；</w:t>
            </w:r>
          </w:p>
          <w:p w14:paraId="5A9670D5">
            <w:pPr>
              <w:widowControl w:val="0"/>
              <w:spacing w:line="360" w:lineRule="auto"/>
              <w:jc w:val="left"/>
              <w:rPr>
                <w:snapToGrid w:val="0"/>
                <w:color w:val="auto"/>
                <w:sz w:val="21"/>
                <w:szCs w:val="21"/>
                <w:highlight w:val="none"/>
              </w:rPr>
            </w:pPr>
            <w:r>
              <w:rPr>
                <w:rFonts w:hint="eastAsia"/>
                <w:snapToGrid w:val="0"/>
                <w:color w:val="auto"/>
                <w:sz w:val="21"/>
                <w:szCs w:val="21"/>
                <w:highlight w:val="none"/>
              </w:rPr>
              <w:t>2、</w:t>
            </w:r>
            <w:r>
              <w:rPr>
                <w:rFonts w:hint="eastAsia"/>
                <w:color w:val="auto"/>
                <w:sz w:val="21"/>
                <w:highlight w:val="none"/>
                <w:u w:val="single"/>
              </w:rPr>
              <w:t>营业执照，或事业单位法人证书，或者工商行政主管部门颁发的工商登记证明的原件扫描件（原件扫描件）</w:t>
            </w:r>
            <w:r>
              <w:rPr>
                <w:rFonts w:hint="eastAsia"/>
                <w:snapToGrid w:val="0"/>
                <w:color w:val="auto"/>
                <w:sz w:val="21"/>
                <w:szCs w:val="21"/>
                <w:highlight w:val="none"/>
              </w:rPr>
              <w:t>；</w:t>
            </w:r>
          </w:p>
          <w:p w14:paraId="6433E5CE">
            <w:pPr>
              <w:widowControl w:val="0"/>
              <w:spacing w:line="360" w:lineRule="auto"/>
              <w:jc w:val="both"/>
              <w:rPr>
                <w:snapToGrid w:val="0"/>
                <w:color w:val="auto"/>
                <w:sz w:val="21"/>
                <w:szCs w:val="21"/>
                <w:highlight w:val="none"/>
              </w:rPr>
            </w:pPr>
            <w:r>
              <w:rPr>
                <w:rFonts w:hint="eastAsia"/>
                <w:snapToGrid w:val="0"/>
                <w:color w:val="auto"/>
                <w:sz w:val="21"/>
                <w:szCs w:val="21"/>
                <w:highlight w:val="none"/>
              </w:rPr>
              <w:t>3、招标文件要求提交的其它资料：</w:t>
            </w:r>
            <w:r>
              <w:rPr>
                <w:rFonts w:hint="eastAsia"/>
                <w:color w:val="auto"/>
                <w:sz w:val="21"/>
                <w:highlight w:val="none"/>
                <w:u w:val="single"/>
              </w:rPr>
              <w:t>详见《资信标要求一览表》。</w:t>
            </w:r>
          </w:p>
          <w:p w14:paraId="4E10FE87">
            <w:pPr>
              <w:widowControl w:val="0"/>
              <w:tabs>
                <w:tab w:val="left" w:pos="360"/>
              </w:tabs>
              <w:spacing w:line="360" w:lineRule="auto"/>
              <w:jc w:val="both"/>
              <w:rPr>
                <w:color w:val="auto"/>
                <w:sz w:val="21"/>
                <w:szCs w:val="21"/>
                <w:highlight w:val="none"/>
              </w:rPr>
            </w:pPr>
            <w:r>
              <w:rPr>
                <w:rFonts w:hint="eastAsia"/>
                <w:color w:val="auto"/>
                <w:sz w:val="21"/>
                <w:szCs w:val="21"/>
                <w:highlight w:val="none"/>
              </w:rPr>
              <w:t>■</w:t>
            </w:r>
            <w:r>
              <w:rPr>
                <w:rFonts w:hint="eastAsia"/>
                <w:b/>
                <w:color w:val="auto"/>
                <w:sz w:val="21"/>
                <w:szCs w:val="21"/>
                <w:highlight w:val="none"/>
              </w:rPr>
              <w:t>商务标书3份</w:t>
            </w:r>
          </w:p>
          <w:p w14:paraId="13D8F213">
            <w:pPr>
              <w:widowControl w:val="0"/>
              <w:spacing w:line="360" w:lineRule="auto"/>
              <w:jc w:val="left"/>
              <w:rPr>
                <w:color w:val="auto"/>
                <w:sz w:val="21"/>
                <w:highlight w:val="none"/>
                <w:u w:val="single"/>
              </w:rPr>
            </w:pPr>
            <w:r>
              <w:rPr>
                <w:rFonts w:hint="eastAsia"/>
                <w:color w:val="auto"/>
                <w:sz w:val="21"/>
                <w:highlight w:val="none"/>
                <w:u w:val="single"/>
              </w:rPr>
              <w:t>1、</w:t>
            </w:r>
            <w:r>
              <w:rPr>
                <w:color w:val="auto"/>
                <w:sz w:val="21"/>
                <w:highlight w:val="none"/>
                <w:u w:val="single"/>
              </w:rPr>
              <w:t>投标报价一览表</w:t>
            </w:r>
            <w:r>
              <w:rPr>
                <w:rFonts w:hint="eastAsia"/>
                <w:color w:val="auto"/>
                <w:sz w:val="21"/>
                <w:highlight w:val="none"/>
                <w:u w:val="single"/>
              </w:rPr>
              <w:t>；</w:t>
            </w:r>
          </w:p>
          <w:p w14:paraId="1D0D744A">
            <w:pPr>
              <w:widowControl w:val="0"/>
              <w:adjustRightInd w:val="0"/>
              <w:snapToGrid w:val="0"/>
              <w:spacing w:line="360" w:lineRule="auto"/>
              <w:jc w:val="left"/>
              <w:rPr>
                <w:b/>
                <w:snapToGrid w:val="0"/>
                <w:color w:val="auto"/>
                <w:sz w:val="21"/>
                <w:szCs w:val="21"/>
                <w:highlight w:val="none"/>
              </w:rPr>
            </w:pPr>
            <w:r>
              <w:rPr>
                <w:rFonts w:hint="eastAsia"/>
                <w:color w:val="auto"/>
                <w:sz w:val="21"/>
                <w:szCs w:val="21"/>
                <w:highlight w:val="none"/>
              </w:rPr>
              <w:t>■</w:t>
            </w:r>
            <w:r>
              <w:rPr>
                <w:rFonts w:hint="eastAsia"/>
                <w:b/>
                <w:snapToGrid w:val="0"/>
                <w:color w:val="auto"/>
                <w:sz w:val="21"/>
                <w:szCs w:val="21"/>
                <w:highlight w:val="none"/>
              </w:rPr>
              <w:t>电子标书1</w:t>
            </w:r>
            <w:r>
              <w:rPr>
                <w:b/>
                <w:snapToGrid w:val="0"/>
                <w:color w:val="auto"/>
                <w:sz w:val="21"/>
                <w:szCs w:val="21"/>
                <w:highlight w:val="none"/>
              </w:rPr>
              <w:t>份</w:t>
            </w:r>
            <w:r>
              <w:rPr>
                <w:rFonts w:hint="eastAsia"/>
                <w:b/>
                <w:snapToGrid w:val="0"/>
                <w:color w:val="auto"/>
                <w:sz w:val="21"/>
                <w:szCs w:val="21"/>
                <w:highlight w:val="none"/>
              </w:rPr>
              <w:t>（采用u盘形式封装）</w:t>
            </w:r>
          </w:p>
          <w:p w14:paraId="52A349FD">
            <w:pPr>
              <w:widowControl w:val="0"/>
              <w:adjustRightInd w:val="0"/>
              <w:snapToGrid w:val="0"/>
              <w:spacing w:line="360" w:lineRule="auto"/>
              <w:jc w:val="left"/>
              <w:rPr>
                <w:color w:val="auto"/>
                <w:sz w:val="21"/>
                <w:highlight w:val="none"/>
                <w:u w:val="single"/>
              </w:rPr>
            </w:pPr>
            <w:r>
              <w:rPr>
                <w:rFonts w:hint="eastAsia"/>
                <w:color w:val="auto"/>
                <w:sz w:val="21"/>
                <w:highlight w:val="none"/>
                <w:u w:val="single"/>
              </w:rPr>
              <w:t>1、包含以上文件的盖章扫描件及可编辑版本的文件；</w:t>
            </w:r>
          </w:p>
          <w:p w14:paraId="6F5C99F2">
            <w:pPr>
              <w:pStyle w:val="2"/>
              <w:widowControl w:val="0"/>
              <w:ind w:firstLine="0" w:firstLineChars="0"/>
              <w:jc w:val="both"/>
              <w:rPr>
                <w:color w:val="auto"/>
                <w:highlight w:val="none"/>
              </w:rPr>
            </w:pPr>
            <w:r>
              <w:rPr>
                <w:rFonts w:hint="eastAsia"/>
                <w:color w:val="auto"/>
                <w:sz w:val="21"/>
                <w:szCs w:val="24"/>
                <w:highlight w:val="none"/>
                <w:u w:val="single"/>
              </w:rPr>
              <w:t>2、提供投标人自认为最具代表性的同类项目视频成果文件一份。</w:t>
            </w:r>
          </w:p>
          <w:p w14:paraId="05BE69FA">
            <w:pPr>
              <w:pStyle w:val="2"/>
              <w:widowControl w:val="0"/>
              <w:ind w:firstLine="0" w:firstLineChars="0"/>
              <w:jc w:val="both"/>
              <w:rPr>
                <w:color w:val="auto"/>
                <w:sz w:val="21"/>
                <w:szCs w:val="24"/>
                <w:highlight w:val="none"/>
                <w:u w:val="single"/>
              </w:rPr>
            </w:pPr>
            <w:r>
              <w:rPr>
                <w:rFonts w:hint="eastAsia"/>
                <w:color w:val="auto"/>
                <w:sz w:val="21"/>
                <w:szCs w:val="24"/>
                <w:highlight w:val="none"/>
                <w:u w:val="single"/>
              </w:rPr>
              <w:t>3、提供投标人自认为最具代表性的同类项目三维工业动画成果文件一份。</w:t>
            </w:r>
          </w:p>
          <w:p w14:paraId="33C0913A">
            <w:pPr>
              <w:widowControl w:val="0"/>
              <w:adjustRightInd w:val="0"/>
              <w:snapToGrid w:val="0"/>
              <w:spacing w:line="360" w:lineRule="auto"/>
              <w:jc w:val="left"/>
              <w:rPr>
                <w:color w:val="auto"/>
                <w:sz w:val="21"/>
                <w:highlight w:val="none"/>
                <w:u w:val="single"/>
              </w:rPr>
            </w:pPr>
            <w:r>
              <w:rPr>
                <w:rFonts w:hint="eastAsia"/>
                <w:color w:val="auto"/>
                <w:sz w:val="21"/>
                <w:highlight w:val="none"/>
                <w:u w:val="single"/>
              </w:rPr>
              <w:t>注：以上所有投标文件，均分开装订成册。</w:t>
            </w:r>
          </w:p>
        </w:tc>
      </w:tr>
      <w:tr w14:paraId="60B5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vMerge w:val="continue"/>
            <w:shd w:val="clear" w:color="auto" w:fill="auto"/>
            <w:vAlign w:val="center"/>
          </w:tcPr>
          <w:p w14:paraId="6DBD94F7">
            <w:pPr>
              <w:widowControl w:val="0"/>
              <w:adjustRightInd w:val="0"/>
              <w:snapToGrid w:val="0"/>
              <w:spacing w:line="360" w:lineRule="auto"/>
              <w:jc w:val="center"/>
              <w:rPr>
                <w:rFonts w:cs="Courier New"/>
                <w:color w:val="auto"/>
                <w:sz w:val="21"/>
                <w:szCs w:val="21"/>
                <w:highlight w:val="none"/>
              </w:rPr>
            </w:pPr>
          </w:p>
        </w:tc>
        <w:tc>
          <w:tcPr>
            <w:tcW w:w="1283" w:type="pct"/>
            <w:vMerge w:val="continue"/>
            <w:shd w:val="clear" w:color="auto" w:fill="auto"/>
            <w:vAlign w:val="center"/>
          </w:tcPr>
          <w:p w14:paraId="0635ECC6">
            <w:pPr>
              <w:widowControl w:val="0"/>
              <w:adjustRightInd w:val="0"/>
              <w:snapToGrid w:val="0"/>
              <w:spacing w:line="360" w:lineRule="auto"/>
              <w:jc w:val="center"/>
              <w:rPr>
                <w:rFonts w:cs="Courier New"/>
                <w:color w:val="auto"/>
                <w:sz w:val="21"/>
                <w:szCs w:val="21"/>
                <w:highlight w:val="none"/>
              </w:rPr>
            </w:pPr>
          </w:p>
        </w:tc>
        <w:tc>
          <w:tcPr>
            <w:tcW w:w="3223" w:type="pct"/>
            <w:shd w:val="clear" w:color="auto" w:fill="auto"/>
            <w:vAlign w:val="center"/>
          </w:tcPr>
          <w:p w14:paraId="4F5EB788">
            <w:pPr>
              <w:widowControl w:val="0"/>
              <w:adjustRightInd w:val="0"/>
              <w:snapToGrid w:val="0"/>
              <w:spacing w:line="360" w:lineRule="auto"/>
              <w:jc w:val="left"/>
              <w:rPr>
                <w:color w:val="auto"/>
                <w:sz w:val="21"/>
                <w:highlight w:val="none"/>
                <w:u w:val="single"/>
              </w:rPr>
            </w:pPr>
            <w:r>
              <w:rPr>
                <w:rFonts w:hint="eastAsia"/>
                <w:color w:val="auto"/>
                <w:sz w:val="21"/>
                <w:highlight w:val="none"/>
                <w:u w:val="single"/>
              </w:rPr>
              <w:t>投标文件密封和标记：</w:t>
            </w:r>
          </w:p>
          <w:p w14:paraId="0805E255">
            <w:pPr>
              <w:widowControl w:val="0"/>
              <w:adjustRightInd w:val="0"/>
              <w:snapToGrid w:val="0"/>
              <w:spacing w:line="360" w:lineRule="auto"/>
              <w:jc w:val="left"/>
              <w:rPr>
                <w:color w:val="auto"/>
                <w:sz w:val="21"/>
                <w:highlight w:val="none"/>
                <w:u w:val="single"/>
              </w:rPr>
            </w:pPr>
            <w:r>
              <w:rPr>
                <w:color w:val="auto"/>
                <w:sz w:val="21"/>
                <w:highlight w:val="none"/>
                <w:u w:val="single"/>
              </w:rPr>
              <w:t>资格审查文件</w:t>
            </w:r>
            <w:r>
              <w:rPr>
                <w:rFonts w:hint="eastAsia"/>
                <w:color w:val="auto"/>
                <w:sz w:val="21"/>
                <w:highlight w:val="none"/>
                <w:u w:val="single"/>
              </w:rPr>
              <w:t>3</w:t>
            </w:r>
            <w:r>
              <w:rPr>
                <w:color w:val="auto"/>
                <w:sz w:val="21"/>
                <w:highlight w:val="none"/>
                <w:u w:val="single"/>
              </w:rPr>
              <w:t>份（正本一份，副本</w:t>
            </w:r>
            <w:r>
              <w:rPr>
                <w:rFonts w:hint="eastAsia"/>
                <w:color w:val="auto"/>
                <w:sz w:val="21"/>
                <w:highlight w:val="none"/>
                <w:u w:val="single"/>
              </w:rPr>
              <w:t>二</w:t>
            </w:r>
            <w:r>
              <w:rPr>
                <w:color w:val="auto"/>
                <w:sz w:val="21"/>
                <w:highlight w:val="none"/>
                <w:u w:val="single"/>
              </w:rPr>
              <w:t>份）、资信标</w:t>
            </w:r>
            <w:r>
              <w:rPr>
                <w:rFonts w:hint="eastAsia"/>
                <w:color w:val="auto"/>
                <w:sz w:val="21"/>
                <w:highlight w:val="none"/>
                <w:u w:val="single"/>
              </w:rPr>
              <w:t>3</w:t>
            </w:r>
            <w:r>
              <w:rPr>
                <w:color w:val="auto"/>
                <w:sz w:val="21"/>
                <w:highlight w:val="none"/>
                <w:u w:val="single"/>
              </w:rPr>
              <w:t>份（正本一份，副本</w:t>
            </w:r>
            <w:r>
              <w:rPr>
                <w:rFonts w:hint="eastAsia"/>
                <w:color w:val="auto"/>
                <w:sz w:val="21"/>
                <w:highlight w:val="none"/>
                <w:u w:val="single"/>
              </w:rPr>
              <w:t>二</w:t>
            </w:r>
            <w:r>
              <w:rPr>
                <w:color w:val="auto"/>
                <w:sz w:val="21"/>
                <w:highlight w:val="none"/>
                <w:u w:val="single"/>
              </w:rPr>
              <w:t>份）、商务标</w:t>
            </w:r>
            <w:r>
              <w:rPr>
                <w:rFonts w:hint="eastAsia"/>
                <w:color w:val="auto"/>
                <w:sz w:val="21"/>
                <w:highlight w:val="none"/>
                <w:u w:val="single"/>
              </w:rPr>
              <w:t>3</w:t>
            </w:r>
            <w:r>
              <w:rPr>
                <w:color w:val="auto"/>
                <w:sz w:val="21"/>
                <w:highlight w:val="none"/>
                <w:u w:val="single"/>
              </w:rPr>
              <w:t>份（正本一份，副本</w:t>
            </w:r>
            <w:r>
              <w:rPr>
                <w:rFonts w:hint="eastAsia"/>
                <w:color w:val="auto"/>
                <w:sz w:val="21"/>
                <w:highlight w:val="none"/>
                <w:u w:val="single"/>
              </w:rPr>
              <w:t>二</w:t>
            </w:r>
            <w:r>
              <w:rPr>
                <w:color w:val="auto"/>
                <w:sz w:val="21"/>
                <w:highlight w:val="none"/>
                <w:u w:val="single"/>
              </w:rPr>
              <w:t>份）和电子标书（一份）</w:t>
            </w:r>
            <w:r>
              <w:rPr>
                <w:rFonts w:hint="eastAsia"/>
                <w:color w:val="auto"/>
                <w:sz w:val="21"/>
                <w:highlight w:val="none"/>
                <w:u w:val="single"/>
              </w:rPr>
              <w:t>均应分开装订，并应注明</w:t>
            </w:r>
            <w:r>
              <w:rPr>
                <w:color w:val="auto"/>
                <w:sz w:val="21"/>
                <w:highlight w:val="none"/>
                <w:u w:val="single"/>
              </w:rPr>
              <w:t>目名称、项目编号、投标人名称</w:t>
            </w:r>
            <w:r>
              <w:rPr>
                <w:rFonts w:hint="eastAsia"/>
                <w:color w:val="auto"/>
                <w:sz w:val="21"/>
                <w:highlight w:val="none"/>
                <w:u w:val="single"/>
              </w:rPr>
              <w:t>、所属那部分投标文件。</w:t>
            </w:r>
          </w:p>
          <w:p w14:paraId="19B382B3">
            <w:pPr>
              <w:widowControl w:val="0"/>
              <w:adjustRightInd w:val="0"/>
              <w:snapToGrid w:val="0"/>
              <w:spacing w:line="360" w:lineRule="auto"/>
              <w:jc w:val="left"/>
              <w:rPr>
                <w:color w:val="auto"/>
                <w:sz w:val="21"/>
                <w:highlight w:val="none"/>
                <w:u w:val="single"/>
              </w:rPr>
            </w:pPr>
            <w:r>
              <w:rPr>
                <w:rFonts w:hint="eastAsia"/>
                <w:color w:val="auto"/>
                <w:sz w:val="21"/>
                <w:highlight w:val="none"/>
                <w:u w:val="single"/>
              </w:rPr>
              <w:t>所有投标文件需</w:t>
            </w:r>
            <w:r>
              <w:rPr>
                <w:color w:val="auto"/>
                <w:sz w:val="21"/>
                <w:highlight w:val="none"/>
                <w:u w:val="single"/>
              </w:rPr>
              <w:t>统一封入一个密封袋中，并在密封袋注明项目名称、投标人名称、前附表规定的开标时间以及“在此之前不得开封”字样，封口处应贴封条并骑缝加盖投标人公章。</w:t>
            </w:r>
          </w:p>
        </w:tc>
      </w:tr>
      <w:tr w14:paraId="4092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6299E851">
            <w:pPr>
              <w:widowControl w:val="0"/>
              <w:adjustRightInd w:val="0"/>
              <w:snapToGrid w:val="0"/>
              <w:spacing w:line="360" w:lineRule="auto"/>
              <w:jc w:val="center"/>
              <w:rPr>
                <w:rFonts w:cs="Courier New"/>
                <w:color w:val="auto"/>
                <w:szCs w:val="21"/>
                <w:highlight w:val="none"/>
              </w:rPr>
            </w:pPr>
            <w:r>
              <w:rPr>
                <w:rFonts w:hint="eastAsia" w:cs="Courier New"/>
                <w:color w:val="auto"/>
                <w:szCs w:val="21"/>
                <w:highlight w:val="none"/>
              </w:rPr>
              <w:t>13</w:t>
            </w:r>
          </w:p>
        </w:tc>
        <w:tc>
          <w:tcPr>
            <w:tcW w:w="1283" w:type="pct"/>
            <w:shd w:val="clear" w:color="auto" w:fill="auto"/>
            <w:vAlign w:val="center"/>
          </w:tcPr>
          <w:p w14:paraId="52E0C11A">
            <w:pPr>
              <w:widowControl w:val="0"/>
              <w:adjustRightInd w:val="0"/>
              <w:snapToGrid w:val="0"/>
              <w:spacing w:line="360" w:lineRule="auto"/>
              <w:jc w:val="center"/>
              <w:rPr>
                <w:rFonts w:cs="Courier New"/>
                <w:color w:val="auto"/>
                <w:szCs w:val="21"/>
                <w:highlight w:val="none"/>
              </w:rPr>
            </w:pPr>
            <w:r>
              <w:rPr>
                <w:rFonts w:hint="eastAsia" w:cs="Courier New"/>
                <w:color w:val="auto"/>
                <w:sz w:val="21"/>
                <w:szCs w:val="21"/>
                <w:highlight w:val="none"/>
              </w:rPr>
              <w:t>踏勘现场</w:t>
            </w:r>
          </w:p>
        </w:tc>
        <w:tc>
          <w:tcPr>
            <w:tcW w:w="3223" w:type="pct"/>
            <w:shd w:val="clear" w:color="auto" w:fill="auto"/>
            <w:vAlign w:val="center"/>
          </w:tcPr>
          <w:p w14:paraId="68FC0354">
            <w:pPr>
              <w:widowControl w:val="0"/>
              <w:adjustRightInd w:val="0"/>
              <w:snapToGrid w:val="0"/>
              <w:spacing w:line="360" w:lineRule="auto"/>
              <w:jc w:val="left"/>
              <w:rPr>
                <w:rFonts w:cs="Courier New"/>
                <w:color w:val="auto"/>
                <w:szCs w:val="21"/>
                <w:highlight w:val="none"/>
              </w:rPr>
            </w:pPr>
            <w:r>
              <w:rPr>
                <w:rFonts w:hint="eastAsia" w:cs="Courier New"/>
                <w:color w:val="auto"/>
                <w:sz w:val="21"/>
                <w:szCs w:val="21"/>
                <w:highlight w:val="none"/>
              </w:rPr>
              <w:t>详细地点：</w:t>
            </w:r>
            <w:r>
              <w:rPr>
                <w:rFonts w:hint="eastAsia"/>
                <w:color w:val="auto"/>
                <w:sz w:val="21"/>
                <w:highlight w:val="none"/>
                <w:u w:val="single"/>
              </w:rPr>
              <w:t>本</w:t>
            </w:r>
            <w:r>
              <w:rPr>
                <w:color w:val="auto"/>
                <w:sz w:val="21"/>
                <w:highlight w:val="none"/>
                <w:u w:val="single"/>
              </w:rPr>
              <w:t>项目不组织现场踏勘</w:t>
            </w:r>
            <w:r>
              <w:rPr>
                <w:rFonts w:cs="Courier New"/>
                <w:bCs/>
                <w:color w:val="auto"/>
                <w:szCs w:val="21"/>
                <w:highlight w:val="none"/>
                <w:u w:val="single"/>
              </w:rPr>
              <w:fldChar w:fldCharType="begin"/>
            </w:r>
            <w:r>
              <w:rPr>
                <w:rFonts w:cs="Courier New"/>
                <w:bCs/>
                <w:color w:val="auto"/>
                <w:sz w:val="21"/>
                <w:szCs w:val="21"/>
                <w:highlight w:val="none"/>
                <w:u w:val="single"/>
              </w:rPr>
              <w:instrText xml:space="preserve"> AUTOTEXT  input409 \* MERGEFORMAT </w:instrText>
            </w:r>
            <w:r>
              <w:rPr>
                <w:rFonts w:cs="Courier New"/>
                <w:bCs/>
                <w:color w:val="auto"/>
                <w:szCs w:val="21"/>
                <w:highlight w:val="none"/>
                <w:u w:val="single"/>
              </w:rPr>
              <w:fldChar w:fldCharType="end"/>
            </w:r>
          </w:p>
        </w:tc>
      </w:tr>
      <w:tr w14:paraId="1693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vMerge w:val="restart"/>
            <w:shd w:val="clear" w:color="auto" w:fill="auto"/>
            <w:vAlign w:val="center"/>
          </w:tcPr>
          <w:p w14:paraId="0B25F736">
            <w:pPr>
              <w:widowControl w:val="0"/>
              <w:spacing w:line="360" w:lineRule="auto"/>
              <w:jc w:val="center"/>
              <w:rPr>
                <w:snapToGrid w:val="0"/>
                <w:color w:val="auto"/>
                <w:highlight w:val="none"/>
              </w:rPr>
            </w:pPr>
            <w:r>
              <w:rPr>
                <w:rFonts w:hint="eastAsia"/>
                <w:snapToGrid w:val="0"/>
                <w:color w:val="auto"/>
                <w:highlight w:val="none"/>
              </w:rPr>
              <w:t>14</w:t>
            </w:r>
          </w:p>
        </w:tc>
        <w:tc>
          <w:tcPr>
            <w:tcW w:w="1283" w:type="pct"/>
            <w:vMerge w:val="restart"/>
            <w:shd w:val="clear" w:color="auto" w:fill="auto"/>
            <w:vAlign w:val="center"/>
          </w:tcPr>
          <w:p w14:paraId="4DCF72F0">
            <w:pPr>
              <w:widowControl w:val="0"/>
              <w:spacing w:line="360" w:lineRule="auto"/>
              <w:jc w:val="center"/>
              <w:rPr>
                <w:snapToGrid w:val="0"/>
                <w:color w:val="auto"/>
                <w:sz w:val="21"/>
                <w:szCs w:val="21"/>
                <w:highlight w:val="none"/>
              </w:rPr>
            </w:pPr>
            <w:r>
              <w:rPr>
                <w:rFonts w:hint="eastAsia"/>
                <w:snapToGrid w:val="0"/>
                <w:color w:val="auto"/>
                <w:sz w:val="21"/>
                <w:szCs w:val="21"/>
                <w:highlight w:val="none"/>
              </w:rPr>
              <w:t>投标担保</w:t>
            </w:r>
          </w:p>
        </w:tc>
        <w:tc>
          <w:tcPr>
            <w:tcW w:w="3223" w:type="pct"/>
            <w:shd w:val="clear" w:color="auto" w:fill="auto"/>
            <w:vAlign w:val="center"/>
          </w:tcPr>
          <w:p w14:paraId="25B1DC62">
            <w:pPr>
              <w:widowControl w:val="0"/>
              <w:spacing w:line="360" w:lineRule="auto"/>
              <w:jc w:val="left"/>
              <w:rPr>
                <w:color w:val="auto"/>
                <w:sz w:val="21"/>
                <w:szCs w:val="21"/>
                <w:highlight w:val="none"/>
              </w:rPr>
            </w:pPr>
            <w:r>
              <w:rPr>
                <w:rFonts w:hint="eastAsia"/>
                <w:color w:val="auto"/>
                <w:sz w:val="21"/>
                <w:szCs w:val="21"/>
                <w:highlight w:val="none"/>
              </w:rPr>
              <w:t>□投标保证金额:</w:t>
            </w:r>
            <w:r>
              <w:rPr>
                <w:rFonts w:hint="eastAsia"/>
                <w:snapToGrid w:val="0"/>
                <w:color w:val="auto"/>
                <w:sz w:val="21"/>
                <w:szCs w:val="21"/>
                <w:highlight w:val="none"/>
                <w:u w:val="single"/>
                <w:lang w:bidi="ar"/>
              </w:rPr>
              <w:t xml:space="preserve">      </w:t>
            </w:r>
            <w:r>
              <w:rPr>
                <w:rFonts w:hint="eastAsia"/>
                <w:color w:val="auto"/>
                <w:sz w:val="21"/>
                <w:szCs w:val="21"/>
                <w:highlight w:val="none"/>
              </w:rPr>
              <w:t>万元</w:t>
            </w:r>
          </w:p>
          <w:p w14:paraId="68160B8D">
            <w:pPr>
              <w:widowControl w:val="0"/>
              <w:adjustRightInd w:val="0"/>
              <w:snapToGrid w:val="0"/>
              <w:spacing w:line="360" w:lineRule="auto"/>
              <w:jc w:val="both"/>
              <w:rPr>
                <w:rFonts w:cs="Courier New"/>
                <w:color w:val="auto"/>
                <w:sz w:val="21"/>
                <w:szCs w:val="21"/>
                <w:highlight w:val="none"/>
              </w:rPr>
            </w:pPr>
            <w:r>
              <w:rPr>
                <w:rFonts w:hint="eastAsia"/>
                <w:color w:val="auto"/>
                <w:sz w:val="21"/>
                <w:szCs w:val="21"/>
                <w:highlight w:val="none"/>
              </w:rPr>
              <w:t>■无需提供投标担保</w:t>
            </w:r>
          </w:p>
        </w:tc>
      </w:tr>
      <w:tr w14:paraId="1C7E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vMerge w:val="continue"/>
            <w:shd w:val="clear" w:color="auto" w:fill="auto"/>
            <w:vAlign w:val="center"/>
          </w:tcPr>
          <w:p w14:paraId="7D60D387">
            <w:pPr>
              <w:widowControl w:val="0"/>
              <w:adjustRightInd w:val="0"/>
              <w:snapToGrid w:val="0"/>
              <w:spacing w:line="360" w:lineRule="auto"/>
              <w:jc w:val="center"/>
              <w:rPr>
                <w:rFonts w:cs="Courier New"/>
                <w:color w:val="auto"/>
                <w:szCs w:val="21"/>
                <w:highlight w:val="none"/>
              </w:rPr>
            </w:pPr>
          </w:p>
        </w:tc>
        <w:tc>
          <w:tcPr>
            <w:tcW w:w="1283" w:type="pct"/>
            <w:vMerge w:val="continue"/>
            <w:shd w:val="clear" w:color="auto" w:fill="auto"/>
            <w:vAlign w:val="center"/>
          </w:tcPr>
          <w:p w14:paraId="028AFFC5">
            <w:pPr>
              <w:widowControl w:val="0"/>
              <w:adjustRightInd w:val="0"/>
              <w:snapToGrid w:val="0"/>
              <w:spacing w:line="360" w:lineRule="auto"/>
              <w:jc w:val="center"/>
              <w:rPr>
                <w:rFonts w:cs="Courier New"/>
                <w:color w:val="auto"/>
                <w:sz w:val="21"/>
                <w:szCs w:val="21"/>
                <w:highlight w:val="none"/>
              </w:rPr>
            </w:pPr>
          </w:p>
        </w:tc>
        <w:tc>
          <w:tcPr>
            <w:tcW w:w="3223" w:type="pct"/>
            <w:shd w:val="clear" w:color="auto" w:fill="auto"/>
            <w:vAlign w:val="center"/>
          </w:tcPr>
          <w:p w14:paraId="671481E3">
            <w:pPr>
              <w:widowControl w:val="0"/>
              <w:adjustRightInd w:val="0"/>
              <w:snapToGrid w:val="0"/>
              <w:spacing w:line="360" w:lineRule="auto"/>
              <w:jc w:val="both"/>
              <w:rPr>
                <w:color w:val="auto"/>
                <w:sz w:val="21"/>
                <w:szCs w:val="21"/>
                <w:highlight w:val="none"/>
              </w:rPr>
            </w:pPr>
            <w:r>
              <w:rPr>
                <w:rFonts w:hint="eastAsia"/>
                <w:color w:val="auto"/>
                <w:sz w:val="21"/>
                <w:szCs w:val="21"/>
                <w:highlight w:val="none"/>
              </w:rPr>
              <w:t>担保形式：</w:t>
            </w:r>
          </w:p>
          <w:p w14:paraId="2318A5BB">
            <w:pPr>
              <w:widowControl w:val="0"/>
              <w:adjustRightInd w:val="0"/>
              <w:snapToGrid w:val="0"/>
              <w:spacing w:line="360" w:lineRule="auto"/>
              <w:jc w:val="both"/>
              <w:rPr>
                <w:color w:val="auto"/>
                <w:sz w:val="21"/>
                <w:szCs w:val="21"/>
                <w:highlight w:val="none"/>
              </w:rPr>
            </w:pPr>
            <w:r>
              <w:rPr>
                <w:rFonts w:hint="eastAsia"/>
                <w:color w:val="auto"/>
                <w:sz w:val="21"/>
                <w:szCs w:val="21"/>
                <w:highlight w:val="none"/>
                <w:lang w:bidi="ar"/>
              </w:rPr>
              <w:t>□</w:t>
            </w:r>
            <w:r>
              <w:rPr>
                <w:rFonts w:hint="eastAsia"/>
                <w:color w:val="auto"/>
                <w:sz w:val="21"/>
                <w:szCs w:val="21"/>
                <w:highlight w:val="none"/>
              </w:rPr>
              <w:t>银行保函（电子保函/纸质保函），由投标人基本账户开户银行所在网点或其上级银行机构出具</w:t>
            </w:r>
          </w:p>
          <w:p w14:paraId="0D372E7A">
            <w:pPr>
              <w:widowControl w:val="0"/>
              <w:adjustRightInd w:val="0"/>
              <w:snapToGrid w:val="0"/>
              <w:spacing w:line="360" w:lineRule="auto"/>
              <w:jc w:val="both"/>
              <w:rPr>
                <w:color w:val="auto"/>
                <w:sz w:val="21"/>
                <w:szCs w:val="21"/>
                <w:highlight w:val="none"/>
                <w:u w:val="single"/>
              </w:rPr>
            </w:pPr>
            <w:r>
              <w:rPr>
                <w:rFonts w:hint="eastAsia"/>
                <w:color w:val="auto"/>
                <w:sz w:val="21"/>
                <w:szCs w:val="21"/>
                <w:highlight w:val="none"/>
              </w:rPr>
              <w:t>□保证金（现金/支票），从投标人基本账户汇出</w:t>
            </w:r>
            <w:r>
              <w:rPr>
                <w:rFonts w:hint="eastAsia"/>
                <w:color w:val="auto"/>
                <w:sz w:val="21"/>
                <w:szCs w:val="21"/>
                <w:highlight w:val="none"/>
                <w:u w:val="single"/>
              </w:rPr>
              <w:t xml:space="preserve">      </w:t>
            </w:r>
          </w:p>
          <w:p w14:paraId="66A554CE">
            <w:pPr>
              <w:widowControl w:val="0"/>
              <w:adjustRightInd w:val="0"/>
              <w:snapToGrid w:val="0"/>
              <w:spacing w:line="360" w:lineRule="auto"/>
              <w:jc w:val="both"/>
              <w:rPr>
                <w:color w:val="auto"/>
                <w:sz w:val="21"/>
                <w:szCs w:val="21"/>
                <w:highlight w:val="none"/>
              </w:rPr>
            </w:pPr>
            <w:r>
              <w:rPr>
                <w:rFonts w:hint="eastAsia"/>
                <w:color w:val="auto"/>
                <w:sz w:val="21"/>
                <w:szCs w:val="21"/>
                <w:highlight w:val="none"/>
              </w:rPr>
              <w:t>□保证保险，保费通过投标人基本账户支付</w:t>
            </w:r>
          </w:p>
          <w:p w14:paraId="077AB45F">
            <w:pPr>
              <w:widowControl w:val="0"/>
              <w:adjustRightInd w:val="0"/>
              <w:snapToGrid w:val="0"/>
              <w:spacing w:line="360" w:lineRule="auto"/>
              <w:jc w:val="both"/>
              <w:rPr>
                <w:rFonts w:cs="Courier New"/>
                <w:color w:val="auto"/>
                <w:sz w:val="21"/>
                <w:szCs w:val="21"/>
                <w:highlight w:val="none"/>
              </w:rPr>
            </w:pPr>
            <w:r>
              <w:rPr>
                <w:rFonts w:hint="eastAsia"/>
                <w:color w:val="auto"/>
                <w:sz w:val="21"/>
                <w:szCs w:val="21"/>
                <w:highlight w:val="none"/>
              </w:rPr>
              <w:t>□其他</w:t>
            </w:r>
            <w:r>
              <w:rPr>
                <w:rFonts w:hint="eastAsia"/>
                <w:color w:val="auto"/>
                <w:sz w:val="21"/>
                <w:szCs w:val="21"/>
                <w:highlight w:val="none"/>
                <w:u w:val="single"/>
              </w:rPr>
              <w:t xml:space="preserve">      </w:t>
            </w:r>
          </w:p>
        </w:tc>
      </w:tr>
      <w:tr w14:paraId="3B8A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7D3AC7B5">
            <w:pPr>
              <w:widowControl w:val="0"/>
              <w:adjustRightInd w:val="0"/>
              <w:snapToGrid w:val="0"/>
              <w:spacing w:line="360" w:lineRule="auto"/>
              <w:jc w:val="center"/>
              <w:rPr>
                <w:rFonts w:cs="Courier New"/>
                <w:color w:val="auto"/>
                <w:szCs w:val="21"/>
                <w:highlight w:val="none"/>
              </w:rPr>
            </w:pPr>
            <w:r>
              <w:rPr>
                <w:rFonts w:hint="eastAsia" w:cs="Courier New"/>
                <w:color w:val="auto"/>
                <w:szCs w:val="21"/>
                <w:highlight w:val="none"/>
              </w:rPr>
              <w:t>15</w:t>
            </w:r>
          </w:p>
        </w:tc>
        <w:tc>
          <w:tcPr>
            <w:tcW w:w="1283" w:type="pct"/>
            <w:shd w:val="clear" w:color="auto" w:fill="auto"/>
            <w:vAlign w:val="center"/>
          </w:tcPr>
          <w:p w14:paraId="6230EDF0">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公布招标控制价、投标报价上限地址</w:t>
            </w:r>
          </w:p>
        </w:tc>
        <w:tc>
          <w:tcPr>
            <w:tcW w:w="3223" w:type="pct"/>
            <w:shd w:val="clear" w:color="auto" w:fill="auto"/>
            <w:vAlign w:val="center"/>
          </w:tcPr>
          <w:p w14:paraId="1B6C7AAA">
            <w:pPr>
              <w:widowControl w:val="0"/>
              <w:adjustRightInd w:val="0"/>
              <w:snapToGrid w:val="0"/>
              <w:spacing w:line="360" w:lineRule="auto"/>
              <w:jc w:val="left"/>
              <w:rPr>
                <w:rFonts w:cs="Courier New"/>
                <w:color w:val="auto"/>
                <w:sz w:val="21"/>
                <w:szCs w:val="21"/>
                <w:highlight w:val="none"/>
              </w:rPr>
            </w:pPr>
            <w:r>
              <w:rPr>
                <w:rFonts w:hint="eastAsia" w:cs="Courier New"/>
                <w:color w:val="auto"/>
                <w:sz w:val="21"/>
                <w:szCs w:val="21"/>
                <w:highlight w:val="none"/>
              </w:rPr>
              <w:t>详见招标文件及招标公告</w:t>
            </w:r>
          </w:p>
        </w:tc>
      </w:tr>
      <w:tr w14:paraId="09C4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30EFF99C">
            <w:pPr>
              <w:widowControl w:val="0"/>
              <w:adjustRightInd w:val="0"/>
              <w:snapToGrid w:val="0"/>
              <w:spacing w:line="360" w:lineRule="auto"/>
              <w:jc w:val="center"/>
              <w:rPr>
                <w:rFonts w:cs="Courier New"/>
                <w:color w:val="auto"/>
                <w:szCs w:val="21"/>
                <w:highlight w:val="none"/>
              </w:rPr>
            </w:pPr>
            <w:r>
              <w:rPr>
                <w:rFonts w:hint="eastAsia" w:cs="Courier New"/>
                <w:color w:val="auto"/>
                <w:szCs w:val="21"/>
                <w:highlight w:val="none"/>
              </w:rPr>
              <w:t>16</w:t>
            </w:r>
          </w:p>
        </w:tc>
        <w:tc>
          <w:tcPr>
            <w:tcW w:w="1283" w:type="pct"/>
            <w:shd w:val="clear" w:color="auto" w:fill="auto"/>
            <w:vAlign w:val="center"/>
          </w:tcPr>
          <w:p w14:paraId="235F47A1">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投标文件递交</w:t>
            </w:r>
          </w:p>
        </w:tc>
        <w:tc>
          <w:tcPr>
            <w:tcW w:w="3223" w:type="pct"/>
            <w:shd w:val="clear" w:color="auto" w:fill="auto"/>
            <w:vAlign w:val="center"/>
          </w:tcPr>
          <w:p w14:paraId="2E7289B5">
            <w:pPr>
              <w:widowControl/>
              <w:spacing w:line="360" w:lineRule="auto"/>
              <w:jc w:val="left"/>
              <w:rPr>
                <w:rFonts w:cs="Courier New"/>
                <w:color w:val="auto"/>
                <w:sz w:val="21"/>
                <w:szCs w:val="21"/>
                <w:highlight w:val="none"/>
              </w:rPr>
            </w:pPr>
            <w:r>
              <w:rPr>
                <w:rFonts w:hint="eastAsia" w:cs="Courier New"/>
                <w:color w:val="auto"/>
                <w:sz w:val="21"/>
                <w:szCs w:val="21"/>
                <w:highlight w:val="none"/>
              </w:rPr>
              <w:t>地点：</w:t>
            </w:r>
            <w:r>
              <w:rPr>
                <w:rFonts w:hint="eastAsia"/>
                <w:color w:val="auto"/>
                <w:highlight w:val="none"/>
                <w:u w:val="single"/>
              </w:rPr>
              <w:t xml:space="preserve">深圳市南山区虹步路39号大习科创大厦401 </w:t>
            </w:r>
          </w:p>
          <w:p w14:paraId="16CD1896">
            <w:pPr>
              <w:widowControl w:val="0"/>
              <w:adjustRightInd w:val="0"/>
              <w:snapToGrid w:val="0"/>
              <w:spacing w:line="360" w:lineRule="auto"/>
              <w:jc w:val="left"/>
              <w:rPr>
                <w:rFonts w:cs="Courier New"/>
                <w:color w:val="auto"/>
                <w:sz w:val="21"/>
                <w:szCs w:val="21"/>
                <w:highlight w:val="none"/>
              </w:rPr>
            </w:pPr>
            <w:r>
              <w:rPr>
                <w:rFonts w:hint="eastAsia" w:cs="Courier New"/>
                <w:color w:val="auto"/>
                <w:sz w:val="21"/>
                <w:szCs w:val="21"/>
                <w:highlight w:val="none"/>
              </w:rPr>
              <w:t>截止时间：</w:t>
            </w:r>
            <w:r>
              <w:rPr>
                <w:rFonts w:hint="eastAsia"/>
                <w:color w:val="auto"/>
                <w:highlight w:val="yellow"/>
                <w:u w:val="single"/>
              </w:rPr>
              <w:t>2022年*月*</w:t>
            </w:r>
            <w:r>
              <w:rPr>
                <w:color w:val="auto"/>
                <w:highlight w:val="yellow"/>
                <w:u w:val="single"/>
              </w:rPr>
              <w:t>日</w:t>
            </w:r>
            <w:r>
              <w:rPr>
                <w:rFonts w:hint="eastAsia"/>
                <w:color w:val="auto"/>
                <w:highlight w:val="yellow"/>
                <w:u w:val="single"/>
              </w:rPr>
              <w:t>*</w:t>
            </w:r>
            <w:r>
              <w:rPr>
                <w:color w:val="auto"/>
                <w:highlight w:val="yellow"/>
                <w:u w:val="single"/>
              </w:rPr>
              <w:t>:</w:t>
            </w:r>
            <w:r>
              <w:rPr>
                <w:rFonts w:hint="eastAsia"/>
                <w:color w:val="auto"/>
                <w:highlight w:val="yellow"/>
                <w:u w:val="single"/>
              </w:rPr>
              <w:t>3</w:t>
            </w:r>
            <w:r>
              <w:rPr>
                <w:color w:val="auto"/>
                <w:highlight w:val="yellow"/>
                <w:u w:val="single"/>
              </w:rPr>
              <w:t>0时</w:t>
            </w:r>
          </w:p>
        </w:tc>
      </w:tr>
      <w:tr w14:paraId="0DA6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4813BC14">
            <w:pPr>
              <w:widowControl w:val="0"/>
              <w:adjustRightInd w:val="0"/>
              <w:snapToGrid w:val="0"/>
              <w:spacing w:line="360" w:lineRule="auto"/>
              <w:jc w:val="center"/>
              <w:rPr>
                <w:rFonts w:cs="Courier New"/>
                <w:color w:val="auto"/>
                <w:szCs w:val="21"/>
                <w:highlight w:val="none"/>
              </w:rPr>
            </w:pPr>
            <w:r>
              <w:rPr>
                <w:rFonts w:hint="eastAsia" w:cs="Courier New"/>
                <w:color w:val="auto"/>
                <w:szCs w:val="21"/>
                <w:highlight w:val="none"/>
              </w:rPr>
              <w:t>17</w:t>
            </w:r>
          </w:p>
        </w:tc>
        <w:tc>
          <w:tcPr>
            <w:tcW w:w="1283" w:type="pct"/>
            <w:shd w:val="clear" w:color="auto" w:fill="auto"/>
            <w:vAlign w:val="center"/>
          </w:tcPr>
          <w:p w14:paraId="1A7CE893">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投标有效期</w:t>
            </w:r>
          </w:p>
        </w:tc>
        <w:tc>
          <w:tcPr>
            <w:tcW w:w="3223" w:type="pct"/>
            <w:shd w:val="clear" w:color="auto" w:fill="auto"/>
            <w:vAlign w:val="center"/>
          </w:tcPr>
          <w:p w14:paraId="5835E3F6">
            <w:pPr>
              <w:widowControl w:val="0"/>
              <w:adjustRightInd w:val="0"/>
              <w:snapToGrid w:val="0"/>
              <w:spacing w:line="360" w:lineRule="auto"/>
              <w:jc w:val="left"/>
              <w:rPr>
                <w:rFonts w:cs="Courier New"/>
                <w:color w:val="auto"/>
                <w:sz w:val="21"/>
                <w:szCs w:val="21"/>
                <w:highlight w:val="none"/>
              </w:rPr>
            </w:pPr>
            <w:r>
              <w:rPr>
                <w:color w:val="auto"/>
                <w:highlight w:val="none"/>
                <w:u w:val="single"/>
              </w:rPr>
              <w:t>120</w:t>
            </w:r>
            <w:r>
              <w:rPr>
                <w:rFonts w:cs="Courier New"/>
                <w:color w:val="auto"/>
                <w:sz w:val="21"/>
                <w:szCs w:val="21"/>
                <w:highlight w:val="none"/>
                <w:u w:val="single"/>
              </w:rPr>
              <w:fldChar w:fldCharType="begin"/>
            </w:r>
            <w:r>
              <w:rPr>
                <w:rFonts w:cs="Courier New"/>
                <w:color w:val="auto"/>
                <w:sz w:val="21"/>
                <w:szCs w:val="21"/>
                <w:highlight w:val="none"/>
                <w:u w:val="single"/>
              </w:rPr>
              <w:instrText xml:space="preserve"> </w:instrText>
            </w:r>
            <w:r>
              <w:rPr>
                <w:rFonts w:hint="eastAsia" w:cs="Courier New"/>
                <w:color w:val="auto"/>
                <w:sz w:val="21"/>
                <w:szCs w:val="21"/>
                <w:highlight w:val="none"/>
                <w:u w:val="single"/>
              </w:rPr>
              <w:instrText xml:space="preserve">AUTOTEXT  input436 \* MERGEFORMAT</w:instrText>
            </w:r>
            <w:r>
              <w:rPr>
                <w:rFonts w:cs="Courier New"/>
                <w:color w:val="auto"/>
                <w:sz w:val="21"/>
                <w:szCs w:val="21"/>
                <w:highlight w:val="none"/>
                <w:u w:val="single"/>
              </w:rPr>
              <w:instrText xml:space="preserve"> </w:instrText>
            </w:r>
            <w:r>
              <w:rPr>
                <w:rFonts w:cs="Courier New"/>
                <w:color w:val="auto"/>
                <w:sz w:val="21"/>
                <w:szCs w:val="21"/>
                <w:highlight w:val="none"/>
                <w:u w:val="single"/>
              </w:rPr>
              <w:fldChar w:fldCharType="end"/>
            </w:r>
            <w:r>
              <w:rPr>
                <w:rFonts w:hint="eastAsia" w:cs="Courier New"/>
                <w:color w:val="auto"/>
                <w:sz w:val="21"/>
                <w:szCs w:val="21"/>
                <w:highlight w:val="none"/>
              </w:rPr>
              <w:t>日历天（从投标截止之日算起）</w:t>
            </w:r>
          </w:p>
        </w:tc>
      </w:tr>
      <w:tr w14:paraId="70A8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5A46BDFA">
            <w:pPr>
              <w:widowControl w:val="0"/>
              <w:adjustRightInd w:val="0"/>
              <w:snapToGrid w:val="0"/>
              <w:spacing w:line="360" w:lineRule="auto"/>
              <w:jc w:val="center"/>
              <w:rPr>
                <w:rFonts w:cs="Courier New"/>
                <w:color w:val="auto"/>
                <w:szCs w:val="21"/>
                <w:highlight w:val="none"/>
              </w:rPr>
            </w:pPr>
            <w:r>
              <w:rPr>
                <w:rFonts w:hint="eastAsia" w:cs="Courier New"/>
                <w:color w:val="auto"/>
                <w:szCs w:val="21"/>
                <w:highlight w:val="none"/>
              </w:rPr>
              <w:t>18</w:t>
            </w:r>
          </w:p>
        </w:tc>
        <w:tc>
          <w:tcPr>
            <w:tcW w:w="1283" w:type="pct"/>
            <w:shd w:val="clear" w:color="auto" w:fill="auto"/>
            <w:vAlign w:val="center"/>
          </w:tcPr>
          <w:p w14:paraId="6B81B8A9">
            <w:pPr>
              <w:widowControl w:val="0"/>
              <w:spacing w:line="360" w:lineRule="auto"/>
              <w:jc w:val="center"/>
              <w:rPr>
                <w:rFonts w:cs="Courier New"/>
                <w:color w:val="auto"/>
                <w:sz w:val="21"/>
                <w:szCs w:val="21"/>
                <w:highlight w:val="none"/>
              </w:rPr>
            </w:pPr>
            <w:r>
              <w:rPr>
                <w:rFonts w:hint="eastAsia" w:cs="Courier New"/>
                <w:color w:val="auto"/>
                <w:sz w:val="21"/>
                <w:szCs w:val="21"/>
                <w:highlight w:val="none"/>
              </w:rPr>
              <w:t>招标会议时间</w:t>
            </w:r>
          </w:p>
        </w:tc>
        <w:tc>
          <w:tcPr>
            <w:tcW w:w="3223" w:type="pct"/>
            <w:shd w:val="clear" w:color="auto" w:fill="auto"/>
            <w:vAlign w:val="center"/>
          </w:tcPr>
          <w:p w14:paraId="7066684B">
            <w:pPr>
              <w:widowControl w:val="0"/>
              <w:spacing w:line="360" w:lineRule="auto"/>
              <w:jc w:val="left"/>
              <w:rPr>
                <w:rFonts w:cs="Courier New"/>
                <w:color w:val="auto"/>
                <w:sz w:val="21"/>
                <w:szCs w:val="21"/>
                <w:highlight w:val="none"/>
              </w:rPr>
            </w:pPr>
            <w:r>
              <w:rPr>
                <w:rFonts w:hint="eastAsia" w:cs="Courier New"/>
                <w:color w:val="auto"/>
                <w:sz w:val="21"/>
                <w:szCs w:val="21"/>
                <w:highlight w:val="none"/>
              </w:rPr>
              <w:t>开标会、定标会议时间及地点，</w:t>
            </w:r>
            <w:r>
              <w:rPr>
                <w:rFonts w:hint="eastAsia" w:cs="Courier New"/>
                <w:color w:val="auto"/>
                <w:sz w:val="21"/>
                <w:szCs w:val="21"/>
                <w:highlight w:val="none"/>
                <w:u w:val="none"/>
              </w:rPr>
              <w:t>视本</w:t>
            </w:r>
            <w:r>
              <w:rPr>
                <w:rFonts w:hint="eastAsia" w:cs="Courier New"/>
                <w:color w:val="auto"/>
                <w:sz w:val="21"/>
                <w:szCs w:val="21"/>
                <w:highlight w:val="none"/>
              </w:rPr>
              <w:t>招标项目开展的实际情况确定。</w:t>
            </w:r>
          </w:p>
        </w:tc>
      </w:tr>
      <w:tr w14:paraId="2843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492" w:type="pct"/>
            <w:vMerge w:val="restart"/>
            <w:shd w:val="clear" w:color="auto" w:fill="auto"/>
            <w:vAlign w:val="center"/>
          </w:tcPr>
          <w:p w14:paraId="6B3B25E2">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19</w:t>
            </w:r>
          </w:p>
        </w:tc>
        <w:tc>
          <w:tcPr>
            <w:tcW w:w="1283" w:type="pct"/>
            <w:vMerge w:val="restart"/>
            <w:shd w:val="clear" w:color="auto" w:fill="auto"/>
            <w:vAlign w:val="center"/>
          </w:tcPr>
          <w:p w14:paraId="62641C0F">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过多投标人淘汰</w:t>
            </w:r>
          </w:p>
          <w:p w14:paraId="15739F07">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环节（资格审查合格的投标人＞</w:t>
            </w:r>
            <w:r>
              <w:rPr>
                <w:rFonts w:cs="Courier New"/>
                <w:color w:val="auto"/>
                <w:sz w:val="21"/>
                <w:szCs w:val="21"/>
                <w:highlight w:val="none"/>
              </w:rPr>
              <w:t>20名）</w:t>
            </w:r>
          </w:p>
        </w:tc>
        <w:tc>
          <w:tcPr>
            <w:tcW w:w="3223" w:type="pct"/>
            <w:shd w:val="clear" w:color="auto" w:fill="auto"/>
            <w:vAlign w:val="center"/>
          </w:tcPr>
          <w:p w14:paraId="3E486408">
            <w:pPr>
              <w:widowControl w:val="0"/>
              <w:adjustRightInd w:val="0"/>
              <w:snapToGrid w:val="0"/>
              <w:spacing w:line="360" w:lineRule="auto"/>
              <w:jc w:val="both"/>
              <w:rPr>
                <w:rFonts w:cs="Courier New"/>
                <w:color w:val="auto"/>
                <w:sz w:val="21"/>
                <w:szCs w:val="21"/>
                <w:highlight w:val="none"/>
              </w:rPr>
            </w:pPr>
            <w:r>
              <w:rPr>
                <w:rFonts w:hint="eastAsia" w:cs="Courier New"/>
                <w:color w:val="auto"/>
                <w:sz w:val="21"/>
                <w:szCs w:val="21"/>
                <w:highlight w:val="none"/>
              </w:rPr>
              <w:t>资格审查合格的投标人＞20名时，经淘汰进入后续招标程序的投标人为15至20名，具体数量产生方式为：</w:t>
            </w:r>
          </w:p>
          <w:p w14:paraId="215831FC">
            <w:pPr>
              <w:widowControl w:val="0"/>
              <w:adjustRightInd w:val="0"/>
              <w:snapToGrid w:val="0"/>
              <w:spacing w:line="360" w:lineRule="auto"/>
              <w:jc w:val="both"/>
              <w:rPr>
                <w:rFonts w:cs="Courier New"/>
                <w:color w:val="auto"/>
                <w:sz w:val="21"/>
                <w:szCs w:val="21"/>
                <w:highlight w:val="none"/>
              </w:rPr>
            </w:pPr>
            <w:r>
              <w:rPr>
                <w:rFonts w:hint="eastAsia"/>
                <w:color w:val="auto"/>
                <w:sz w:val="21"/>
                <w:szCs w:val="21"/>
                <w:highlight w:val="none"/>
                <w:lang w:bidi="ar"/>
              </w:rPr>
              <w:t>□</w:t>
            </w:r>
            <w:r>
              <w:rPr>
                <w:rFonts w:cs="Courier New"/>
                <w:color w:val="auto"/>
                <w:sz w:val="21"/>
                <w:szCs w:val="21"/>
                <w:highlight w:val="none"/>
              </w:rPr>
              <w:fldChar w:fldCharType="begin"/>
            </w:r>
            <w:r>
              <w:rPr>
                <w:rFonts w:cs="Courier New"/>
                <w:color w:val="auto"/>
                <w:sz w:val="21"/>
                <w:szCs w:val="21"/>
                <w:highlight w:val="none"/>
              </w:rPr>
              <w:instrText xml:space="preserve"> AUTOTEXT  input452 \* MERGEFORMAT </w:instrText>
            </w:r>
            <w:r>
              <w:rPr>
                <w:rFonts w:cs="Courier New"/>
                <w:color w:val="auto"/>
                <w:sz w:val="21"/>
                <w:szCs w:val="21"/>
                <w:highlight w:val="none"/>
              </w:rPr>
              <w:fldChar w:fldCharType="end"/>
            </w:r>
            <w:r>
              <w:rPr>
                <w:rFonts w:hint="eastAsia" w:cs="Courier New"/>
                <w:color w:val="auto"/>
                <w:sz w:val="21"/>
                <w:szCs w:val="21"/>
                <w:highlight w:val="none"/>
              </w:rPr>
              <w:t>由计算机随机产生</w:t>
            </w:r>
          </w:p>
          <w:p w14:paraId="32667DFD">
            <w:pPr>
              <w:widowControl w:val="0"/>
              <w:adjustRightInd w:val="0"/>
              <w:snapToGrid w:val="0"/>
              <w:spacing w:line="360" w:lineRule="auto"/>
              <w:jc w:val="both"/>
              <w:rPr>
                <w:rFonts w:cs="Courier New"/>
                <w:color w:val="auto"/>
                <w:szCs w:val="21"/>
                <w:highlight w:val="none"/>
              </w:rPr>
            </w:pPr>
            <w:r>
              <w:rPr>
                <w:rFonts w:hint="eastAsia"/>
                <w:color w:val="auto"/>
                <w:sz w:val="21"/>
                <w:szCs w:val="21"/>
                <w:highlight w:val="none"/>
                <w:lang w:bidi="ar"/>
              </w:rPr>
              <w:t>□</w:t>
            </w:r>
            <w:r>
              <w:rPr>
                <w:rFonts w:cs="Courier New"/>
                <w:color w:val="auto"/>
                <w:sz w:val="21"/>
                <w:szCs w:val="21"/>
                <w:highlight w:val="none"/>
              </w:rPr>
              <w:fldChar w:fldCharType="begin"/>
            </w:r>
            <w:r>
              <w:rPr>
                <w:rFonts w:cs="Courier New"/>
                <w:color w:val="auto"/>
                <w:sz w:val="21"/>
                <w:szCs w:val="21"/>
                <w:highlight w:val="none"/>
              </w:rPr>
              <w:instrText xml:space="preserve"> AUTOTEXT  input453 \* MERGEFORMAT </w:instrText>
            </w:r>
            <w:r>
              <w:rPr>
                <w:rFonts w:cs="Courier New"/>
                <w:color w:val="auto"/>
                <w:sz w:val="21"/>
                <w:szCs w:val="21"/>
                <w:highlight w:val="none"/>
              </w:rPr>
              <w:fldChar w:fldCharType="end"/>
            </w:r>
            <w:r>
              <w:rPr>
                <w:rFonts w:hint="eastAsia" w:cs="Courier New"/>
                <w:color w:val="auto"/>
                <w:sz w:val="21"/>
                <w:szCs w:val="21"/>
                <w:highlight w:val="none"/>
              </w:rPr>
              <w:t>招标人自行确定：</w:t>
            </w:r>
            <w:r>
              <w:rPr>
                <w:rFonts w:hint="eastAsia"/>
                <w:color w:val="auto"/>
                <w:sz w:val="21"/>
                <w:highlight w:val="none"/>
                <w:u w:val="single"/>
              </w:rPr>
              <w:t xml:space="preserve">  </w:t>
            </w:r>
            <w:r>
              <w:rPr>
                <w:rFonts w:cs="Courier New"/>
                <w:color w:val="auto"/>
                <w:sz w:val="21"/>
                <w:szCs w:val="21"/>
                <w:highlight w:val="none"/>
                <w:u w:val="single"/>
              </w:rPr>
              <w:fldChar w:fldCharType="begin"/>
            </w:r>
            <w:r>
              <w:rPr>
                <w:rFonts w:cs="Courier New"/>
                <w:color w:val="auto"/>
                <w:sz w:val="21"/>
                <w:szCs w:val="21"/>
                <w:highlight w:val="none"/>
                <w:u w:val="single"/>
              </w:rPr>
              <w:instrText xml:space="preserve"> AUTOTEXT  input454 \* MERGEFORMAT </w:instrText>
            </w:r>
            <w:r>
              <w:rPr>
                <w:rFonts w:cs="Courier New"/>
                <w:color w:val="auto"/>
                <w:sz w:val="21"/>
                <w:szCs w:val="21"/>
                <w:highlight w:val="none"/>
                <w:u w:val="single"/>
              </w:rPr>
              <w:fldChar w:fldCharType="end"/>
            </w:r>
          </w:p>
        </w:tc>
      </w:tr>
      <w:tr w14:paraId="3B16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92" w:type="pct"/>
            <w:vMerge w:val="continue"/>
            <w:shd w:val="clear" w:color="auto" w:fill="auto"/>
            <w:vAlign w:val="center"/>
          </w:tcPr>
          <w:p w14:paraId="118DA17D">
            <w:pPr>
              <w:widowControl w:val="0"/>
              <w:adjustRightInd w:val="0"/>
              <w:snapToGrid w:val="0"/>
              <w:spacing w:line="360" w:lineRule="auto"/>
              <w:jc w:val="center"/>
              <w:rPr>
                <w:rFonts w:cs="Courier New"/>
                <w:color w:val="auto"/>
                <w:sz w:val="21"/>
                <w:szCs w:val="21"/>
                <w:highlight w:val="none"/>
              </w:rPr>
            </w:pPr>
          </w:p>
        </w:tc>
        <w:tc>
          <w:tcPr>
            <w:tcW w:w="1283" w:type="pct"/>
            <w:vMerge w:val="continue"/>
            <w:shd w:val="clear" w:color="auto" w:fill="auto"/>
            <w:vAlign w:val="center"/>
          </w:tcPr>
          <w:p w14:paraId="2659E4D0">
            <w:pPr>
              <w:widowControl w:val="0"/>
              <w:adjustRightInd w:val="0"/>
              <w:snapToGrid w:val="0"/>
              <w:spacing w:line="360" w:lineRule="auto"/>
              <w:jc w:val="center"/>
              <w:rPr>
                <w:rFonts w:cs="Courier New"/>
                <w:color w:val="auto"/>
                <w:sz w:val="21"/>
                <w:szCs w:val="21"/>
                <w:highlight w:val="none"/>
              </w:rPr>
            </w:pPr>
          </w:p>
        </w:tc>
        <w:tc>
          <w:tcPr>
            <w:tcW w:w="3223" w:type="pct"/>
            <w:shd w:val="clear" w:color="auto" w:fill="auto"/>
            <w:vAlign w:val="center"/>
          </w:tcPr>
          <w:p w14:paraId="72D726F5">
            <w:pPr>
              <w:widowControl w:val="0"/>
              <w:adjustRightInd w:val="0"/>
              <w:snapToGrid w:val="0"/>
              <w:spacing w:line="360" w:lineRule="auto"/>
              <w:jc w:val="both"/>
              <w:rPr>
                <w:rFonts w:cs="Courier New"/>
                <w:color w:val="auto"/>
                <w:sz w:val="21"/>
                <w:szCs w:val="21"/>
                <w:highlight w:val="none"/>
              </w:rPr>
            </w:pPr>
            <w:r>
              <w:rPr>
                <w:rFonts w:hint="eastAsia" w:cs="Courier New"/>
                <w:color w:val="auto"/>
                <w:sz w:val="21"/>
                <w:szCs w:val="21"/>
                <w:highlight w:val="none"/>
              </w:rPr>
              <w:t>过多投标人淘汰方式：</w:t>
            </w:r>
          </w:p>
          <w:p w14:paraId="1A6C7824">
            <w:pPr>
              <w:widowControl w:val="0"/>
              <w:adjustRightInd w:val="0"/>
              <w:snapToGrid w:val="0"/>
              <w:spacing w:line="360" w:lineRule="auto"/>
              <w:jc w:val="both"/>
              <w:rPr>
                <w:rFonts w:cs="Courier New"/>
                <w:color w:val="auto"/>
                <w:sz w:val="21"/>
                <w:szCs w:val="21"/>
                <w:highlight w:val="none"/>
              </w:rPr>
            </w:pPr>
            <w:r>
              <w:rPr>
                <w:rFonts w:hint="eastAsia"/>
                <w:color w:val="auto"/>
                <w:sz w:val="21"/>
                <w:szCs w:val="21"/>
                <w:highlight w:val="none"/>
                <w:lang w:bidi="ar"/>
              </w:rPr>
              <w:t>□</w:t>
            </w:r>
            <w:r>
              <w:rPr>
                <w:rFonts w:cs="Courier New"/>
                <w:color w:val="auto"/>
                <w:sz w:val="21"/>
                <w:szCs w:val="21"/>
                <w:highlight w:val="none"/>
              </w:rPr>
              <w:fldChar w:fldCharType="begin"/>
            </w:r>
            <w:r>
              <w:rPr>
                <w:rFonts w:cs="Courier New"/>
                <w:color w:val="auto"/>
                <w:sz w:val="21"/>
                <w:szCs w:val="21"/>
                <w:highlight w:val="none"/>
              </w:rPr>
              <w:instrText xml:space="preserve"> AUTOTEXT  input443 \* MERGEFORMAT </w:instrText>
            </w:r>
            <w:r>
              <w:rPr>
                <w:rFonts w:cs="Courier New"/>
                <w:color w:val="auto"/>
                <w:sz w:val="21"/>
                <w:szCs w:val="21"/>
                <w:highlight w:val="none"/>
              </w:rPr>
              <w:fldChar w:fldCharType="end"/>
            </w:r>
            <w:r>
              <w:rPr>
                <w:rFonts w:hint="eastAsia" w:cs="Courier New"/>
                <w:color w:val="auto"/>
                <w:sz w:val="21"/>
                <w:szCs w:val="21"/>
                <w:highlight w:val="none"/>
              </w:rPr>
              <w:t>直接票决</w:t>
            </w:r>
            <w:r>
              <w:rPr>
                <w:rFonts w:cs="Courier New"/>
                <w:color w:val="auto"/>
                <w:sz w:val="21"/>
                <w:szCs w:val="21"/>
                <w:highlight w:val="none"/>
              </w:rPr>
              <w:t xml:space="preserve">  </w:t>
            </w:r>
            <w:r>
              <w:rPr>
                <w:rFonts w:hint="eastAsia"/>
                <w:color w:val="auto"/>
                <w:sz w:val="21"/>
                <w:szCs w:val="21"/>
                <w:highlight w:val="none"/>
                <w:lang w:bidi="ar"/>
              </w:rPr>
              <w:t>□</w:t>
            </w:r>
            <w:r>
              <w:rPr>
                <w:rFonts w:cs="Courier New"/>
                <w:color w:val="auto"/>
                <w:sz w:val="21"/>
                <w:szCs w:val="21"/>
                <w:highlight w:val="none"/>
              </w:rPr>
              <w:fldChar w:fldCharType="begin"/>
            </w:r>
            <w:r>
              <w:rPr>
                <w:rFonts w:cs="Courier New"/>
                <w:color w:val="auto"/>
                <w:sz w:val="21"/>
                <w:szCs w:val="21"/>
                <w:highlight w:val="none"/>
              </w:rPr>
              <w:instrText xml:space="preserve"> AUTOTEXT  input444 \* MERGEFORMAT </w:instrText>
            </w:r>
            <w:r>
              <w:rPr>
                <w:rFonts w:cs="Courier New"/>
                <w:color w:val="auto"/>
                <w:sz w:val="21"/>
                <w:szCs w:val="21"/>
                <w:highlight w:val="none"/>
              </w:rPr>
              <w:fldChar w:fldCharType="end"/>
            </w:r>
            <w:r>
              <w:rPr>
                <w:rFonts w:cs="Courier New"/>
                <w:color w:val="auto"/>
                <w:sz w:val="21"/>
                <w:szCs w:val="21"/>
                <w:highlight w:val="none"/>
              </w:rPr>
              <w:t xml:space="preserve">逐轮票决  </w:t>
            </w:r>
            <w:r>
              <w:rPr>
                <w:rFonts w:hint="eastAsia"/>
                <w:color w:val="auto"/>
                <w:sz w:val="21"/>
                <w:szCs w:val="21"/>
                <w:highlight w:val="none"/>
                <w:lang w:bidi="ar"/>
              </w:rPr>
              <w:t>□</w:t>
            </w:r>
            <w:r>
              <w:rPr>
                <w:rFonts w:cs="Courier New"/>
                <w:color w:val="auto"/>
                <w:sz w:val="21"/>
                <w:szCs w:val="21"/>
                <w:highlight w:val="none"/>
              </w:rPr>
              <w:fldChar w:fldCharType="begin"/>
            </w:r>
            <w:r>
              <w:rPr>
                <w:rFonts w:cs="Courier New"/>
                <w:color w:val="auto"/>
                <w:sz w:val="21"/>
                <w:szCs w:val="21"/>
                <w:highlight w:val="none"/>
              </w:rPr>
              <w:instrText xml:space="preserve"> AUTOTEXT  input445 \* MERGEFORMAT </w:instrText>
            </w:r>
            <w:r>
              <w:rPr>
                <w:rFonts w:cs="Courier New"/>
                <w:color w:val="auto"/>
                <w:sz w:val="21"/>
                <w:szCs w:val="21"/>
                <w:highlight w:val="none"/>
              </w:rPr>
              <w:fldChar w:fldCharType="end"/>
            </w:r>
            <w:r>
              <w:rPr>
                <w:rFonts w:cs="Courier New"/>
                <w:color w:val="auto"/>
                <w:sz w:val="21"/>
                <w:szCs w:val="21"/>
                <w:highlight w:val="none"/>
              </w:rPr>
              <w:t>逐轮淘汰</w:t>
            </w:r>
          </w:p>
          <w:p w14:paraId="4CBFD54B">
            <w:pPr>
              <w:widowControl w:val="0"/>
              <w:adjustRightInd w:val="0"/>
              <w:snapToGrid w:val="0"/>
              <w:spacing w:line="360" w:lineRule="auto"/>
              <w:ind w:firstLine="420" w:firstLineChars="200"/>
              <w:jc w:val="both"/>
              <w:rPr>
                <w:rFonts w:cs="Courier New"/>
                <w:color w:val="auto"/>
                <w:sz w:val="21"/>
                <w:szCs w:val="21"/>
                <w:highlight w:val="none"/>
              </w:rPr>
            </w:pPr>
            <w:r>
              <w:rPr>
                <w:rFonts w:hint="eastAsia" w:cs="Courier New"/>
                <w:color w:val="auto"/>
                <w:sz w:val="21"/>
                <w:szCs w:val="21"/>
                <w:highlight w:val="none"/>
              </w:rPr>
              <w:t>计算规则（采用直接票决或逐轮票决的）：</w:t>
            </w:r>
          </w:p>
          <w:p w14:paraId="3CC0B99F">
            <w:pPr>
              <w:widowControl w:val="0"/>
              <w:adjustRightInd w:val="0"/>
              <w:snapToGrid w:val="0"/>
              <w:spacing w:line="360" w:lineRule="auto"/>
              <w:ind w:firstLine="420" w:firstLineChars="200"/>
              <w:jc w:val="both"/>
              <w:rPr>
                <w:rFonts w:cs="Courier New"/>
                <w:color w:val="auto"/>
                <w:sz w:val="21"/>
                <w:szCs w:val="21"/>
                <w:highlight w:val="none"/>
              </w:rPr>
            </w:pPr>
            <w:r>
              <w:rPr>
                <w:rFonts w:hint="eastAsia"/>
                <w:color w:val="auto"/>
                <w:sz w:val="21"/>
                <w:szCs w:val="21"/>
                <w:highlight w:val="none"/>
                <w:lang w:bidi="ar"/>
              </w:rPr>
              <w:t>□</w:t>
            </w:r>
            <w:r>
              <w:rPr>
                <w:rFonts w:cs="Courier New"/>
                <w:color w:val="auto"/>
                <w:sz w:val="21"/>
                <w:szCs w:val="21"/>
                <w:highlight w:val="none"/>
              </w:rPr>
              <w:fldChar w:fldCharType="begin"/>
            </w:r>
            <w:r>
              <w:rPr>
                <w:rFonts w:cs="Courier New"/>
                <w:color w:val="auto"/>
                <w:sz w:val="21"/>
                <w:szCs w:val="21"/>
                <w:highlight w:val="none"/>
              </w:rPr>
              <w:instrText xml:space="preserve"> </w:instrText>
            </w:r>
            <w:r>
              <w:rPr>
                <w:rFonts w:hint="eastAsia" w:cs="Courier New"/>
                <w:color w:val="auto"/>
                <w:sz w:val="21"/>
                <w:szCs w:val="21"/>
                <w:highlight w:val="none"/>
              </w:rPr>
              <w:instrText xml:space="preserve">AUTOTEXT  input451 \* MERGEFORMAT</w:instrText>
            </w:r>
            <w:r>
              <w:rPr>
                <w:rFonts w:cs="Courier New"/>
                <w:color w:val="auto"/>
                <w:sz w:val="21"/>
                <w:szCs w:val="21"/>
                <w:highlight w:val="none"/>
              </w:rPr>
              <w:instrText xml:space="preserve"> </w:instrText>
            </w:r>
            <w:r>
              <w:rPr>
                <w:rFonts w:cs="Courier New"/>
                <w:color w:val="auto"/>
                <w:sz w:val="21"/>
                <w:szCs w:val="21"/>
                <w:highlight w:val="none"/>
              </w:rPr>
              <w:fldChar w:fldCharType="end"/>
            </w:r>
            <w:r>
              <w:rPr>
                <w:rFonts w:hint="eastAsia" w:cs="Courier New"/>
                <w:color w:val="auto"/>
                <w:sz w:val="21"/>
                <w:szCs w:val="21"/>
                <w:highlight w:val="none"/>
              </w:rPr>
              <w:t>简单多数。当被淘汰最后一名有并列情况以至超过应淘汰投标人数时，对此并列的投标人采取如下确定方式：</w:t>
            </w:r>
          </w:p>
          <w:p w14:paraId="678CCE03">
            <w:pPr>
              <w:widowControl w:val="0"/>
              <w:adjustRightInd w:val="0"/>
              <w:snapToGrid w:val="0"/>
              <w:spacing w:line="360" w:lineRule="auto"/>
              <w:ind w:firstLine="1050" w:firstLineChars="500"/>
              <w:jc w:val="both"/>
              <w:rPr>
                <w:rFonts w:cs="Courier New"/>
                <w:color w:val="auto"/>
                <w:sz w:val="21"/>
                <w:szCs w:val="21"/>
                <w:highlight w:val="none"/>
              </w:rPr>
            </w:pPr>
            <w:r>
              <w:rPr>
                <w:rFonts w:hint="eastAsia"/>
                <w:color w:val="auto"/>
                <w:sz w:val="21"/>
                <w:szCs w:val="21"/>
                <w:highlight w:val="none"/>
                <w:lang w:bidi="ar"/>
              </w:rPr>
              <w:t>□</w:t>
            </w:r>
            <w:r>
              <w:rPr>
                <w:rFonts w:cs="Courier New"/>
                <w:color w:val="auto"/>
                <w:sz w:val="21"/>
                <w:szCs w:val="21"/>
                <w:highlight w:val="none"/>
              </w:rPr>
              <w:fldChar w:fldCharType="begin"/>
            </w:r>
            <w:r>
              <w:rPr>
                <w:rFonts w:cs="Courier New"/>
                <w:color w:val="auto"/>
                <w:sz w:val="21"/>
                <w:szCs w:val="21"/>
                <w:highlight w:val="none"/>
              </w:rPr>
              <w:instrText xml:space="preserve"> AUTOTEXT  input446 \* MERGEFORMAT </w:instrText>
            </w:r>
            <w:r>
              <w:rPr>
                <w:rFonts w:cs="Courier New"/>
                <w:color w:val="auto"/>
                <w:sz w:val="21"/>
                <w:szCs w:val="21"/>
                <w:highlight w:val="none"/>
              </w:rPr>
              <w:fldChar w:fldCharType="end"/>
            </w:r>
            <w:r>
              <w:rPr>
                <w:rFonts w:hint="eastAsia" w:cs="Courier New"/>
                <w:color w:val="auto"/>
                <w:sz w:val="21"/>
                <w:szCs w:val="21"/>
                <w:highlight w:val="none"/>
              </w:rPr>
              <w:t>抽签入围</w:t>
            </w:r>
          </w:p>
          <w:p w14:paraId="756CAA3A">
            <w:pPr>
              <w:widowControl w:val="0"/>
              <w:adjustRightInd w:val="0"/>
              <w:snapToGrid w:val="0"/>
              <w:spacing w:line="360" w:lineRule="auto"/>
              <w:ind w:firstLine="1050" w:firstLineChars="500"/>
              <w:jc w:val="both"/>
              <w:rPr>
                <w:rFonts w:cs="Courier New"/>
                <w:color w:val="auto"/>
                <w:sz w:val="21"/>
                <w:szCs w:val="21"/>
                <w:highlight w:val="none"/>
              </w:rPr>
            </w:pPr>
            <w:r>
              <w:rPr>
                <w:rFonts w:hint="eastAsia"/>
                <w:color w:val="auto"/>
                <w:sz w:val="21"/>
                <w:szCs w:val="21"/>
                <w:highlight w:val="none"/>
                <w:lang w:bidi="ar"/>
              </w:rPr>
              <w:t>□</w:t>
            </w:r>
            <w:r>
              <w:rPr>
                <w:rFonts w:cs="Courier New"/>
                <w:color w:val="auto"/>
                <w:sz w:val="21"/>
                <w:szCs w:val="21"/>
                <w:highlight w:val="none"/>
              </w:rPr>
              <w:fldChar w:fldCharType="begin"/>
            </w:r>
            <w:r>
              <w:rPr>
                <w:rFonts w:cs="Courier New"/>
                <w:color w:val="auto"/>
                <w:sz w:val="21"/>
                <w:szCs w:val="21"/>
                <w:highlight w:val="none"/>
              </w:rPr>
              <w:instrText xml:space="preserve"> AUTOTEXT  input447 \* MERGEFORMAT </w:instrText>
            </w:r>
            <w:r>
              <w:rPr>
                <w:rFonts w:cs="Courier New"/>
                <w:color w:val="auto"/>
                <w:sz w:val="21"/>
                <w:szCs w:val="21"/>
                <w:highlight w:val="none"/>
              </w:rPr>
              <w:fldChar w:fldCharType="end"/>
            </w:r>
            <w:r>
              <w:rPr>
                <w:rFonts w:hint="eastAsia" w:cs="Courier New"/>
                <w:color w:val="auto"/>
                <w:sz w:val="21"/>
                <w:szCs w:val="21"/>
                <w:highlight w:val="none"/>
              </w:rPr>
              <w:t>递交投标文件时间靠前者入围</w:t>
            </w:r>
          </w:p>
          <w:p w14:paraId="3A16D5A0">
            <w:pPr>
              <w:widowControl w:val="0"/>
              <w:adjustRightInd w:val="0"/>
              <w:snapToGrid w:val="0"/>
              <w:spacing w:line="360" w:lineRule="auto"/>
              <w:ind w:firstLine="1050" w:firstLineChars="500"/>
              <w:jc w:val="both"/>
              <w:rPr>
                <w:rFonts w:cs="Courier New"/>
                <w:color w:val="auto"/>
                <w:sz w:val="21"/>
                <w:szCs w:val="21"/>
                <w:highlight w:val="none"/>
              </w:rPr>
            </w:pPr>
            <w:r>
              <w:rPr>
                <w:rFonts w:hint="eastAsia"/>
                <w:color w:val="auto"/>
                <w:sz w:val="21"/>
                <w:szCs w:val="21"/>
                <w:highlight w:val="none"/>
                <w:lang w:bidi="ar"/>
              </w:rPr>
              <w:t>□</w:t>
            </w:r>
            <w:r>
              <w:rPr>
                <w:rFonts w:cs="Courier New"/>
                <w:color w:val="auto"/>
                <w:sz w:val="21"/>
                <w:szCs w:val="21"/>
                <w:highlight w:val="none"/>
              </w:rPr>
              <w:fldChar w:fldCharType="begin"/>
            </w:r>
            <w:r>
              <w:rPr>
                <w:rFonts w:cs="Courier New"/>
                <w:color w:val="auto"/>
                <w:sz w:val="21"/>
                <w:szCs w:val="21"/>
                <w:highlight w:val="none"/>
              </w:rPr>
              <w:instrText xml:space="preserve"> AUTOTEXT  input448 \* MERGEFORMAT </w:instrText>
            </w:r>
            <w:r>
              <w:rPr>
                <w:rFonts w:cs="Courier New"/>
                <w:color w:val="auto"/>
                <w:sz w:val="21"/>
                <w:szCs w:val="21"/>
                <w:highlight w:val="none"/>
              </w:rPr>
              <w:fldChar w:fldCharType="end"/>
            </w:r>
            <w:r>
              <w:rPr>
                <w:rFonts w:hint="eastAsia" w:cs="Courier New"/>
                <w:color w:val="auto"/>
                <w:sz w:val="21"/>
                <w:szCs w:val="21"/>
                <w:highlight w:val="none"/>
              </w:rPr>
              <w:t>继续票决，再重票则随机抽签</w:t>
            </w:r>
          </w:p>
          <w:p w14:paraId="0CF4FC25">
            <w:pPr>
              <w:widowControl w:val="0"/>
              <w:adjustRightInd w:val="0"/>
              <w:snapToGrid w:val="0"/>
              <w:spacing w:line="360" w:lineRule="auto"/>
              <w:ind w:firstLine="1050" w:firstLineChars="500"/>
              <w:jc w:val="both"/>
              <w:rPr>
                <w:rFonts w:cs="Courier New"/>
                <w:color w:val="auto"/>
                <w:sz w:val="21"/>
                <w:szCs w:val="21"/>
                <w:highlight w:val="none"/>
              </w:rPr>
            </w:pPr>
            <w:r>
              <w:rPr>
                <w:rFonts w:hint="eastAsia"/>
                <w:color w:val="auto"/>
                <w:sz w:val="21"/>
                <w:szCs w:val="21"/>
                <w:highlight w:val="none"/>
                <w:lang w:bidi="ar"/>
              </w:rPr>
              <w:t>□</w:t>
            </w:r>
            <w:r>
              <w:rPr>
                <w:rFonts w:cs="Courier New"/>
                <w:color w:val="auto"/>
                <w:sz w:val="21"/>
                <w:szCs w:val="21"/>
                <w:highlight w:val="none"/>
              </w:rPr>
              <w:fldChar w:fldCharType="begin"/>
            </w:r>
            <w:r>
              <w:rPr>
                <w:rFonts w:cs="Courier New"/>
                <w:color w:val="auto"/>
                <w:sz w:val="21"/>
                <w:szCs w:val="21"/>
                <w:highlight w:val="none"/>
              </w:rPr>
              <w:instrText xml:space="preserve"> AUTOTEXT  input449 \* MERGEFORMAT </w:instrText>
            </w:r>
            <w:r>
              <w:rPr>
                <w:rFonts w:cs="Courier New"/>
                <w:color w:val="auto"/>
                <w:sz w:val="21"/>
                <w:szCs w:val="21"/>
                <w:highlight w:val="none"/>
              </w:rPr>
              <w:fldChar w:fldCharType="end"/>
            </w:r>
            <w:r>
              <w:rPr>
                <w:rFonts w:hint="eastAsia" w:cs="Courier New"/>
                <w:color w:val="auto"/>
                <w:sz w:val="21"/>
                <w:szCs w:val="21"/>
                <w:highlight w:val="none"/>
              </w:rPr>
              <w:t>继续票决</w:t>
            </w:r>
          </w:p>
          <w:p w14:paraId="7C4A1A27">
            <w:pPr>
              <w:widowControl w:val="0"/>
              <w:adjustRightInd w:val="0"/>
              <w:snapToGrid w:val="0"/>
              <w:spacing w:line="360" w:lineRule="auto"/>
              <w:ind w:firstLine="630" w:firstLineChars="300"/>
              <w:jc w:val="both"/>
              <w:rPr>
                <w:rFonts w:cs="Courier New"/>
                <w:color w:val="auto"/>
                <w:sz w:val="21"/>
                <w:szCs w:val="21"/>
                <w:highlight w:val="none"/>
              </w:rPr>
            </w:pPr>
            <w:r>
              <w:rPr>
                <w:rFonts w:hint="eastAsia"/>
                <w:color w:val="auto"/>
                <w:sz w:val="21"/>
                <w:szCs w:val="21"/>
                <w:highlight w:val="none"/>
                <w:lang w:bidi="ar"/>
              </w:rPr>
              <w:t>□</w:t>
            </w:r>
            <w:r>
              <w:rPr>
                <w:rFonts w:cs="Courier New"/>
                <w:color w:val="auto"/>
                <w:sz w:val="21"/>
                <w:szCs w:val="21"/>
                <w:highlight w:val="none"/>
              </w:rPr>
              <w:fldChar w:fldCharType="begin"/>
            </w:r>
            <w:r>
              <w:rPr>
                <w:rFonts w:cs="Courier New"/>
                <w:color w:val="auto"/>
                <w:sz w:val="21"/>
                <w:szCs w:val="21"/>
                <w:highlight w:val="none"/>
              </w:rPr>
              <w:instrText xml:space="preserve"> AUTOTEXT  input450 \* MERGEFORMAT </w:instrText>
            </w:r>
            <w:r>
              <w:rPr>
                <w:rFonts w:cs="Courier New"/>
                <w:color w:val="auto"/>
                <w:sz w:val="21"/>
                <w:szCs w:val="21"/>
                <w:highlight w:val="none"/>
              </w:rPr>
              <w:fldChar w:fldCharType="end"/>
            </w:r>
            <w:r>
              <w:rPr>
                <w:rFonts w:hint="eastAsia" w:cs="Courier New"/>
                <w:color w:val="auto"/>
                <w:sz w:val="21"/>
                <w:szCs w:val="21"/>
                <w:highlight w:val="none"/>
              </w:rPr>
              <w:t>对比胜出</w:t>
            </w:r>
          </w:p>
        </w:tc>
      </w:tr>
      <w:tr w14:paraId="2F84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92" w:type="pct"/>
            <w:vMerge w:val="continue"/>
            <w:shd w:val="clear" w:color="auto" w:fill="auto"/>
            <w:vAlign w:val="center"/>
          </w:tcPr>
          <w:p w14:paraId="6186AFDE">
            <w:pPr>
              <w:widowControl w:val="0"/>
              <w:adjustRightInd w:val="0"/>
              <w:snapToGrid w:val="0"/>
              <w:spacing w:line="360" w:lineRule="auto"/>
              <w:jc w:val="center"/>
              <w:rPr>
                <w:rFonts w:cs="Courier New"/>
                <w:color w:val="auto"/>
                <w:sz w:val="21"/>
                <w:szCs w:val="21"/>
                <w:highlight w:val="none"/>
              </w:rPr>
            </w:pPr>
          </w:p>
        </w:tc>
        <w:tc>
          <w:tcPr>
            <w:tcW w:w="1283" w:type="pct"/>
            <w:vMerge w:val="continue"/>
            <w:shd w:val="clear" w:color="auto" w:fill="auto"/>
            <w:vAlign w:val="center"/>
          </w:tcPr>
          <w:p w14:paraId="64A6B47C">
            <w:pPr>
              <w:widowControl w:val="0"/>
              <w:adjustRightInd w:val="0"/>
              <w:snapToGrid w:val="0"/>
              <w:spacing w:line="360" w:lineRule="auto"/>
              <w:jc w:val="center"/>
              <w:rPr>
                <w:rFonts w:cs="Courier New"/>
                <w:color w:val="auto"/>
                <w:sz w:val="21"/>
                <w:szCs w:val="21"/>
                <w:highlight w:val="none"/>
              </w:rPr>
            </w:pPr>
          </w:p>
        </w:tc>
        <w:tc>
          <w:tcPr>
            <w:tcW w:w="3223" w:type="pct"/>
            <w:shd w:val="clear" w:color="auto" w:fill="auto"/>
            <w:vAlign w:val="center"/>
          </w:tcPr>
          <w:p w14:paraId="2A2E13B2">
            <w:pPr>
              <w:widowControl w:val="0"/>
              <w:adjustRightInd w:val="0"/>
              <w:snapToGrid w:val="0"/>
              <w:spacing w:line="360" w:lineRule="auto"/>
              <w:jc w:val="both"/>
              <w:rPr>
                <w:rFonts w:cs="Courier New"/>
                <w:color w:val="auto"/>
                <w:sz w:val="21"/>
                <w:szCs w:val="21"/>
                <w:highlight w:val="none"/>
              </w:rPr>
            </w:pPr>
            <w:r>
              <w:rPr>
                <w:rFonts w:hint="eastAsia"/>
                <w:color w:val="auto"/>
                <w:sz w:val="21"/>
                <w:szCs w:val="21"/>
                <w:highlight w:val="none"/>
              </w:rPr>
              <w:t>■</w:t>
            </w:r>
            <w:r>
              <w:rPr>
                <w:rFonts w:cs="Courier New"/>
                <w:color w:val="auto"/>
                <w:sz w:val="21"/>
                <w:szCs w:val="21"/>
                <w:highlight w:val="none"/>
              </w:rPr>
              <w:fldChar w:fldCharType="begin"/>
            </w:r>
            <w:r>
              <w:rPr>
                <w:rFonts w:cs="Courier New"/>
                <w:color w:val="auto"/>
                <w:sz w:val="21"/>
                <w:szCs w:val="21"/>
                <w:highlight w:val="none"/>
              </w:rPr>
              <w:instrText xml:space="preserve"> AUTOTEXT  input563 \* MERGEFORMAT </w:instrText>
            </w:r>
            <w:r>
              <w:rPr>
                <w:rFonts w:cs="Courier New"/>
                <w:color w:val="auto"/>
                <w:sz w:val="21"/>
                <w:szCs w:val="21"/>
                <w:highlight w:val="none"/>
              </w:rPr>
              <w:fldChar w:fldCharType="end"/>
            </w:r>
            <w:r>
              <w:rPr>
                <w:rFonts w:hint="eastAsia" w:cs="Courier New"/>
                <w:color w:val="auto"/>
                <w:sz w:val="21"/>
                <w:szCs w:val="21"/>
                <w:highlight w:val="none"/>
              </w:rPr>
              <w:t>本项目不进行过多投标人淘汰</w:t>
            </w:r>
          </w:p>
        </w:tc>
      </w:tr>
      <w:tr w14:paraId="371A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92" w:type="pct"/>
            <w:shd w:val="clear" w:color="auto" w:fill="auto"/>
            <w:vAlign w:val="center"/>
          </w:tcPr>
          <w:p w14:paraId="125B1DED">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20</w:t>
            </w:r>
          </w:p>
        </w:tc>
        <w:tc>
          <w:tcPr>
            <w:tcW w:w="1283" w:type="pct"/>
            <w:shd w:val="clear" w:color="auto" w:fill="auto"/>
            <w:vAlign w:val="center"/>
          </w:tcPr>
          <w:p w14:paraId="1834F0C2">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评标方法及标准</w:t>
            </w:r>
          </w:p>
        </w:tc>
        <w:tc>
          <w:tcPr>
            <w:tcW w:w="3223" w:type="pct"/>
            <w:shd w:val="clear" w:color="auto" w:fill="auto"/>
            <w:vAlign w:val="center"/>
          </w:tcPr>
          <w:p w14:paraId="6062029F">
            <w:pPr>
              <w:widowControl w:val="0"/>
              <w:adjustRightInd w:val="0"/>
              <w:snapToGrid w:val="0"/>
              <w:spacing w:line="360" w:lineRule="auto"/>
              <w:jc w:val="both"/>
              <w:rPr>
                <w:rFonts w:cs="Courier New"/>
                <w:color w:val="auto"/>
                <w:sz w:val="21"/>
                <w:szCs w:val="21"/>
                <w:highlight w:val="none"/>
              </w:rPr>
            </w:pPr>
            <w:r>
              <w:rPr>
                <w:rFonts w:hint="eastAsia" w:cs="Courier New"/>
                <w:color w:val="auto"/>
                <w:sz w:val="21"/>
                <w:szCs w:val="21"/>
                <w:highlight w:val="none"/>
              </w:rPr>
              <w:t>本</w:t>
            </w:r>
            <w:r>
              <w:rPr>
                <w:rFonts w:cs="Courier New"/>
                <w:color w:val="auto"/>
                <w:sz w:val="21"/>
                <w:szCs w:val="21"/>
                <w:highlight w:val="none"/>
              </w:rPr>
              <w:t>项目无需评标</w:t>
            </w:r>
            <w:r>
              <w:rPr>
                <w:rFonts w:hint="eastAsia" w:cs="Courier New"/>
                <w:color w:val="auto"/>
                <w:sz w:val="21"/>
                <w:szCs w:val="21"/>
                <w:highlight w:val="none"/>
              </w:rPr>
              <w:t>，</w:t>
            </w:r>
            <w:r>
              <w:rPr>
                <w:rFonts w:cs="Courier New"/>
                <w:color w:val="auto"/>
                <w:sz w:val="21"/>
                <w:szCs w:val="21"/>
                <w:highlight w:val="none"/>
              </w:rPr>
              <w:t>相关条款不适用</w:t>
            </w:r>
          </w:p>
        </w:tc>
      </w:tr>
      <w:tr w14:paraId="54E4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15C0D9AE">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21</w:t>
            </w:r>
          </w:p>
        </w:tc>
        <w:tc>
          <w:tcPr>
            <w:tcW w:w="1283" w:type="pct"/>
            <w:shd w:val="clear" w:color="auto" w:fill="auto"/>
            <w:vAlign w:val="center"/>
          </w:tcPr>
          <w:p w14:paraId="10DC4B67">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评标地点</w:t>
            </w:r>
          </w:p>
        </w:tc>
        <w:tc>
          <w:tcPr>
            <w:tcW w:w="3223" w:type="pct"/>
            <w:shd w:val="clear" w:color="auto" w:fill="auto"/>
            <w:vAlign w:val="center"/>
          </w:tcPr>
          <w:p w14:paraId="252CDB98">
            <w:pPr>
              <w:widowControl w:val="0"/>
              <w:adjustRightInd w:val="0"/>
              <w:snapToGrid w:val="0"/>
              <w:spacing w:line="360" w:lineRule="auto"/>
              <w:jc w:val="left"/>
              <w:rPr>
                <w:rFonts w:cs="Courier New"/>
                <w:color w:val="auto"/>
                <w:sz w:val="21"/>
                <w:szCs w:val="21"/>
                <w:highlight w:val="none"/>
              </w:rPr>
            </w:pPr>
            <w:r>
              <w:rPr>
                <w:rFonts w:hint="eastAsia" w:cs="Courier New"/>
                <w:color w:val="auto"/>
                <w:sz w:val="21"/>
                <w:szCs w:val="21"/>
                <w:highlight w:val="none"/>
              </w:rPr>
              <w:t>本</w:t>
            </w:r>
            <w:r>
              <w:rPr>
                <w:rFonts w:cs="Courier New"/>
                <w:color w:val="auto"/>
                <w:sz w:val="21"/>
                <w:szCs w:val="21"/>
                <w:highlight w:val="none"/>
              </w:rPr>
              <w:t>项目无需评标</w:t>
            </w:r>
            <w:r>
              <w:rPr>
                <w:rFonts w:hint="eastAsia" w:cs="Courier New"/>
                <w:color w:val="auto"/>
                <w:sz w:val="21"/>
                <w:szCs w:val="21"/>
                <w:highlight w:val="none"/>
              </w:rPr>
              <w:t>，</w:t>
            </w:r>
            <w:r>
              <w:rPr>
                <w:rFonts w:cs="Courier New"/>
                <w:color w:val="auto"/>
                <w:sz w:val="21"/>
                <w:szCs w:val="21"/>
                <w:highlight w:val="none"/>
              </w:rPr>
              <w:t xml:space="preserve">相关条款不适用       </w:t>
            </w:r>
          </w:p>
        </w:tc>
      </w:tr>
      <w:tr w14:paraId="5B6A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65B847B1">
            <w:pPr>
              <w:widowControl w:val="0"/>
              <w:adjustRightInd w:val="0"/>
              <w:snapToGrid w:val="0"/>
              <w:spacing w:line="360" w:lineRule="auto"/>
              <w:jc w:val="center"/>
              <w:rPr>
                <w:rFonts w:cs="Courier New"/>
                <w:color w:val="auto"/>
                <w:szCs w:val="21"/>
                <w:highlight w:val="none"/>
              </w:rPr>
            </w:pPr>
            <w:r>
              <w:rPr>
                <w:rFonts w:hint="eastAsia" w:cs="Courier New"/>
                <w:color w:val="auto"/>
                <w:szCs w:val="21"/>
                <w:highlight w:val="none"/>
              </w:rPr>
              <w:t>22</w:t>
            </w:r>
          </w:p>
        </w:tc>
        <w:tc>
          <w:tcPr>
            <w:tcW w:w="1283" w:type="pct"/>
            <w:shd w:val="clear" w:color="auto" w:fill="auto"/>
            <w:vAlign w:val="center"/>
          </w:tcPr>
          <w:p w14:paraId="5DB14EE2">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评标委员会</w:t>
            </w:r>
          </w:p>
          <w:p w14:paraId="2C766608">
            <w:pPr>
              <w:widowControl w:val="0"/>
              <w:adjustRightInd w:val="0"/>
              <w:snapToGrid w:val="0"/>
              <w:spacing w:line="360" w:lineRule="auto"/>
              <w:jc w:val="center"/>
              <w:rPr>
                <w:rFonts w:cs="Courier New"/>
                <w:color w:val="auto"/>
                <w:szCs w:val="21"/>
                <w:highlight w:val="none"/>
              </w:rPr>
            </w:pPr>
            <w:r>
              <w:rPr>
                <w:rFonts w:hint="eastAsia" w:cs="Courier New"/>
                <w:color w:val="auto"/>
                <w:sz w:val="21"/>
                <w:szCs w:val="21"/>
                <w:highlight w:val="none"/>
              </w:rPr>
              <w:t>的人员组成</w:t>
            </w:r>
          </w:p>
        </w:tc>
        <w:tc>
          <w:tcPr>
            <w:tcW w:w="3223" w:type="pct"/>
            <w:shd w:val="clear" w:color="auto" w:fill="auto"/>
            <w:vAlign w:val="center"/>
          </w:tcPr>
          <w:p w14:paraId="548B9FCF">
            <w:pPr>
              <w:widowControl w:val="0"/>
              <w:adjustRightInd w:val="0"/>
              <w:snapToGrid w:val="0"/>
              <w:spacing w:line="360" w:lineRule="auto"/>
              <w:jc w:val="left"/>
              <w:rPr>
                <w:rFonts w:cs="Courier New"/>
                <w:color w:val="auto"/>
                <w:sz w:val="21"/>
                <w:szCs w:val="21"/>
                <w:highlight w:val="none"/>
              </w:rPr>
            </w:pPr>
            <w:r>
              <w:rPr>
                <w:rFonts w:hint="eastAsia" w:cs="Courier New"/>
                <w:color w:val="auto"/>
                <w:sz w:val="21"/>
                <w:szCs w:val="21"/>
                <w:highlight w:val="none"/>
              </w:rPr>
              <w:t>本</w:t>
            </w:r>
            <w:r>
              <w:rPr>
                <w:rFonts w:cs="Courier New"/>
                <w:color w:val="auto"/>
                <w:sz w:val="21"/>
                <w:szCs w:val="21"/>
                <w:highlight w:val="none"/>
              </w:rPr>
              <w:t>项目无需评标</w:t>
            </w:r>
            <w:r>
              <w:rPr>
                <w:rFonts w:hint="eastAsia" w:cs="Courier New"/>
                <w:color w:val="auto"/>
                <w:sz w:val="21"/>
                <w:szCs w:val="21"/>
                <w:highlight w:val="none"/>
              </w:rPr>
              <w:t>，</w:t>
            </w:r>
            <w:r>
              <w:rPr>
                <w:rFonts w:cs="Courier New"/>
                <w:color w:val="auto"/>
                <w:sz w:val="21"/>
                <w:szCs w:val="21"/>
                <w:highlight w:val="none"/>
              </w:rPr>
              <w:t xml:space="preserve">相关条款不适用       </w:t>
            </w:r>
          </w:p>
        </w:tc>
      </w:tr>
      <w:tr w14:paraId="34AF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vMerge w:val="restart"/>
            <w:shd w:val="clear" w:color="auto" w:fill="auto"/>
            <w:vAlign w:val="center"/>
          </w:tcPr>
          <w:p w14:paraId="19072329">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23</w:t>
            </w:r>
          </w:p>
        </w:tc>
        <w:tc>
          <w:tcPr>
            <w:tcW w:w="1283" w:type="pct"/>
            <w:vMerge w:val="restart"/>
            <w:shd w:val="clear" w:color="auto" w:fill="auto"/>
            <w:vAlign w:val="center"/>
          </w:tcPr>
          <w:p w14:paraId="42D0814D">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定标方法</w:t>
            </w:r>
          </w:p>
        </w:tc>
        <w:tc>
          <w:tcPr>
            <w:tcW w:w="3223" w:type="pct"/>
            <w:shd w:val="clear" w:color="auto" w:fill="auto"/>
            <w:vAlign w:val="center"/>
          </w:tcPr>
          <w:p w14:paraId="28E066AD">
            <w:pPr>
              <w:widowControl w:val="0"/>
              <w:spacing w:line="360" w:lineRule="auto"/>
              <w:jc w:val="left"/>
              <w:rPr>
                <w:color w:val="auto"/>
                <w:sz w:val="21"/>
                <w:szCs w:val="21"/>
                <w:highlight w:val="none"/>
              </w:rPr>
            </w:pPr>
            <w:r>
              <w:rPr>
                <w:rFonts w:hint="eastAsia"/>
                <w:color w:val="auto"/>
                <w:sz w:val="21"/>
                <w:szCs w:val="21"/>
                <w:highlight w:val="none"/>
              </w:rPr>
              <w:t>■票决定标法</w:t>
            </w:r>
          </w:p>
          <w:p w14:paraId="02245B8D">
            <w:pPr>
              <w:widowControl w:val="0"/>
              <w:adjustRightInd w:val="0"/>
              <w:snapToGrid w:val="0"/>
              <w:spacing w:line="360" w:lineRule="auto"/>
              <w:jc w:val="left"/>
              <w:rPr>
                <w:color w:val="auto"/>
                <w:sz w:val="21"/>
                <w:szCs w:val="21"/>
                <w:highlight w:val="none"/>
              </w:rPr>
            </w:pPr>
            <w:r>
              <w:rPr>
                <w:rFonts w:hint="eastAsia"/>
                <w:color w:val="auto"/>
                <w:sz w:val="21"/>
                <w:szCs w:val="21"/>
                <w:highlight w:val="none"/>
                <w:lang w:bidi="ar"/>
              </w:rPr>
              <w:t>□</w:t>
            </w:r>
            <w:r>
              <w:rPr>
                <w:rFonts w:hint="eastAsia"/>
                <w:color w:val="auto"/>
                <w:sz w:val="21"/>
                <w:szCs w:val="21"/>
                <w:highlight w:val="none"/>
              </w:rPr>
              <w:t>票决抽签定标：票决</w:t>
            </w:r>
            <w:r>
              <w:rPr>
                <w:rFonts w:hint="eastAsia"/>
                <w:color w:val="auto"/>
                <w:sz w:val="21"/>
                <w:szCs w:val="21"/>
                <w:highlight w:val="none"/>
                <w:u w:val="single"/>
                <w:lang w:bidi="ar"/>
              </w:rPr>
              <w:t xml:space="preserve">      </w:t>
            </w:r>
            <w:r>
              <w:rPr>
                <w:rFonts w:hint="eastAsia"/>
                <w:color w:val="auto"/>
                <w:sz w:val="21"/>
                <w:szCs w:val="21"/>
                <w:highlight w:val="none"/>
              </w:rPr>
              <w:t>名投标人后，以随机抽签方式确定中标人。</w:t>
            </w:r>
          </w:p>
          <w:p w14:paraId="5FA7AF0D">
            <w:pPr>
              <w:widowControl w:val="0"/>
              <w:spacing w:line="360" w:lineRule="auto"/>
              <w:jc w:val="both"/>
              <w:rPr>
                <w:color w:val="auto"/>
                <w:sz w:val="21"/>
                <w:szCs w:val="21"/>
                <w:highlight w:val="none"/>
              </w:rPr>
            </w:pPr>
            <w:r>
              <w:rPr>
                <w:rFonts w:hint="eastAsia"/>
                <w:color w:val="auto"/>
                <w:sz w:val="21"/>
                <w:szCs w:val="21"/>
                <w:highlight w:val="none"/>
                <w:lang w:bidi="ar"/>
              </w:rPr>
              <w:t>□</w:t>
            </w:r>
            <w:r>
              <w:rPr>
                <w:rFonts w:hint="eastAsia"/>
                <w:color w:val="auto"/>
                <w:sz w:val="21"/>
                <w:szCs w:val="21"/>
                <w:highlight w:val="none"/>
              </w:rPr>
              <w:t>集体议事法</w:t>
            </w:r>
          </w:p>
          <w:p w14:paraId="786D08A2">
            <w:pPr>
              <w:widowControl w:val="0"/>
              <w:adjustRightInd w:val="0"/>
              <w:snapToGrid w:val="0"/>
              <w:spacing w:line="360" w:lineRule="auto"/>
              <w:jc w:val="left"/>
              <w:rPr>
                <w:color w:val="auto"/>
                <w:sz w:val="21"/>
                <w:szCs w:val="21"/>
                <w:highlight w:val="none"/>
              </w:rPr>
            </w:pPr>
            <w:r>
              <w:rPr>
                <w:rFonts w:hint="eastAsia"/>
                <w:color w:val="auto"/>
                <w:sz w:val="21"/>
                <w:szCs w:val="21"/>
                <w:highlight w:val="none"/>
                <w:lang w:bidi="ar"/>
              </w:rPr>
              <w:t>□</w:t>
            </w:r>
            <w:r>
              <w:rPr>
                <w:rFonts w:hint="eastAsia"/>
                <w:color w:val="auto"/>
                <w:sz w:val="21"/>
                <w:szCs w:val="21"/>
                <w:highlight w:val="none"/>
              </w:rPr>
              <w:t>价格法  确定中标人价格的方式：</w:t>
            </w:r>
            <w:r>
              <w:rPr>
                <w:rFonts w:hint="eastAsia"/>
                <w:color w:val="auto"/>
                <w:sz w:val="21"/>
                <w:szCs w:val="21"/>
                <w:highlight w:val="none"/>
                <w:u w:val="single"/>
                <w:lang w:bidi="ar"/>
              </w:rPr>
              <w:t xml:space="preserve">      </w:t>
            </w:r>
          </w:p>
          <w:p w14:paraId="331B2AE0">
            <w:pPr>
              <w:widowControl w:val="0"/>
              <w:adjustRightInd w:val="0"/>
              <w:snapToGrid w:val="0"/>
              <w:spacing w:line="360" w:lineRule="auto"/>
              <w:jc w:val="left"/>
              <w:rPr>
                <w:rFonts w:cs="Courier New"/>
                <w:color w:val="auto"/>
                <w:sz w:val="21"/>
                <w:szCs w:val="21"/>
                <w:highlight w:val="none"/>
              </w:rPr>
            </w:pPr>
            <w:r>
              <w:rPr>
                <w:rFonts w:hint="eastAsia"/>
                <w:color w:val="auto"/>
                <w:sz w:val="21"/>
                <w:szCs w:val="21"/>
                <w:highlight w:val="none"/>
                <w:lang w:bidi="ar"/>
              </w:rPr>
              <w:t>□</w:t>
            </w:r>
            <w:r>
              <w:rPr>
                <w:rFonts w:hint="eastAsia"/>
                <w:color w:val="auto"/>
                <w:sz w:val="21"/>
                <w:szCs w:val="21"/>
                <w:highlight w:val="none"/>
              </w:rPr>
              <w:t>其它方法：</w:t>
            </w:r>
            <w:r>
              <w:rPr>
                <w:rFonts w:hint="eastAsia"/>
                <w:color w:val="auto"/>
                <w:sz w:val="21"/>
                <w:szCs w:val="21"/>
                <w:highlight w:val="none"/>
                <w:u w:val="single"/>
                <w:lang w:bidi="ar"/>
              </w:rPr>
              <w:t xml:space="preserve">      </w:t>
            </w:r>
          </w:p>
        </w:tc>
      </w:tr>
      <w:tr w14:paraId="1080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vMerge w:val="continue"/>
            <w:shd w:val="clear" w:color="auto" w:fill="auto"/>
            <w:vAlign w:val="center"/>
          </w:tcPr>
          <w:p w14:paraId="7D4306CB">
            <w:pPr>
              <w:widowControl w:val="0"/>
              <w:adjustRightInd w:val="0"/>
              <w:snapToGrid w:val="0"/>
              <w:spacing w:line="360" w:lineRule="auto"/>
              <w:jc w:val="center"/>
              <w:rPr>
                <w:rFonts w:cs="Courier New"/>
                <w:color w:val="auto"/>
                <w:sz w:val="21"/>
                <w:szCs w:val="21"/>
                <w:highlight w:val="none"/>
              </w:rPr>
            </w:pPr>
          </w:p>
        </w:tc>
        <w:tc>
          <w:tcPr>
            <w:tcW w:w="1283" w:type="pct"/>
            <w:vMerge w:val="continue"/>
            <w:shd w:val="clear" w:color="auto" w:fill="auto"/>
            <w:vAlign w:val="center"/>
          </w:tcPr>
          <w:p w14:paraId="6A410BFA">
            <w:pPr>
              <w:widowControl w:val="0"/>
              <w:adjustRightInd w:val="0"/>
              <w:snapToGrid w:val="0"/>
              <w:spacing w:line="360" w:lineRule="auto"/>
              <w:jc w:val="center"/>
              <w:rPr>
                <w:rFonts w:cs="Courier New"/>
                <w:color w:val="auto"/>
                <w:sz w:val="21"/>
                <w:szCs w:val="21"/>
                <w:highlight w:val="none"/>
              </w:rPr>
            </w:pPr>
          </w:p>
        </w:tc>
        <w:tc>
          <w:tcPr>
            <w:tcW w:w="3223" w:type="pct"/>
            <w:shd w:val="clear" w:color="auto" w:fill="auto"/>
            <w:vAlign w:val="center"/>
          </w:tcPr>
          <w:p w14:paraId="42FE3E21">
            <w:pPr>
              <w:widowControl w:val="0"/>
              <w:jc w:val="both"/>
              <w:rPr>
                <w:color w:val="auto"/>
                <w:sz w:val="21"/>
                <w:szCs w:val="21"/>
                <w:highlight w:val="none"/>
              </w:rPr>
            </w:pPr>
            <w:r>
              <w:rPr>
                <w:rFonts w:hint="eastAsia"/>
                <w:color w:val="auto"/>
                <w:sz w:val="21"/>
                <w:szCs w:val="21"/>
                <w:highlight w:val="none"/>
              </w:rPr>
              <w:t>票决定标方式：</w:t>
            </w:r>
          </w:p>
          <w:p w14:paraId="565F80D2">
            <w:pPr>
              <w:widowControl w:val="0"/>
              <w:ind w:firstLine="420" w:firstLineChars="200"/>
              <w:jc w:val="both"/>
              <w:rPr>
                <w:color w:val="auto"/>
                <w:sz w:val="21"/>
                <w:szCs w:val="21"/>
                <w:highlight w:val="none"/>
              </w:rPr>
            </w:pPr>
            <w:r>
              <w:rPr>
                <w:rFonts w:hint="eastAsia"/>
                <w:color w:val="auto"/>
                <w:sz w:val="21"/>
                <w:szCs w:val="21"/>
                <w:highlight w:val="none"/>
              </w:rPr>
              <w:t xml:space="preserve">■直接票决    </w:t>
            </w:r>
            <w:r>
              <w:rPr>
                <w:rFonts w:hint="eastAsia"/>
                <w:color w:val="auto"/>
                <w:sz w:val="21"/>
                <w:szCs w:val="21"/>
                <w:highlight w:val="none"/>
                <w:lang w:bidi="ar"/>
              </w:rPr>
              <w:t>□</w:t>
            </w:r>
            <w:r>
              <w:rPr>
                <w:rFonts w:hint="eastAsia"/>
                <w:color w:val="auto"/>
                <w:sz w:val="21"/>
                <w:szCs w:val="21"/>
                <w:highlight w:val="none"/>
              </w:rPr>
              <w:t>逐轮票决</w:t>
            </w:r>
          </w:p>
          <w:p w14:paraId="55E452F3">
            <w:pPr>
              <w:widowControl w:val="0"/>
              <w:adjustRightInd w:val="0"/>
              <w:snapToGrid w:val="0"/>
              <w:spacing w:line="360" w:lineRule="auto"/>
              <w:jc w:val="both"/>
              <w:rPr>
                <w:color w:val="auto"/>
                <w:sz w:val="21"/>
                <w:szCs w:val="21"/>
                <w:highlight w:val="none"/>
              </w:rPr>
            </w:pPr>
            <w:r>
              <w:rPr>
                <w:rFonts w:hint="eastAsia"/>
                <w:color w:val="auto"/>
                <w:sz w:val="21"/>
                <w:szCs w:val="21"/>
                <w:highlight w:val="none"/>
              </w:rPr>
              <w:t>票决定标计算规则：</w:t>
            </w:r>
          </w:p>
          <w:p w14:paraId="7F9E37E2">
            <w:pPr>
              <w:widowControl w:val="0"/>
              <w:spacing w:before="97" w:beforeLines="30" w:line="312" w:lineRule="auto"/>
              <w:ind w:firstLine="420" w:firstLineChars="200"/>
              <w:jc w:val="both"/>
              <w:rPr>
                <w:color w:val="auto"/>
                <w:sz w:val="21"/>
                <w:szCs w:val="21"/>
                <w:highlight w:val="none"/>
              </w:rPr>
            </w:pPr>
            <w:r>
              <w:rPr>
                <w:rFonts w:hint="eastAsia"/>
                <w:color w:val="auto"/>
                <w:sz w:val="21"/>
                <w:szCs w:val="21"/>
                <w:highlight w:val="none"/>
                <w:lang w:bidi="ar"/>
              </w:rPr>
              <w:t>□</w:t>
            </w:r>
            <w:r>
              <w:rPr>
                <w:rFonts w:hint="eastAsia"/>
                <w:color w:val="auto"/>
                <w:sz w:val="21"/>
                <w:szCs w:val="21"/>
                <w:highlight w:val="none"/>
              </w:rPr>
              <w:t xml:space="preserve">简单多数 </w:t>
            </w:r>
          </w:p>
          <w:p w14:paraId="5E3A98FF">
            <w:pPr>
              <w:widowControl w:val="0"/>
              <w:ind w:firstLine="420" w:firstLineChars="200"/>
              <w:jc w:val="both"/>
              <w:rPr>
                <w:color w:val="auto"/>
                <w:sz w:val="21"/>
                <w:szCs w:val="21"/>
                <w:highlight w:val="none"/>
              </w:rPr>
            </w:pPr>
            <w:r>
              <w:rPr>
                <w:rFonts w:hint="eastAsia"/>
                <w:color w:val="auto"/>
                <w:sz w:val="21"/>
                <w:szCs w:val="21"/>
                <w:highlight w:val="none"/>
              </w:rPr>
              <w:t>当出现并列情况影响投票结果时，对并列投标人采取如下方式确定：</w:t>
            </w:r>
          </w:p>
          <w:p w14:paraId="3BD8B5C2">
            <w:pPr>
              <w:widowControl w:val="0"/>
              <w:ind w:firstLine="840" w:firstLineChars="400"/>
              <w:jc w:val="both"/>
              <w:rPr>
                <w:color w:val="auto"/>
                <w:sz w:val="21"/>
                <w:szCs w:val="21"/>
                <w:highlight w:val="none"/>
              </w:rPr>
            </w:pPr>
            <w:r>
              <w:rPr>
                <w:rFonts w:hint="eastAsia"/>
                <w:color w:val="auto"/>
                <w:sz w:val="21"/>
                <w:szCs w:val="21"/>
                <w:highlight w:val="none"/>
                <w:lang w:bidi="ar"/>
              </w:rPr>
              <w:t>□</w:t>
            </w:r>
            <w:r>
              <w:rPr>
                <w:rFonts w:hint="eastAsia"/>
                <w:color w:val="auto"/>
                <w:sz w:val="21"/>
                <w:szCs w:val="21"/>
                <w:highlight w:val="none"/>
              </w:rPr>
              <w:t>抽签</w:t>
            </w:r>
          </w:p>
          <w:p w14:paraId="5BEF3FE3">
            <w:pPr>
              <w:widowControl w:val="0"/>
              <w:ind w:firstLine="840" w:firstLineChars="400"/>
              <w:jc w:val="both"/>
              <w:rPr>
                <w:color w:val="auto"/>
                <w:sz w:val="21"/>
                <w:szCs w:val="21"/>
                <w:highlight w:val="none"/>
              </w:rPr>
            </w:pPr>
            <w:r>
              <w:rPr>
                <w:rFonts w:hint="eastAsia"/>
                <w:color w:val="auto"/>
                <w:sz w:val="21"/>
                <w:szCs w:val="21"/>
                <w:highlight w:val="none"/>
                <w:lang w:bidi="ar"/>
              </w:rPr>
              <w:t>□</w:t>
            </w:r>
            <w:r>
              <w:rPr>
                <w:rFonts w:hint="eastAsia"/>
                <w:color w:val="auto"/>
                <w:sz w:val="21"/>
                <w:szCs w:val="21"/>
                <w:highlight w:val="none"/>
              </w:rPr>
              <w:t>递交投标文件时间靠前者入围</w:t>
            </w:r>
          </w:p>
          <w:p w14:paraId="401422FE">
            <w:pPr>
              <w:widowControl w:val="0"/>
              <w:spacing w:before="97" w:beforeLines="30" w:line="312" w:lineRule="auto"/>
              <w:ind w:firstLine="840" w:firstLineChars="400"/>
              <w:jc w:val="both"/>
              <w:rPr>
                <w:color w:val="auto"/>
                <w:sz w:val="21"/>
                <w:szCs w:val="21"/>
                <w:highlight w:val="none"/>
              </w:rPr>
            </w:pPr>
            <w:r>
              <w:rPr>
                <w:rFonts w:hint="eastAsia"/>
                <w:color w:val="auto"/>
                <w:sz w:val="21"/>
                <w:szCs w:val="21"/>
                <w:highlight w:val="none"/>
              </w:rPr>
              <w:t>□继续票决，再重票则随机抽签</w:t>
            </w:r>
          </w:p>
          <w:p w14:paraId="5C1F39FF">
            <w:pPr>
              <w:widowControl w:val="0"/>
              <w:ind w:firstLine="840" w:firstLineChars="400"/>
              <w:jc w:val="both"/>
              <w:rPr>
                <w:color w:val="auto"/>
                <w:sz w:val="21"/>
                <w:szCs w:val="21"/>
                <w:highlight w:val="none"/>
              </w:rPr>
            </w:pPr>
            <w:r>
              <w:rPr>
                <w:rFonts w:hint="eastAsia"/>
                <w:color w:val="auto"/>
                <w:sz w:val="21"/>
                <w:szCs w:val="21"/>
                <w:highlight w:val="none"/>
                <w:lang w:bidi="ar"/>
              </w:rPr>
              <w:t>□</w:t>
            </w:r>
            <w:r>
              <w:rPr>
                <w:rFonts w:hint="eastAsia"/>
                <w:color w:val="auto"/>
                <w:sz w:val="21"/>
                <w:szCs w:val="21"/>
                <w:highlight w:val="none"/>
              </w:rPr>
              <w:t>继续票决</w:t>
            </w:r>
          </w:p>
          <w:p w14:paraId="7F023067">
            <w:pPr>
              <w:widowControl w:val="0"/>
              <w:adjustRightInd w:val="0"/>
              <w:snapToGrid w:val="0"/>
              <w:spacing w:line="360" w:lineRule="auto"/>
              <w:ind w:firstLine="420" w:firstLineChars="200"/>
              <w:jc w:val="both"/>
              <w:rPr>
                <w:color w:val="auto"/>
                <w:sz w:val="21"/>
                <w:szCs w:val="21"/>
                <w:highlight w:val="none"/>
              </w:rPr>
            </w:pPr>
            <w:r>
              <w:rPr>
                <w:rFonts w:hint="eastAsia"/>
                <w:color w:val="auto"/>
                <w:sz w:val="21"/>
                <w:szCs w:val="21"/>
                <w:highlight w:val="none"/>
              </w:rPr>
              <w:t>■简单多数（且过半数）</w:t>
            </w:r>
          </w:p>
          <w:p w14:paraId="3D2E5727">
            <w:pPr>
              <w:widowControl w:val="0"/>
              <w:adjustRightInd w:val="0"/>
              <w:snapToGrid w:val="0"/>
              <w:spacing w:line="360" w:lineRule="auto"/>
              <w:jc w:val="both"/>
              <w:rPr>
                <w:color w:val="auto"/>
                <w:sz w:val="21"/>
                <w:szCs w:val="21"/>
                <w:highlight w:val="none"/>
              </w:rPr>
            </w:pPr>
            <w:r>
              <w:rPr>
                <w:rFonts w:hint="eastAsia"/>
                <w:color w:val="auto"/>
                <w:sz w:val="21"/>
                <w:szCs w:val="21"/>
                <w:highlight w:val="none"/>
              </w:rPr>
              <w:t>□对比胜出</w:t>
            </w:r>
          </w:p>
        </w:tc>
      </w:tr>
      <w:tr w14:paraId="41B0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492" w:type="pct"/>
            <w:shd w:val="clear" w:color="auto" w:fill="auto"/>
            <w:vAlign w:val="center"/>
          </w:tcPr>
          <w:p w14:paraId="698A500A">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24</w:t>
            </w:r>
          </w:p>
        </w:tc>
        <w:tc>
          <w:tcPr>
            <w:tcW w:w="1283" w:type="pct"/>
            <w:shd w:val="clear" w:color="auto" w:fill="auto"/>
            <w:vAlign w:val="center"/>
          </w:tcPr>
          <w:p w14:paraId="27E69491">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履约担保</w:t>
            </w:r>
          </w:p>
        </w:tc>
        <w:tc>
          <w:tcPr>
            <w:tcW w:w="3223" w:type="pct"/>
            <w:shd w:val="clear" w:color="auto" w:fill="auto"/>
            <w:vAlign w:val="center"/>
          </w:tcPr>
          <w:p w14:paraId="5E503ACA">
            <w:pPr>
              <w:widowControl w:val="0"/>
              <w:adjustRightInd w:val="0"/>
              <w:snapToGrid w:val="0"/>
              <w:spacing w:line="360" w:lineRule="auto"/>
              <w:jc w:val="left"/>
              <w:rPr>
                <w:color w:val="auto"/>
                <w:sz w:val="21"/>
                <w:szCs w:val="21"/>
                <w:highlight w:val="none"/>
              </w:rPr>
            </w:pPr>
            <w:r>
              <w:rPr>
                <w:rFonts w:hint="eastAsia"/>
                <w:color w:val="auto"/>
                <w:sz w:val="21"/>
                <w:szCs w:val="21"/>
                <w:highlight w:val="none"/>
              </w:rPr>
              <w:t>金额：</w:t>
            </w:r>
            <w:r>
              <w:rPr>
                <w:rFonts w:hint="eastAsia"/>
                <w:color w:val="auto"/>
                <w:sz w:val="21"/>
                <w:szCs w:val="21"/>
                <w:highlight w:val="none"/>
                <w:u w:val="single"/>
                <w:lang w:bidi="ar"/>
              </w:rPr>
              <w:t xml:space="preserve">   /   </w:t>
            </w:r>
          </w:p>
          <w:p w14:paraId="450367C3">
            <w:pPr>
              <w:widowControl w:val="0"/>
              <w:adjustRightInd w:val="0"/>
              <w:snapToGrid w:val="0"/>
              <w:spacing w:line="360" w:lineRule="auto"/>
              <w:jc w:val="left"/>
              <w:rPr>
                <w:color w:val="auto"/>
                <w:sz w:val="21"/>
                <w:szCs w:val="21"/>
                <w:highlight w:val="none"/>
              </w:rPr>
            </w:pPr>
            <w:r>
              <w:rPr>
                <w:rFonts w:hint="eastAsia"/>
                <w:color w:val="auto"/>
                <w:sz w:val="21"/>
                <w:szCs w:val="21"/>
                <w:highlight w:val="none"/>
              </w:rPr>
              <w:t>担保形式：</w:t>
            </w:r>
          </w:p>
          <w:p w14:paraId="74227210">
            <w:pPr>
              <w:widowControl w:val="0"/>
              <w:adjustRightInd w:val="0"/>
              <w:snapToGrid w:val="0"/>
              <w:spacing w:line="360" w:lineRule="auto"/>
              <w:jc w:val="both"/>
              <w:rPr>
                <w:rFonts w:cs="Courier New"/>
                <w:color w:val="auto"/>
                <w:sz w:val="21"/>
                <w:szCs w:val="21"/>
                <w:highlight w:val="none"/>
              </w:rPr>
            </w:pPr>
            <w:r>
              <w:rPr>
                <w:rFonts w:hint="eastAsia"/>
                <w:color w:val="auto"/>
                <w:sz w:val="21"/>
                <w:szCs w:val="21"/>
                <w:highlight w:val="none"/>
              </w:rPr>
              <w:t xml:space="preserve"> </w:t>
            </w:r>
            <w:r>
              <w:rPr>
                <w:color w:val="auto"/>
                <w:highlight w:val="none"/>
              </w:rPr>
              <w:t>□</w:t>
            </w:r>
            <w:r>
              <w:rPr>
                <w:rFonts w:hint="eastAsia"/>
                <w:color w:val="auto"/>
                <w:sz w:val="21"/>
                <w:szCs w:val="21"/>
                <w:highlight w:val="none"/>
              </w:rPr>
              <w:t xml:space="preserve">银行保函 </w:t>
            </w:r>
            <w:r>
              <w:rPr>
                <w:color w:val="auto"/>
                <w:highlight w:val="none"/>
              </w:rPr>
              <w:t>□</w:t>
            </w:r>
            <w:r>
              <w:rPr>
                <w:rFonts w:hint="eastAsia"/>
                <w:color w:val="auto"/>
                <w:sz w:val="21"/>
                <w:szCs w:val="21"/>
                <w:highlight w:val="none"/>
              </w:rPr>
              <w:t xml:space="preserve">保证保险 </w:t>
            </w:r>
            <w:r>
              <w:rPr>
                <w:color w:val="auto"/>
                <w:highlight w:val="none"/>
              </w:rPr>
              <w:t>□</w:t>
            </w:r>
            <w:r>
              <w:rPr>
                <w:rFonts w:hint="eastAsia"/>
                <w:color w:val="auto"/>
                <w:sz w:val="21"/>
                <w:szCs w:val="21"/>
                <w:highlight w:val="none"/>
              </w:rPr>
              <w:t>专业工程担保公司担保</w:t>
            </w:r>
          </w:p>
        </w:tc>
      </w:tr>
      <w:tr w14:paraId="1DA1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92" w:type="pct"/>
            <w:vMerge w:val="restart"/>
            <w:shd w:val="clear" w:color="auto" w:fill="auto"/>
            <w:vAlign w:val="center"/>
          </w:tcPr>
          <w:p w14:paraId="5683BE60">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25</w:t>
            </w:r>
          </w:p>
        </w:tc>
        <w:tc>
          <w:tcPr>
            <w:tcW w:w="1283" w:type="pct"/>
            <w:vMerge w:val="restart"/>
            <w:shd w:val="clear" w:color="auto" w:fill="auto"/>
            <w:vAlign w:val="center"/>
          </w:tcPr>
          <w:p w14:paraId="5D55EECE">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支付担保</w:t>
            </w:r>
          </w:p>
        </w:tc>
        <w:tc>
          <w:tcPr>
            <w:tcW w:w="3223" w:type="pct"/>
            <w:shd w:val="clear" w:color="auto" w:fill="auto"/>
            <w:vAlign w:val="center"/>
          </w:tcPr>
          <w:p w14:paraId="2CB6051C">
            <w:pPr>
              <w:widowControl w:val="0"/>
              <w:adjustRightInd w:val="0"/>
              <w:snapToGrid w:val="0"/>
              <w:spacing w:line="360" w:lineRule="auto"/>
              <w:jc w:val="both"/>
              <w:rPr>
                <w:rFonts w:cs="Courier New"/>
                <w:color w:val="auto"/>
                <w:sz w:val="21"/>
                <w:szCs w:val="21"/>
                <w:highlight w:val="none"/>
              </w:rPr>
            </w:pPr>
            <w:r>
              <w:rPr>
                <w:rFonts w:hint="eastAsia" w:cs="Courier New"/>
                <w:color w:val="auto"/>
                <w:sz w:val="21"/>
                <w:szCs w:val="21"/>
                <w:highlight w:val="none"/>
              </w:rPr>
              <w:t>金额：</w:t>
            </w:r>
            <w:r>
              <w:rPr>
                <w:rFonts w:hint="eastAsia"/>
                <w:color w:val="auto"/>
                <w:highlight w:val="none"/>
                <w:u w:val="single"/>
              </w:rPr>
              <w:t>/</w:t>
            </w:r>
            <w:r>
              <w:rPr>
                <w:rFonts w:cs="Courier New"/>
                <w:color w:val="auto"/>
                <w:sz w:val="21"/>
                <w:szCs w:val="21"/>
                <w:highlight w:val="none"/>
                <w:u w:val="single"/>
              </w:rPr>
              <w:fldChar w:fldCharType="begin"/>
            </w:r>
            <w:r>
              <w:rPr>
                <w:rFonts w:cs="Courier New"/>
                <w:color w:val="auto"/>
                <w:sz w:val="21"/>
                <w:szCs w:val="21"/>
                <w:highlight w:val="none"/>
                <w:u w:val="single"/>
              </w:rPr>
              <w:instrText xml:space="preserve"> </w:instrText>
            </w:r>
            <w:r>
              <w:rPr>
                <w:rFonts w:hint="eastAsia" w:cs="Courier New"/>
                <w:color w:val="auto"/>
                <w:sz w:val="21"/>
                <w:szCs w:val="21"/>
                <w:highlight w:val="none"/>
                <w:u w:val="single"/>
              </w:rPr>
              <w:instrText xml:space="preserve">AUTOTEXT  input440 \* MERGEFORMAT</w:instrText>
            </w:r>
            <w:r>
              <w:rPr>
                <w:rFonts w:cs="Courier New"/>
                <w:color w:val="auto"/>
                <w:sz w:val="21"/>
                <w:szCs w:val="21"/>
                <w:highlight w:val="none"/>
                <w:u w:val="single"/>
              </w:rPr>
              <w:instrText xml:space="preserve"> </w:instrText>
            </w:r>
            <w:r>
              <w:rPr>
                <w:rFonts w:cs="Courier New"/>
                <w:color w:val="auto"/>
                <w:sz w:val="21"/>
                <w:szCs w:val="21"/>
                <w:highlight w:val="none"/>
                <w:u w:val="single"/>
              </w:rPr>
              <w:fldChar w:fldCharType="end"/>
            </w:r>
            <w:r>
              <w:rPr>
                <w:rFonts w:cs="Courier New"/>
                <w:color w:val="auto"/>
                <w:sz w:val="21"/>
                <w:szCs w:val="21"/>
                <w:highlight w:val="none"/>
              </w:rPr>
              <w:t>万元</w:t>
            </w:r>
          </w:p>
        </w:tc>
      </w:tr>
      <w:tr w14:paraId="5CF4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2" w:type="pct"/>
            <w:vMerge w:val="continue"/>
            <w:shd w:val="clear" w:color="auto" w:fill="auto"/>
            <w:vAlign w:val="center"/>
          </w:tcPr>
          <w:p w14:paraId="01D37657">
            <w:pPr>
              <w:widowControl w:val="0"/>
              <w:adjustRightInd w:val="0"/>
              <w:snapToGrid w:val="0"/>
              <w:spacing w:line="360" w:lineRule="auto"/>
              <w:jc w:val="center"/>
              <w:rPr>
                <w:rFonts w:cs="Courier New"/>
                <w:color w:val="auto"/>
                <w:sz w:val="21"/>
                <w:szCs w:val="21"/>
                <w:highlight w:val="none"/>
              </w:rPr>
            </w:pPr>
          </w:p>
        </w:tc>
        <w:tc>
          <w:tcPr>
            <w:tcW w:w="1283" w:type="pct"/>
            <w:vMerge w:val="continue"/>
            <w:shd w:val="clear" w:color="auto" w:fill="auto"/>
            <w:vAlign w:val="center"/>
          </w:tcPr>
          <w:p w14:paraId="5524D1B2">
            <w:pPr>
              <w:widowControl w:val="0"/>
              <w:adjustRightInd w:val="0"/>
              <w:snapToGrid w:val="0"/>
              <w:spacing w:line="360" w:lineRule="auto"/>
              <w:jc w:val="center"/>
              <w:rPr>
                <w:rFonts w:cs="Courier New"/>
                <w:color w:val="auto"/>
                <w:sz w:val="21"/>
                <w:szCs w:val="21"/>
                <w:highlight w:val="none"/>
              </w:rPr>
            </w:pPr>
          </w:p>
        </w:tc>
        <w:tc>
          <w:tcPr>
            <w:tcW w:w="3223" w:type="pct"/>
            <w:shd w:val="clear" w:color="auto" w:fill="auto"/>
            <w:vAlign w:val="center"/>
          </w:tcPr>
          <w:p w14:paraId="13601FD3">
            <w:pPr>
              <w:widowControl w:val="0"/>
              <w:adjustRightInd w:val="0"/>
              <w:snapToGrid w:val="0"/>
              <w:spacing w:line="360" w:lineRule="auto"/>
              <w:jc w:val="both"/>
              <w:rPr>
                <w:rFonts w:cs="Courier New"/>
                <w:color w:val="auto"/>
                <w:sz w:val="21"/>
                <w:szCs w:val="21"/>
                <w:highlight w:val="none"/>
              </w:rPr>
            </w:pPr>
            <w:r>
              <w:rPr>
                <w:rFonts w:hint="eastAsia" w:cs="Courier New"/>
                <w:color w:val="auto"/>
                <w:sz w:val="21"/>
                <w:szCs w:val="21"/>
                <w:highlight w:val="none"/>
              </w:rPr>
              <w:t>担保形式：</w:t>
            </w:r>
          </w:p>
          <w:p w14:paraId="3E8AA736">
            <w:pPr>
              <w:widowControl w:val="0"/>
              <w:adjustRightInd w:val="0"/>
              <w:snapToGrid w:val="0"/>
              <w:spacing w:line="360" w:lineRule="auto"/>
              <w:jc w:val="both"/>
              <w:rPr>
                <w:rFonts w:cs="Courier New"/>
                <w:color w:val="auto"/>
                <w:sz w:val="21"/>
                <w:szCs w:val="21"/>
                <w:highlight w:val="none"/>
              </w:rPr>
            </w:pPr>
            <w:r>
              <w:rPr>
                <w:color w:val="auto"/>
                <w:highlight w:val="none"/>
              </w:rPr>
              <w:t>□</w:t>
            </w:r>
            <w:r>
              <w:rPr>
                <w:rFonts w:cs="Courier New"/>
                <w:color w:val="auto"/>
                <w:sz w:val="21"/>
                <w:szCs w:val="21"/>
                <w:highlight w:val="none"/>
              </w:rPr>
              <w:fldChar w:fldCharType="begin"/>
            </w:r>
            <w:r>
              <w:rPr>
                <w:rFonts w:cs="Courier New"/>
                <w:color w:val="auto"/>
                <w:sz w:val="21"/>
                <w:szCs w:val="21"/>
                <w:highlight w:val="none"/>
              </w:rPr>
              <w:instrText xml:space="preserve"> </w:instrText>
            </w:r>
            <w:r>
              <w:rPr>
                <w:rFonts w:hint="eastAsia" w:cs="Courier New"/>
                <w:color w:val="auto"/>
                <w:sz w:val="21"/>
                <w:szCs w:val="21"/>
                <w:highlight w:val="none"/>
              </w:rPr>
              <w:instrText xml:space="preserve">AUTOTEXT  input441 \* MERGEFORMAT</w:instrText>
            </w:r>
            <w:r>
              <w:rPr>
                <w:rFonts w:cs="Courier New"/>
                <w:color w:val="auto"/>
                <w:sz w:val="21"/>
                <w:szCs w:val="21"/>
                <w:highlight w:val="none"/>
              </w:rPr>
              <w:instrText xml:space="preserve"> </w:instrText>
            </w:r>
            <w:r>
              <w:rPr>
                <w:rFonts w:cs="Courier New"/>
                <w:color w:val="auto"/>
                <w:sz w:val="21"/>
                <w:szCs w:val="21"/>
                <w:highlight w:val="none"/>
              </w:rPr>
              <w:fldChar w:fldCharType="end"/>
            </w:r>
            <w:r>
              <w:rPr>
                <w:rFonts w:hint="eastAsia" w:cs="Courier New"/>
                <w:color w:val="auto"/>
                <w:sz w:val="21"/>
                <w:szCs w:val="21"/>
                <w:highlight w:val="none"/>
              </w:rPr>
              <w:t xml:space="preserve">银行保函 </w:t>
            </w:r>
            <w:r>
              <w:rPr>
                <w:color w:val="auto"/>
                <w:highlight w:val="none"/>
              </w:rPr>
              <w:t>□</w:t>
            </w:r>
            <w:r>
              <w:rPr>
                <w:rFonts w:cs="Courier New"/>
                <w:color w:val="auto"/>
                <w:sz w:val="21"/>
                <w:szCs w:val="21"/>
                <w:highlight w:val="none"/>
              </w:rPr>
              <w:fldChar w:fldCharType="begin"/>
            </w:r>
            <w:r>
              <w:rPr>
                <w:rFonts w:cs="Courier New"/>
                <w:color w:val="auto"/>
                <w:sz w:val="21"/>
                <w:szCs w:val="21"/>
                <w:highlight w:val="none"/>
              </w:rPr>
              <w:instrText xml:space="preserve"> </w:instrText>
            </w:r>
            <w:r>
              <w:rPr>
                <w:rFonts w:hint="eastAsia" w:cs="Courier New"/>
                <w:color w:val="auto"/>
                <w:sz w:val="21"/>
                <w:szCs w:val="21"/>
                <w:highlight w:val="none"/>
              </w:rPr>
              <w:instrText xml:space="preserve">AUTOTEXT  input573 \* MERGEFORMAT</w:instrText>
            </w:r>
            <w:r>
              <w:rPr>
                <w:rFonts w:cs="Courier New"/>
                <w:color w:val="auto"/>
                <w:sz w:val="21"/>
                <w:szCs w:val="21"/>
                <w:highlight w:val="none"/>
              </w:rPr>
              <w:instrText xml:space="preserve"> </w:instrText>
            </w:r>
            <w:r>
              <w:rPr>
                <w:rFonts w:cs="Courier New"/>
                <w:color w:val="auto"/>
                <w:sz w:val="21"/>
                <w:szCs w:val="21"/>
                <w:highlight w:val="none"/>
              </w:rPr>
              <w:fldChar w:fldCharType="end"/>
            </w:r>
            <w:r>
              <w:rPr>
                <w:rFonts w:hint="eastAsia" w:cs="Courier New"/>
                <w:color w:val="auto"/>
                <w:sz w:val="21"/>
                <w:szCs w:val="21"/>
                <w:highlight w:val="none"/>
              </w:rPr>
              <w:t>保证保险</w:t>
            </w:r>
            <w:r>
              <w:rPr>
                <w:rFonts w:cs="Courier New"/>
                <w:color w:val="auto"/>
                <w:sz w:val="21"/>
                <w:szCs w:val="21"/>
                <w:highlight w:val="none"/>
              </w:rPr>
              <w:t xml:space="preserve"> </w:t>
            </w:r>
            <w:r>
              <w:rPr>
                <w:color w:val="auto"/>
                <w:highlight w:val="none"/>
              </w:rPr>
              <w:t>□</w:t>
            </w:r>
            <w:r>
              <w:rPr>
                <w:rFonts w:cs="Courier New"/>
                <w:color w:val="auto"/>
                <w:sz w:val="21"/>
                <w:szCs w:val="21"/>
                <w:highlight w:val="none"/>
              </w:rPr>
              <w:fldChar w:fldCharType="begin"/>
            </w:r>
            <w:r>
              <w:rPr>
                <w:rFonts w:cs="Courier New"/>
                <w:color w:val="auto"/>
                <w:sz w:val="21"/>
                <w:szCs w:val="21"/>
                <w:highlight w:val="none"/>
              </w:rPr>
              <w:instrText xml:space="preserve"> </w:instrText>
            </w:r>
            <w:r>
              <w:rPr>
                <w:rFonts w:hint="eastAsia" w:cs="Courier New"/>
                <w:color w:val="auto"/>
                <w:sz w:val="21"/>
                <w:szCs w:val="21"/>
                <w:highlight w:val="none"/>
              </w:rPr>
              <w:instrText xml:space="preserve">AUTOTEXT  input442 \* MERGEFORMAT</w:instrText>
            </w:r>
            <w:r>
              <w:rPr>
                <w:rFonts w:cs="Courier New"/>
                <w:color w:val="auto"/>
                <w:sz w:val="21"/>
                <w:szCs w:val="21"/>
                <w:highlight w:val="none"/>
              </w:rPr>
              <w:instrText xml:space="preserve"> </w:instrText>
            </w:r>
            <w:r>
              <w:rPr>
                <w:rFonts w:cs="Courier New"/>
                <w:color w:val="auto"/>
                <w:sz w:val="21"/>
                <w:szCs w:val="21"/>
                <w:highlight w:val="none"/>
              </w:rPr>
              <w:fldChar w:fldCharType="end"/>
            </w:r>
            <w:r>
              <w:rPr>
                <w:rFonts w:hint="eastAsia" w:cs="Courier New"/>
                <w:color w:val="auto"/>
                <w:sz w:val="21"/>
                <w:szCs w:val="21"/>
                <w:highlight w:val="none"/>
              </w:rPr>
              <w:t>专业工程担保公司担保</w:t>
            </w:r>
          </w:p>
        </w:tc>
      </w:tr>
      <w:tr w14:paraId="03A2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0C3690D0">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26</w:t>
            </w:r>
          </w:p>
        </w:tc>
        <w:tc>
          <w:tcPr>
            <w:tcW w:w="1283" w:type="pct"/>
            <w:shd w:val="clear" w:color="auto" w:fill="auto"/>
            <w:vAlign w:val="center"/>
          </w:tcPr>
          <w:p w14:paraId="5FC7F74F">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发出中标通知书及</w:t>
            </w:r>
          </w:p>
          <w:p w14:paraId="0671ECE8">
            <w:pPr>
              <w:widowControl w:val="0"/>
              <w:adjustRightInd w:val="0"/>
              <w:snapToGrid w:val="0"/>
              <w:spacing w:line="360" w:lineRule="auto"/>
              <w:jc w:val="center"/>
              <w:rPr>
                <w:rFonts w:cs="Courier New"/>
                <w:color w:val="auto"/>
                <w:sz w:val="21"/>
                <w:szCs w:val="21"/>
                <w:highlight w:val="none"/>
              </w:rPr>
            </w:pPr>
            <w:r>
              <w:rPr>
                <w:rFonts w:hint="eastAsia" w:cs="Courier New"/>
                <w:color w:val="auto"/>
                <w:sz w:val="21"/>
                <w:szCs w:val="21"/>
                <w:highlight w:val="none"/>
              </w:rPr>
              <w:t>签订合同</w:t>
            </w:r>
          </w:p>
        </w:tc>
        <w:tc>
          <w:tcPr>
            <w:tcW w:w="3223" w:type="pct"/>
            <w:shd w:val="clear" w:color="auto" w:fill="auto"/>
            <w:vAlign w:val="center"/>
          </w:tcPr>
          <w:p w14:paraId="6F9B7B43">
            <w:pPr>
              <w:widowControl w:val="0"/>
              <w:adjustRightInd w:val="0"/>
              <w:snapToGrid w:val="0"/>
              <w:spacing w:line="360" w:lineRule="auto"/>
              <w:jc w:val="both"/>
              <w:rPr>
                <w:color w:val="auto"/>
                <w:sz w:val="21"/>
                <w:highlight w:val="none"/>
              </w:rPr>
            </w:pPr>
            <w:r>
              <w:rPr>
                <w:rFonts w:hint="eastAsia" w:cs="Courier New"/>
                <w:color w:val="auto"/>
                <w:sz w:val="21"/>
                <w:szCs w:val="21"/>
                <w:highlight w:val="none"/>
              </w:rPr>
              <w:t>中标结果公示期满后</w:t>
            </w:r>
            <w:r>
              <w:rPr>
                <w:rFonts w:cs="Courier New"/>
                <w:color w:val="auto"/>
                <w:sz w:val="21"/>
                <w:szCs w:val="21"/>
                <w:highlight w:val="none"/>
              </w:rPr>
              <w:t>30日内（因投诉暂停的除外）。</w:t>
            </w:r>
          </w:p>
        </w:tc>
      </w:tr>
      <w:tr w14:paraId="1DCF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2" w:type="pct"/>
            <w:shd w:val="clear" w:color="auto" w:fill="auto"/>
            <w:vAlign w:val="center"/>
          </w:tcPr>
          <w:p w14:paraId="76A55286">
            <w:pPr>
              <w:widowControl w:val="0"/>
              <w:spacing w:line="360" w:lineRule="auto"/>
              <w:jc w:val="center"/>
              <w:rPr>
                <w:snapToGrid w:val="0"/>
                <w:color w:val="auto"/>
                <w:szCs w:val="21"/>
                <w:highlight w:val="none"/>
              </w:rPr>
            </w:pPr>
            <w:r>
              <w:rPr>
                <w:rFonts w:hint="eastAsia"/>
                <w:snapToGrid w:val="0"/>
                <w:color w:val="auto"/>
                <w:szCs w:val="21"/>
                <w:highlight w:val="none"/>
              </w:rPr>
              <w:t>2</w:t>
            </w:r>
            <w:r>
              <w:rPr>
                <w:snapToGrid w:val="0"/>
                <w:color w:val="auto"/>
                <w:szCs w:val="21"/>
                <w:highlight w:val="none"/>
              </w:rPr>
              <w:t>7</w:t>
            </w:r>
          </w:p>
        </w:tc>
        <w:tc>
          <w:tcPr>
            <w:tcW w:w="1283" w:type="pct"/>
            <w:shd w:val="clear" w:color="auto" w:fill="auto"/>
            <w:vAlign w:val="center"/>
          </w:tcPr>
          <w:p w14:paraId="42578B81">
            <w:pPr>
              <w:widowControl w:val="0"/>
              <w:spacing w:line="360" w:lineRule="auto"/>
              <w:jc w:val="center"/>
              <w:rPr>
                <w:color w:val="auto"/>
                <w:szCs w:val="21"/>
                <w:highlight w:val="none"/>
              </w:rPr>
            </w:pPr>
            <w:r>
              <w:rPr>
                <w:rFonts w:hint="eastAsia"/>
                <w:color w:val="auto"/>
                <w:sz w:val="21"/>
                <w:szCs w:val="21"/>
                <w:highlight w:val="none"/>
              </w:rPr>
              <w:t>是否使用新产品新技术</w:t>
            </w:r>
          </w:p>
        </w:tc>
        <w:tc>
          <w:tcPr>
            <w:tcW w:w="3223" w:type="pct"/>
            <w:shd w:val="clear" w:color="auto" w:fill="auto"/>
            <w:vAlign w:val="center"/>
          </w:tcPr>
          <w:p w14:paraId="54B8E243">
            <w:pPr>
              <w:widowControl w:val="0"/>
              <w:spacing w:line="360" w:lineRule="auto"/>
              <w:jc w:val="left"/>
              <w:rPr>
                <w:color w:val="auto"/>
                <w:szCs w:val="21"/>
                <w:highlight w:val="none"/>
              </w:rPr>
            </w:pPr>
            <w:r>
              <w:rPr>
                <w:rFonts w:hint="eastAsia"/>
                <w:color w:val="auto"/>
                <w:szCs w:val="21"/>
                <w:highlight w:val="none"/>
              </w:rPr>
              <w:t>□</w:t>
            </w:r>
            <w:r>
              <w:rPr>
                <w:rFonts w:hint="eastAsia"/>
                <w:color w:val="auto"/>
                <w:sz w:val="21"/>
                <w:szCs w:val="21"/>
                <w:highlight w:val="none"/>
              </w:rPr>
              <w:t>是</w:t>
            </w:r>
            <w:r>
              <w:rPr>
                <w:rFonts w:hint="eastAsia"/>
                <w:color w:val="auto"/>
                <w:szCs w:val="21"/>
                <w:highlight w:val="none"/>
              </w:rPr>
              <w:t xml:space="preserve">  </w:t>
            </w:r>
            <w:r>
              <w:rPr>
                <w:color w:val="auto"/>
                <w:highlight w:val="none"/>
              </w:rPr>
              <w:t>☑</w:t>
            </w:r>
            <w:r>
              <w:rPr>
                <w:rFonts w:hint="eastAsia"/>
                <w:color w:val="auto"/>
                <w:sz w:val="21"/>
                <w:szCs w:val="21"/>
                <w:highlight w:val="none"/>
              </w:rPr>
              <w:t>否</w:t>
            </w:r>
          </w:p>
        </w:tc>
      </w:tr>
    </w:tbl>
    <w:p w14:paraId="00905665">
      <w:pPr>
        <w:spacing w:line="360" w:lineRule="auto"/>
        <w:rPr>
          <w:color w:val="auto"/>
          <w:highlight w:val="none"/>
        </w:rPr>
      </w:pPr>
      <w:r>
        <w:rPr>
          <w:color w:val="auto"/>
          <w:highlight w:val="none"/>
        </w:rPr>
        <w:br w:type="page"/>
      </w:r>
    </w:p>
    <w:p w14:paraId="2A0D0C84">
      <w:pPr>
        <w:adjustRightInd w:val="0"/>
        <w:snapToGrid w:val="0"/>
        <w:spacing w:line="360" w:lineRule="auto"/>
        <w:jc w:val="center"/>
        <w:rPr>
          <w:rFonts w:ascii="黑体" w:eastAsia="黑体"/>
          <w:color w:val="auto"/>
          <w:sz w:val="32"/>
          <w:szCs w:val="32"/>
          <w:highlight w:val="none"/>
        </w:rPr>
      </w:pPr>
      <w:r>
        <w:rPr>
          <w:rFonts w:hint="eastAsia" w:ascii="黑体" w:eastAsia="黑体"/>
          <w:color w:val="auto"/>
          <w:sz w:val="32"/>
          <w:szCs w:val="32"/>
          <w:highlight w:val="none"/>
        </w:rPr>
        <w:t>（一）招标工程情况介绍</w:t>
      </w:r>
    </w:p>
    <w:p w14:paraId="4130BF6C">
      <w:pPr>
        <w:adjustRightInd w:val="0"/>
        <w:snapToGrid w:val="0"/>
        <w:spacing w:line="360" w:lineRule="auto"/>
        <w:ind w:firstLine="482" w:firstLineChars="200"/>
        <w:rPr>
          <w:b/>
          <w:bCs/>
          <w:color w:val="auto"/>
          <w:szCs w:val="21"/>
          <w:highlight w:val="none"/>
        </w:rPr>
      </w:pPr>
      <w:r>
        <w:rPr>
          <w:rFonts w:hint="eastAsia"/>
          <w:b/>
          <w:bCs/>
          <w:color w:val="auto"/>
          <w:szCs w:val="21"/>
          <w:highlight w:val="none"/>
        </w:rPr>
        <w:t>（提示招标人：本章节为必填内容，招标人应当如实详细填写，并作为投标、评标的重要参考。如因招标人未填写或未如实填写本章节内容，造成的不利后果应由招标人承担。）</w:t>
      </w:r>
    </w:p>
    <w:p w14:paraId="61F3CE00">
      <w:pPr>
        <w:adjustRightInd w:val="0"/>
        <w:snapToGrid w:val="0"/>
        <w:spacing w:line="360" w:lineRule="auto"/>
        <w:ind w:firstLine="482" w:firstLineChars="200"/>
        <w:rPr>
          <w:b/>
          <w:color w:val="auto"/>
          <w:szCs w:val="21"/>
          <w:highlight w:val="none"/>
        </w:rPr>
      </w:pPr>
      <w:r>
        <w:rPr>
          <w:rFonts w:hint="eastAsia"/>
          <w:b/>
          <w:color w:val="auto"/>
          <w:szCs w:val="21"/>
          <w:highlight w:val="none"/>
        </w:rPr>
        <w:t>一、工程概况、工程规模、结构型式的介绍</w:t>
      </w:r>
    </w:p>
    <w:p w14:paraId="0CF2362B">
      <w:pPr>
        <w:spacing w:line="360" w:lineRule="auto"/>
        <w:ind w:firstLine="480" w:firstLineChars="200"/>
        <w:rPr>
          <w:snapToGrid w:val="0"/>
          <w:color w:val="auto"/>
          <w:szCs w:val="21"/>
          <w:highlight w:val="none"/>
        </w:rPr>
      </w:pPr>
      <w:r>
        <w:rPr>
          <w:rFonts w:hint="eastAsia"/>
          <w:snapToGrid w:val="0"/>
          <w:color w:val="auto"/>
          <w:szCs w:val="21"/>
          <w:highlight w:val="none"/>
        </w:rPr>
        <w:t>1.工程概况、工程规模</w:t>
      </w:r>
    </w:p>
    <w:p w14:paraId="4BDF8E62">
      <w:pPr>
        <w:spacing w:line="360" w:lineRule="auto"/>
        <w:ind w:firstLine="420"/>
        <w:rPr>
          <w:snapToGrid w:val="0"/>
          <w:color w:val="auto"/>
          <w:szCs w:val="21"/>
          <w:highlight w:val="none"/>
          <w:u w:val="single"/>
          <w:lang w:bidi="ar"/>
        </w:rPr>
      </w:pPr>
      <w:r>
        <w:rPr>
          <w:rFonts w:hint="eastAsia"/>
          <w:snapToGrid w:val="0"/>
          <w:color w:val="auto"/>
          <w:szCs w:val="21"/>
          <w:highlight w:val="none"/>
          <w:u w:val="single"/>
          <w:lang w:bidi="ar"/>
        </w:rPr>
        <w:t xml:space="preserve"> 牛成村位于</w:t>
      </w:r>
      <w:r>
        <w:rPr>
          <w:rFonts w:hint="eastAsia"/>
          <w:snapToGrid w:val="0"/>
          <w:color w:val="auto"/>
          <w:szCs w:val="21"/>
          <w:highlight w:val="none"/>
          <w:u w:val="single"/>
          <w:lang w:eastAsia="zh-CN" w:bidi="ar"/>
        </w:rPr>
        <w:t>南山</w:t>
      </w:r>
      <w:r>
        <w:rPr>
          <w:rFonts w:hint="eastAsia"/>
          <w:snapToGrid w:val="0"/>
          <w:color w:val="auto"/>
          <w:szCs w:val="21"/>
          <w:highlight w:val="none"/>
          <w:u w:val="single"/>
          <w:lang w:bidi="ar"/>
        </w:rPr>
        <w:t>区铁岗水库流域东北侧，全流域汇水面积0.63km2。铁岗水库牛成村建成区径流调蓄转输工程主要建设内容包括调蓄池工程、调蓄湖工程、进水收集工程、出水转输工程以及生态绿化和服务设施建设等。合同总额2.95亿元。</w:t>
      </w:r>
    </w:p>
    <w:p w14:paraId="6A29D3BF">
      <w:pPr>
        <w:spacing w:line="360" w:lineRule="auto"/>
        <w:ind w:firstLine="420"/>
        <w:rPr>
          <w:snapToGrid w:val="0"/>
          <w:color w:val="auto"/>
          <w:szCs w:val="21"/>
          <w:highlight w:val="none"/>
        </w:rPr>
      </w:pPr>
      <w:r>
        <w:rPr>
          <w:rFonts w:hint="eastAsia"/>
          <w:snapToGrid w:val="0"/>
          <w:color w:val="auto"/>
          <w:szCs w:val="21"/>
          <w:highlight w:val="none"/>
        </w:rPr>
        <w:t>2.工程主要特点</w:t>
      </w:r>
    </w:p>
    <w:p w14:paraId="5A769A7C">
      <w:pPr>
        <w:spacing w:line="360" w:lineRule="auto"/>
        <w:ind w:firstLine="480" w:firstLineChars="200"/>
        <w:rPr>
          <w:snapToGrid w:val="0"/>
          <w:color w:val="auto"/>
          <w:szCs w:val="21"/>
          <w:highlight w:val="none"/>
          <w:u w:val="single"/>
          <w:lang w:bidi="ar"/>
        </w:rPr>
      </w:pPr>
      <w:r>
        <w:rPr>
          <w:rFonts w:hint="eastAsia"/>
          <w:snapToGrid w:val="0"/>
          <w:color w:val="auto"/>
          <w:szCs w:val="21"/>
          <w:highlight w:val="none"/>
          <w:u w:val="single"/>
          <w:lang w:bidi="ar"/>
        </w:rPr>
        <w:t xml:space="preserve"> 铁岗水库牛成村建成区径流调蓄转输工程是高密度建成区“保护与发展”协同解决的典范、是“流域治理、三生统筹”河库水环境治理的典范、也是“区域统筹、分质排水、复合开发”的典范。</w:t>
      </w:r>
    </w:p>
    <w:p w14:paraId="320E3974">
      <w:pPr>
        <w:spacing w:line="360" w:lineRule="auto"/>
        <w:ind w:firstLine="480" w:firstLineChars="200"/>
        <w:rPr>
          <w:snapToGrid w:val="0"/>
          <w:color w:val="auto"/>
          <w:szCs w:val="21"/>
          <w:highlight w:val="none"/>
        </w:rPr>
      </w:pPr>
      <w:r>
        <w:rPr>
          <w:rFonts w:hint="eastAsia"/>
          <w:snapToGrid w:val="0"/>
          <w:color w:val="auto"/>
          <w:szCs w:val="21"/>
          <w:highlight w:val="none"/>
          <w:u w:val="single"/>
          <w:lang w:bidi="ar"/>
        </w:rPr>
        <w:t xml:space="preserve">该项目具有一定的先进性和代表意义，市、区两级政府相关部门对于项目的实施比较重视，为了更好地整理项目的相关记录，展示项目效果，特委托具有相关资质和经验的单位拍摄制作本项目的宣传工作，并签订《铁岗水库牛成村建成区径流调蓄转输工程宣传片制作委托合同》。  </w:t>
      </w:r>
    </w:p>
    <w:p w14:paraId="108C119E">
      <w:pPr>
        <w:spacing w:line="360" w:lineRule="auto"/>
        <w:ind w:firstLine="420"/>
        <w:rPr>
          <w:snapToGrid w:val="0"/>
          <w:color w:val="auto"/>
          <w:szCs w:val="21"/>
          <w:highlight w:val="none"/>
        </w:rPr>
      </w:pPr>
      <w:r>
        <w:rPr>
          <w:rFonts w:hint="eastAsia"/>
          <w:snapToGrid w:val="0"/>
          <w:color w:val="auto"/>
          <w:szCs w:val="21"/>
          <w:highlight w:val="none"/>
        </w:rPr>
        <w:t>3.建议的评标要点</w:t>
      </w:r>
    </w:p>
    <w:p w14:paraId="40251DC6">
      <w:pPr>
        <w:spacing w:line="360" w:lineRule="auto"/>
        <w:ind w:firstLine="480" w:firstLineChars="200"/>
        <w:rPr>
          <w:color w:val="auto"/>
          <w:szCs w:val="21"/>
          <w:highlight w:val="none"/>
        </w:rPr>
      </w:pPr>
      <w:r>
        <w:rPr>
          <w:rFonts w:hint="eastAsia"/>
          <w:snapToGrid w:val="0"/>
          <w:color w:val="auto"/>
          <w:szCs w:val="21"/>
          <w:highlight w:val="none"/>
          <w:u w:val="single"/>
          <w:lang w:bidi="ar"/>
        </w:rPr>
        <w:t xml:space="preserve">   /   </w:t>
      </w:r>
    </w:p>
    <w:p w14:paraId="0BEFEF6B">
      <w:pPr>
        <w:spacing w:line="360" w:lineRule="auto"/>
        <w:ind w:firstLine="420"/>
        <w:rPr>
          <w:snapToGrid w:val="0"/>
          <w:color w:val="auto"/>
          <w:szCs w:val="21"/>
          <w:highlight w:val="none"/>
        </w:rPr>
      </w:pPr>
      <w:r>
        <w:rPr>
          <w:rFonts w:hint="eastAsia"/>
          <w:snapToGrid w:val="0"/>
          <w:color w:val="auto"/>
          <w:szCs w:val="21"/>
          <w:highlight w:val="none"/>
        </w:rPr>
        <w:t>4.其它：</w:t>
      </w:r>
    </w:p>
    <w:p w14:paraId="76BE4473">
      <w:pPr>
        <w:tabs>
          <w:tab w:val="left" w:pos="720"/>
        </w:tabs>
        <w:adjustRightInd w:val="0"/>
        <w:snapToGrid w:val="0"/>
        <w:spacing w:line="360" w:lineRule="auto"/>
        <w:ind w:firstLine="480" w:firstLineChars="200"/>
        <w:rPr>
          <w:b/>
          <w:color w:val="auto"/>
          <w:szCs w:val="21"/>
          <w:highlight w:val="none"/>
          <w:u w:val="single"/>
        </w:rPr>
      </w:pPr>
      <w:r>
        <w:rPr>
          <w:rFonts w:hint="eastAsia"/>
          <w:snapToGrid w:val="0"/>
          <w:color w:val="auto"/>
          <w:szCs w:val="21"/>
          <w:highlight w:val="none"/>
          <w:u w:val="single"/>
          <w:lang w:bidi="ar"/>
        </w:rPr>
        <w:t xml:space="preserve">   /  </w:t>
      </w:r>
      <w:r>
        <w:rPr>
          <w:color w:val="auto"/>
          <w:szCs w:val="21"/>
          <w:highlight w:val="none"/>
        </w:rPr>
        <w:br w:type="page"/>
      </w:r>
    </w:p>
    <w:p w14:paraId="26222561">
      <w:pPr>
        <w:adjustRightInd w:val="0"/>
        <w:snapToGrid w:val="0"/>
        <w:spacing w:line="360" w:lineRule="auto"/>
        <w:jc w:val="center"/>
        <w:rPr>
          <w:rFonts w:ascii="黑体" w:hAnsi="黑体" w:eastAsia="黑体"/>
          <w:b/>
          <w:color w:val="auto"/>
          <w:sz w:val="32"/>
          <w:szCs w:val="32"/>
          <w:highlight w:val="none"/>
        </w:rPr>
      </w:pPr>
      <w:r>
        <w:rPr>
          <w:rFonts w:hint="eastAsia" w:ascii="黑体" w:hAnsi="黑体" w:eastAsia="黑体"/>
          <w:color w:val="auto"/>
          <w:sz w:val="32"/>
          <w:szCs w:val="32"/>
          <w:highlight w:val="none"/>
        </w:rPr>
        <w:t>（二）招标投标分段限时投诉的规定</w:t>
      </w:r>
    </w:p>
    <w:p w14:paraId="2427FF64">
      <w:pPr>
        <w:spacing w:line="360" w:lineRule="auto"/>
        <w:ind w:firstLine="480" w:firstLineChars="200"/>
        <w:rPr>
          <w:bCs/>
          <w:color w:val="auto"/>
          <w:szCs w:val="21"/>
          <w:highlight w:val="none"/>
        </w:rPr>
      </w:pPr>
      <w:r>
        <w:rPr>
          <w:rFonts w:hint="eastAsia"/>
          <w:bCs/>
          <w:color w:val="auto"/>
          <w:szCs w:val="21"/>
          <w:highlight w:val="none"/>
        </w:rPr>
        <w:t>为提高招标投标活动效率，根据《深圳市工程建设项目招标投标活动异议和投诉处理办法》的规定，本项目招标、投标各阶段的异议处理按“分段限时”原则进行。投诉人在知道或者应当知道其权益受到侵害</w:t>
      </w:r>
      <w:r>
        <w:rPr>
          <w:bCs/>
          <w:color w:val="auto"/>
          <w:szCs w:val="21"/>
          <w:highlight w:val="none"/>
        </w:rPr>
        <w:t>,提出书面异议超过下述规定时效的，招标人不受理。</w:t>
      </w:r>
    </w:p>
    <w:p w14:paraId="265259C3">
      <w:pPr>
        <w:spacing w:line="360" w:lineRule="auto"/>
        <w:ind w:firstLine="480" w:firstLineChars="200"/>
        <w:rPr>
          <w:bCs/>
          <w:color w:val="auto"/>
          <w:szCs w:val="21"/>
          <w:highlight w:val="none"/>
        </w:rPr>
      </w:pPr>
      <w:r>
        <w:rPr>
          <w:rFonts w:hint="eastAsia"/>
          <w:bCs/>
          <w:color w:val="auto"/>
          <w:szCs w:val="21"/>
          <w:highlight w:val="none"/>
        </w:rPr>
        <w:t>提出异议的期限要求为：</w:t>
      </w:r>
    </w:p>
    <w:p w14:paraId="58402C9C">
      <w:pPr>
        <w:spacing w:line="360" w:lineRule="auto"/>
        <w:ind w:firstLine="480" w:firstLineChars="200"/>
        <w:rPr>
          <w:bCs/>
          <w:color w:val="auto"/>
          <w:szCs w:val="21"/>
          <w:highlight w:val="none"/>
        </w:rPr>
      </w:pPr>
      <w:r>
        <w:rPr>
          <w:rFonts w:hint="eastAsia"/>
          <w:bCs/>
          <w:color w:val="auto"/>
          <w:szCs w:val="21"/>
          <w:highlight w:val="none"/>
        </w:rPr>
        <w:t>（</w:t>
      </w:r>
      <w:r>
        <w:rPr>
          <w:bCs/>
          <w:color w:val="auto"/>
          <w:szCs w:val="21"/>
          <w:highlight w:val="none"/>
        </w:rPr>
        <w:t>1）对投标报名人的资格有异议的，潜在投标人或者其他利害关系人应当在合格投标人公示期间内提出；</w:t>
      </w:r>
    </w:p>
    <w:p w14:paraId="764555E2">
      <w:pPr>
        <w:spacing w:line="360" w:lineRule="auto"/>
        <w:ind w:firstLine="480" w:firstLineChars="200"/>
        <w:rPr>
          <w:bCs/>
          <w:color w:val="auto"/>
          <w:szCs w:val="21"/>
          <w:highlight w:val="none"/>
        </w:rPr>
      </w:pPr>
      <w:r>
        <w:rPr>
          <w:rFonts w:hint="eastAsia"/>
          <w:bCs/>
          <w:color w:val="auto"/>
          <w:szCs w:val="21"/>
          <w:highlight w:val="none"/>
        </w:rPr>
        <w:t>（</w:t>
      </w:r>
      <w:r>
        <w:rPr>
          <w:bCs/>
          <w:color w:val="auto"/>
          <w:szCs w:val="21"/>
          <w:highlight w:val="none"/>
        </w:rPr>
        <w:t>2）对招标文件内容有异议的，投标人应当在提交投标文件截止时间</w:t>
      </w:r>
      <w:r>
        <w:rPr>
          <w:rFonts w:hint="eastAsia"/>
          <w:bCs/>
          <w:color w:val="auto"/>
          <w:szCs w:val="21"/>
          <w:highlight w:val="none"/>
        </w:rPr>
        <w:t>3</w:t>
      </w:r>
      <w:r>
        <w:rPr>
          <w:bCs/>
          <w:color w:val="auto"/>
          <w:szCs w:val="21"/>
          <w:highlight w:val="none"/>
        </w:rPr>
        <w:t>日(不含截标当日)前提出；</w:t>
      </w:r>
    </w:p>
    <w:p w14:paraId="0E8A943D">
      <w:pPr>
        <w:spacing w:line="360" w:lineRule="auto"/>
        <w:ind w:firstLine="480" w:firstLineChars="200"/>
        <w:rPr>
          <w:bCs/>
          <w:color w:val="auto"/>
          <w:szCs w:val="21"/>
          <w:highlight w:val="none"/>
        </w:rPr>
      </w:pPr>
      <w:r>
        <w:rPr>
          <w:rFonts w:hint="eastAsia"/>
          <w:bCs/>
          <w:color w:val="auto"/>
          <w:szCs w:val="21"/>
          <w:highlight w:val="none"/>
        </w:rPr>
        <w:t>（</w:t>
      </w:r>
      <w:r>
        <w:rPr>
          <w:bCs/>
          <w:color w:val="auto"/>
          <w:szCs w:val="21"/>
          <w:highlight w:val="none"/>
        </w:rPr>
        <w:t>3）对澄清补遗文件或招标人公布的招标控制价有异议的，投标人应当在提交投标文件截止时间3日(不含截标当日)前提出；</w:t>
      </w:r>
    </w:p>
    <w:p w14:paraId="4BE188C4">
      <w:pPr>
        <w:spacing w:line="360" w:lineRule="auto"/>
        <w:ind w:firstLine="480" w:firstLineChars="200"/>
        <w:rPr>
          <w:bCs/>
          <w:color w:val="auto"/>
          <w:szCs w:val="21"/>
          <w:highlight w:val="none"/>
        </w:rPr>
      </w:pPr>
      <w:r>
        <w:rPr>
          <w:rFonts w:hint="eastAsia"/>
          <w:bCs/>
          <w:color w:val="auto"/>
          <w:szCs w:val="21"/>
          <w:highlight w:val="none"/>
        </w:rPr>
        <w:t>（</w:t>
      </w:r>
      <w:r>
        <w:rPr>
          <w:bCs/>
          <w:color w:val="auto"/>
          <w:szCs w:val="21"/>
          <w:highlight w:val="none"/>
        </w:rPr>
        <w:t>4）对开标程序、开标的内容和方式等有异议的，投标人应当在开标会现场提出；</w:t>
      </w:r>
    </w:p>
    <w:p w14:paraId="5EDEDA83">
      <w:pPr>
        <w:spacing w:line="360" w:lineRule="auto"/>
        <w:ind w:firstLine="480" w:firstLineChars="200"/>
        <w:rPr>
          <w:bCs/>
          <w:color w:val="auto"/>
          <w:szCs w:val="21"/>
          <w:highlight w:val="none"/>
        </w:rPr>
      </w:pPr>
      <w:r>
        <w:rPr>
          <w:rFonts w:hint="eastAsia"/>
          <w:bCs/>
          <w:color w:val="auto"/>
          <w:szCs w:val="21"/>
          <w:highlight w:val="none"/>
        </w:rPr>
        <w:t>（</w:t>
      </w:r>
      <w:r>
        <w:rPr>
          <w:bCs/>
          <w:color w:val="auto"/>
          <w:szCs w:val="21"/>
          <w:highlight w:val="none"/>
        </w:rPr>
        <w:t>5）对评标结果有异议的，投标人或者其他利害关系人应当在中标候选人的公示期间内提出。</w:t>
      </w:r>
    </w:p>
    <w:p w14:paraId="55D6DF46">
      <w:pPr>
        <w:spacing w:line="360" w:lineRule="auto"/>
        <w:ind w:firstLine="480" w:firstLineChars="200"/>
        <w:rPr>
          <w:bCs/>
          <w:color w:val="auto"/>
          <w:szCs w:val="21"/>
          <w:highlight w:val="none"/>
        </w:rPr>
      </w:pPr>
      <w:r>
        <w:rPr>
          <w:rFonts w:hint="eastAsia"/>
          <w:bCs/>
          <w:color w:val="auto"/>
          <w:szCs w:val="21"/>
          <w:highlight w:val="none"/>
        </w:rPr>
        <w:t>异议有下列情形之一的，招标人不予受理：</w:t>
      </w:r>
    </w:p>
    <w:p w14:paraId="6C85F0D0">
      <w:pPr>
        <w:spacing w:line="360" w:lineRule="auto"/>
        <w:ind w:firstLine="480" w:firstLineChars="200"/>
        <w:rPr>
          <w:bCs/>
          <w:color w:val="auto"/>
          <w:szCs w:val="21"/>
          <w:highlight w:val="none"/>
        </w:rPr>
      </w:pPr>
      <w:r>
        <w:rPr>
          <w:rFonts w:hint="eastAsia"/>
          <w:bCs/>
          <w:color w:val="auto"/>
          <w:szCs w:val="21"/>
          <w:highlight w:val="none"/>
        </w:rPr>
        <w:t>（</w:t>
      </w:r>
      <w:r>
        <w:rPr>
          <w:bCs/>
          <w:color w:val="auto"/>
          <w:szCs w:val="21"/>
          <w:highlight w:val="none"/>
        </w:rPr>
        <w:t>1）异议提起人不是投标人、潜在投标人或者其他利害关系人；</w:t>
      </w:r>
    </w:p>
    <w:p w14:paraId="7089E770">
      <w:pPr>
        <w:spacing w:line="360" w:lineRule="auto"/>
        <w:ind w:firstLine="480" w:firstLineChars="200"/>
        <w:rPr>
          <w:bCs/>
          <w:color w:val="auto"/>
          <w:szCs w:val="21"/>
          <w:highlight w:val="none"/>
        </w:rPr>
      </w:pPr>
      <w:r>
        <w:rPr>
          <w:rFonts w:hint="eastAsia"/>
          <w:bCs/>
          <w:color w:val="auto"/>
          <w:szCs w:val="21"/>
          <w:highlight w:val="none"/>
        </w:rPr>
        <w:t>（</w:t>
      </w:r>
      <w:r>
        <w:rPr>
          <w:bCs/>
          <w:color w:val="auto"/>
          <w:szCs w:val="21"/>
          <w:highlight w:val="none"/>
        </w:rPr>
        <w:t>2）未在上述规定的异议期限内提出的；</w:t>
      </w:r>
    </w:p>
    <w:p w14:paraId="00B852C6">
      <w:pPr>
        <w:spacing w:line="360" w:lineRule="auto"/>
        <w:ind w:firstLine="480" w:firstLineChars="200"/>
        <w:rPr>
          <w:bCs/>
          <w:color w:val="auto"/>
          <w:szCs w:val="21"/>
          <w:highlight w:val="none"/>
        </w:rPr>
      </w:pPr>
      <w:r>
        <w:rPr>
          <w:rFonts w:hint="eastAsia"/>
          <w:bCs/>
          <w:color w:val="auto"/>
          <w:szCs w:val="21"/>
          <w:highlight w:val="none"/>
        </w:rPr>
        <w:t>（</w:t>
      </w:r>
      <w:r>
        <w:rPr>
          <w:bCs/>
          <w:color w:val="auto"/>
          <w:szCs w:val="21"/>
          <w:highlight w:val="none"/>
        </w:rPr>
        <w:t>3）异议应当以书面形式提出但未以书面形式提出的，或异议书未经法定代表人或其授权委托人签署并加盖公章，或未署联系人真实姓名及有效联系方式的；</w:t>
      </w:r>
    </w:p>
    <w:p w14:paraId="15D0F8B3">
      <w:pPr>
        <w:spacing w:line="360" w:lineRule="auto"/>
        <w:ind w:firstLine="480" w:firstLineChars="200"/>
        <w:rPr>
          <w:bCs/>
          <w:color w:val="auto"/>
          <w:szCs w:val="21"/>
          <w:highlight w:val="none"/>
        </w:rPr>
      </w:pPr>
      <w:r>
        <w:rPr>
          <w:rFonts w:hint="eastAsia"/>
          <w:bCs/>
          <w:color w:val="auto"/>
          <w:szCs w:val="21"/>
          <w:highlight w:val="none"/>
        </w:rPr>
        <w:t>（</w:t>
      </w:r>
      <w:r>
        <w:rPr>
          <w:bCs/>
          <w:color w:val="auto"/>
          <w:szCs w:val="21"/>
          <w:highlight w:val="none"/>
        </w:rPr>
        <w:t>4）招标人已经作出明确答复，无新的事实证据，又就同一问题提出异议的；</w:t>
      </w:r>
    </w:p>
    <w:p w14:paraId="4CFE90D8">
      <w:pPr>
        <w:spacing w:line="360" w:lineRule="auto"/>
        <w:ind w:firstLine="480" w:firstLineChars="200"/>
        <w:rPr>
          <w:bCs/>
          <w:color w:val="auto"/>
          <w:szCs w:val="21"/>
          <w:highlight w:val="none"/>
        </w:rPr>
      </w:pPr>
      <w:r>
        <w:rPr>
          <w:rFonts w:hint="eastAsia"/>
          <w:bCs/>
          <w:color w:val="auto"/>
          <w:szCs w:val="21"/>
          <w:highlight w:val="none"/>
        </w:rPr>
        <w:t>（</w:t>
      </w:r>
      <w:r>
        <w:rPr>
          <w:bCs/>
          <w:color w:val="auto"/>
          <w:szCs w:val="21"/>
          <w:highlight w:val="none"/>
        </w:rPr>
        <w:t>5）提出异议的事项已经进入行政复议或行政诉讼程序的。</w:t>
      </w:r>
      <w:r>
        <w:rPr>
          <w:bCs/>
          <w:color w:val="auto"/>
          <w:szCs w:val="21"/>
          <w:highlight w:val="none"/>
        </w:rPr>
        <w:br w:type="page"/>
      </w:r>
    </w:p>
    <w:p w14:paraId="605FA981">
      <w:pPr>
        <w:adjustRightInd w:val="0"/>
        <w:snapToGrid w:val="0"/>
        <w:spacing w:line="360" w:lineRule="auto"/>
        <w:jc w:val="center"/>
        <w:outlineLvl w:val="1"/>
        <w:rPr>
          <w:rFonts w:ascii="黑体" w:hAnsi="黑体" w:eastAsia="黑体"/>
          <w:b/>
          <w:color w:val="auto"/>
          <w:sz w:val="32"/>
          <w:szCs w:val="32"/>
          <w:highlight w:val="none"/>
        </w:rPr>
      </w:pPr>
      <w:r>
        <w:rPr>
          <w:rFonts w:hint="eastAsia"/>
          <w:b/>
          <w:color w:val="auto"/>
          <w:sz w:val="44"/>
          <w:highlight w:val="none"/>
        </w:rPr>
        <w:t>二、投标文件否决性条款</w:t>
      </w:r>
    </w:p>
    <w:p w14:paraId="4E8C7C9E">
      <w:pPr>
        <w:adjustRightInd w:val="0"/>
        <w:snapToGrid w:val="0"/>
        <w:spacing w:line="360" w:lineRule="auto"/>
        <w:ind w:firstLine="482" w:firstLineChars="200"/>
        <w:rPr>
          <w:b/>
          <w:bCs/>
          <w:color w:val="auto"/>
          <w:szCs w:val="21"/>
          <w:highlight w:val="none"/>
        </w:rPr>
      </w:pPr>
      <w:r>
        <w:rPr>
          <w:rFonts w:hint="eastAsia"/>
          <w:b/>
          <w:bCs/>
          <w:color w:val="auto"/>
          <w:szCs w:val="21"/>
          <w:highlight w:val="none"/>
        </w:rPr>
        <w:t>【提示招标人】</w:t>
      </w:r>
      <w:r>
        <w:rPr>
          <w:rFonts w:hint="eastAsia"/>
          <w:bCs/>
          <w:color w:val="auto"/>
          <w:szCs w:val="21"/>
          <w:highlight w:val="none"/>
        </w:rPr>
        <w:t>如招标文件的澄清、答疑、补充文件中增加否决性条款的，招标人应当重新编写本章节内容，将新增否决性条款列入本章节，并发布新的完整的《投标文件否决性条款》。否则，增加的否决性条款无效。</w:t>
      </w:r>
    </w:p>
    <w:p w14:paraId="1F7B07AC">
      <w:pPr>
        <w:adjustRightInd w:val="0"/>
        <w:snapToGrid w:val="0"/>
        <w:spacing w:line="360" w:lineRule="auto"/>
        <w:ind w:firstLine="482" w:firstLineChars="200"/>
        <w:rPr>
          <w:bCs/>
          <w:color w:val="auto"/>
          <w:szCs w:val="21"/>
          <w:highlight w:val="none"/>
        </w:rPr>
      </w:pPr>
      <w:r>
        <w:rPr>
          <w:rFonts w:hint="eastAsia"/>
          <w:b/>
          <w:bCs/>
          <w:color w:val="auto"/>
          <w:szCs w:val="21"/>
          <w:highlight w:val="none"/>
        </w:rPr>
        <w:t>【提示投标人和评标委员会】</w:t>
      </w:r>
      <w:r>
        <w:rPr>
          <w:rFonts w:hint="eastAsia"/>
          <w:bCs/>
          <w:color w:val="auto"/>
          <w:szCs w:val="21"/>
          <w:highlight w:val="none"/>
        </w:rPr>
        <w:t>本章节是本工程招标文件（含招标文件的澄清、补充文件等）中涉及的所有否决性条款，否决性条款包括：招标文件不予受理（开标阶段）、无效标（初步评审）、废标（详细评审）条款。除出现以下情形外，投标文件的其他任何情形均不得作否决处理。招标文件中有关否决性条款的阐述与本章节不一致的，以本章节内容为准。</w:t>
      </w:r>
    </w:p>
    <w:p w14:paraId="666A7A8C">
      <w:pPr>
        <w:snapToGrid w:val="0"/>
        <w:spacing w:line="360" w:lineRule="auto"/>
        <w:rPr>
          <w:snapToGrid w:val="0"/>
          <w:color w:val="auto"/>
          <w:szCs w:val="21"/>
          <w:highlight w:val="none"/>
        </w:rPr>
      </w:pPr>
      <w:r>
        <w:rPr>
          <w:rFonts w:hint="eastAsia"/>
          <w:b/>
          <w:snapToGrid w:val="0"/>
          <w:color w:val="auto"/>
          <w:szCs w:val="21"/>
          <w:highlight w:val="none"/>
        </w:rPr>
        <w:t>1、开标会上，投标文件不予受理的情形</w:t>
      </w:r>
    </w:p>
    <w:p w14:paraId="6B0FCD26">
      <w:pPr>
        <w:snapToGrid w:val="0"/>
        <w:spacing w:line="360" w:lineRule="auto"/>
        <w:ind w:firstLine="420" w:firstLineChars="175"/>
        <w:rPr>
          <w:snapToGrid w:val="0"/>
          <w:color w:val="auto"/>
          <w:szCs w:val="21"/>
          <w:highlight w:val="none"/>
        </w:rPr>
      </w:pPr>
      <w:r>
        <w:rPr>
          <w:rFonts w:hint="eastAsia"/>
          <w:snapToGrid w:val="0"/>
          <w:color w:val="auto"/>
          <w:szCs w:val="21"/>
          <w:highlight w:val="none"/>
        </w:rPr>
        <w:t>（1）在投标截止时间以后</w:t>
      </w:r>
      <w:r>
        <w:rPr>
          <w:snapToGrid w:val="0"/>
          <w:color w:val="auto"/>
          <w:szCs w:val="21"/>
          <w:highlight w:val="none"/>
        </w:rPr>
        <w:t>送达的</w:t>
      </w:r>
      <w:r>
        <w:rPr>
          <w:rFonts w:hint="eastAsia"/>
          <w:snapToGrid w:val="0"/>
          <w:color w:val="auto"/>
          <w:szCs w:val="21"/>
          <w:highlight w:val="none"/>
        </w:rPr>
        <w:t>，</w:t>
      </w:r>
      <w:r>
        <w:rPr>
          <w:snapToGrid w:val="0"/>
          <w:color w:val="auto"/>
          <w:szCs w:val="21"/>
          <w:highlight w:val="none"/>
        </w:rPr>
        <w:t>或者未送达指定地点的</w:t>
      </w:r>
      <w:r>
        <w:rPr>
          <w:rFonts w:hint="eastAsia"/>
          <w:snapToGrid w:val="0"/>
          <w:color w:val="auto"/>
          <w:szCs w:val="21"/>
          <w:highlight w:val="none"/>
        </w:rPr>
        <w:t>；</w:t>
      </w:r>
    </w:p>
    <w:p w14:paraId="33C9929C">
      <w:pPr>
        <w:snapToGrid w:val="0"/>
        <w:spacing w:line="360" w:lineRule="auto"/>
        <w:ind w:firstLine="420" w:firstLineChars="175"/>
        <w:rPr>
          <w:snapToGrid w:val="0"/>
          <w:color w:val="auto"/>
          <w:szCs w:val="21"/>
          <w:highlight w:val="none"/>
        </w:rPr>
      </w:pPr>
      <w:r>
        <w:rPr>
          <w:rFonts w:hint="eastAsia"/>
          <w:snapToGrid w:val="0"/>
          <w:color w:val="auto"/>
          <w:szCs w:val="21"/>
          <w:highlight w:val="none"/>
        </w:rPr>
        <w:t>（2）未按招标文件规定密封、标记和加盖投标人公章的。</w:t>
      </w:r>
    </w:p>
    <w:p w14:paraId="03749339">
      <w:pPr>
        <w:snapToGrid w:val="0"/>
        <w:spacing w:line="360" w:lineRule="auto"/>
        <w:ind w:firstLine="420" w:firstLineChars="175"/>
        <w:rPr>
          <w:snapToGrid w:val="0"/>
          <w:color w:val="auto"/>
          <w:szCs w:val="21"/>
          <w:highlight w:val="none"/>
        </w:rPr>
      </w:pPr>
      <w:r>
        <w:rPr>
          <w:rFonts w:hint="eastAsia"/>
          <w:snapToGrid w:val="0"/>
          <w:color w:val="auto"/>
          <w:szCs w:val="21"/>
          <w:highlight w:val="none"/>
        </w:rPr>
        <w:t>（3）未登记并购买招标文件的。</w:t>
      </w:r>
    </w:p>
    <w:p w14:paraId="40C3EA16">
      <w:pPr>
        <w:snapToGrid w:val="0"/>
        <w:spacing w:line="360" w:lineRule="auto"/>
        <w:rPr>
          <w:b/>
          <w:snapToGrid w:val="0"/>
          <w:color w:val="auto"/>
          <w:szCs w:val="21"/>
          <w:highlight w:val="none"/>
        </w:rPr>
      </w:pPr>
      <w:r>
        <w:rPr>
          <w:rFonts w:hint="eastAsia"/>
          <w:b/>
          <w:snapToGrid w:val="0"/>
          <w:color w:val="auto"/>
          <w:szCs w:val="21"/>
          <w:highlight w:val="none"/>
        </w:rPr>
        <w:t>2、投标文件审核中有关无效标的情形</w:t>
      </w:r>
    </w:p>
    <w:p w14:paraId="5D367C9B">
      <w:pPr>
        <w:snapToGrid w:val="0"/>
        <w:spacing w:line="360" w:lineRule="auto"/>
        <w:ind w:firstLine="420" w:firstLineChars="175"/>
        <w:rPr>
          <w:snapToGrid w:val="0"/>
          <w:color w:val="auto"/>
          <w:szCs w:val="21"/>
          <w:highlight w:val="none"/>
        </w:rPr>
      </w:pPr>
      <w:r>
        <w:rPr>
          <w:rFonts w:hint="eastAsia"/>
          <w:snapToGrid w:val="0"/>
          <w:color w:val="auto"/>
          <w:szCs w:val="21"/>
          <w:highlight w:val="none"/>
        </w:rPr>
        <w:t>（1）资格条件不符合招标文件要求或提供资料不全的；</w:t>
      </w:r>
    </w:p>
    <w:p w14:paraId="3735ED7D">
      <w:pPr>
        <w:snapToGrid w:val="0"/>
        <w:spacing w:line="360" w:lineRule="auto"/>
        <w:ind w:firstLine="420" w:firstLineChars="175"/>
        <w:rPr>
          <w:snapToGrid w:val="0"/>
          <w:color w:val="auto"/>
          <w:szCs w:val="21"/>
          <w:highlight w:val="none"/>
        </w:rPr>
      </w:pPr>
      <w:r>
        <w:rPr>
          <w:rFonts w:hint="eastAsia"/>
          <w:snapToGrid w:val="0"/>
          <w:color w:val="auto"/>
          <w:szCs w:val="21"/>
          <w:highlight w:val="none"/>
        </w:rPr>
        <w:t>（2）投标文件的有关内容未按照招标文件规定加盖投标人公章的，或未经法定代表人或其委托代理人签字的，或由委托代理人签字但未随投标文件一起提供授权委托书原件的；</w:t>
      </w:r>
    </w:p>
    <w:p w14:paraId="7C4703B4">
      <w:pPr>
        <w:snapToGrid w:val="0"/>
        <w:spacing w:line="360" w:lineRule="auto"/>
        <w:ind w:firstLine="420" w:firstLineChars="175"/>
        <w:rPr>
          <w:snapToGrid w:val="0"/>
          <w:color w:val="auto"/>
          <w:szCs w:val="21"/>
          <w:highlight w:val="none"/>
        </w:rPr>
      </w:pPr>
      <w:r>
        <w:rPr>
          <w:rFonts w:hint="eastAsia"/>
          <w:snapToGrid w:val="0"/>
          <w:color w:val="auto"/>
          <w:szCs w:val="21"/>
          <w:highlight w:val="none"/>
        </w:rPr>
        <w:t>（3）《投标函》未按招标文件规定格式和内容填写的；</w:t>
      </w:r>
    </w:p>
    <w:p w14:paraId="5ED0D314">
      <w:pPr>
        <w:snapToGrid w:val="0"/>
        <w:spacing w:line="360" w:lineRule="auto"/>
        <w:ind w:firstLine="420" w:firstLineChars="175"/>
        <w:rPr>
          <w:snapToGrid w:val="0"/>
          <w:color w:val="auto"/>
          <w:szCs w:val="21"/>
          <w:highlight w:val="none"/>
        </w:rPr>
      </w:pPr>
      <w:r>
        <w:rPr>
          <w:rFonts w:hint="eastAsia"/>
          <w:snapToGrid w:val="0"/>
          <w:color w:val="auto"/>
          <w:szCs w:val="21"/>
          <w:highlight w:val="none"/>
        </w:rPr>
        <w:t>（4）投标人投标报价超过所允许的投标报价上限的。</w:t>
      </w:r>
    </w:p>
    <w:p w14:paraId="16135DA4">
      <w:pPr>
        <w:snapToGrid w:val="0"/>
        <w:spacing w:line="360" w:lineRule="auto"/>
        <w:ind w:firstLine="420" w:firstLineChars="175"/>
        <w:rPr>
          <w:snapToGrid w:val="0"/>
          <w:color w:val="auto"/>
          <w:szCs w:val="21"/>
          <w:highlight w:val="none"/>
        </w:rPr>
      </w:pPr>
      <w:r>
        <w:rPr>
          <w:rFonts w:hint="eastAsia"/>
          <w:snapToGrid w:val="0"/>
          <w:color w:val="auto"/>
          <w:szCs w:val="21"/>
          <w:highlight w:val="none"/>
        </w:rPr>
        <w:t>（5）投标人在《开标情况记录表》中出现“×”的情形。</w:t>
      </w:r>
    </w:p>
    <w:p w14:paraId="78446F5F">
      <w:pPr>
        <w:snapToGrid w:val="0"/>
        <w:spacing w:line="360" w:lineRule="auto"/>
        <w:rPr>
          <w:b/>
          <w:snapToGrid w:val="0"/>
          <w:color w:val="auto"/>
          <w:szCs w:val="21"/>
          <w:highlight w:val="none"/>
        </w:rPr>
      </w:pPr>
      <w:r>
        <w:rPr>
          <w:rFonts w:hint="eastAsia"/>
          <w:b/>
          <w:snapToGrid w:val="0"/>
          <w:color w:val="auto"/>
          <w:szCs w:val="21"/>
          <w:highlight w:val="none"/>
        </w:rPr>
        <w:t>3、投标文件审核中有关废标的情形</w:t>
      </w:r>
    </w:p>
    <w:p w14:paraId="5F5738BB">
      <w:pPr>
        <w:snapToGrid w:val="0"/>
        <w:spacing w:line="360" w:lineRule="auto"/>
        <w:ind w:firstLine="520" w:firstLineChars="217"/>
        <w:rPr>
          <w:snapToGrid w:val="0"/>
          <w:color w:val="auto"/>
          <w:szCs w:val="21"/>
          <w:highlight w:val="none"/>
        </w:rPr>
      </w:pPr>
      <w:r>
        <w:rPr>
          <w:rFonts w:hint="eastAsia"/>
          <w:snapToGrid w:val="0"/>
          <w:color w:val="auto"/>
          <w:szCs w:val="21"/>
          <w:highlight w:val="none"/>
        </w:rPr>
        <w:t>（1）投标人以他人的名义投标或出现下列串通投标、弄虚作假投标嫌疑的：</w:t>
      </w:r>
    </w:p>
    <w:p w14:paraId="6FE2950C">
      <w:pPr>
        <w:snapToGrid w:val="0"/>
        <w:spacing w:line="360" w:lineRule="auto"/>
        <w:ind w:left="821" w:leftChars="342"/>
        <w:rPr>
          <w:snapToGrid w:val="0"/>
          <w:color w:val="auto"/>
          <w:szCs w:val="21"/>
          <w:highlight w:val="none"/>
        </w:rPr>
      </w:pPr>
      <w:r>
        <w:rPr>
          <w:rFonts w:hint="eastAsia"/>
          <w:snapToGrid w:val="0"/>
          <w:color w:val="auto"/>
          <w:szCs w:val="21"/>
          <w:highlight w:val="none"/>
        </w:rPr>
        <w:t>a.</w:t>
      </w:r>
      <w:r>
        <w:rPr>
          <w:snapToGrid w:val="0"/>
          <w:color w:val="auto"/>
          <w:szCs w:val="21"/>
          <w:highlight w:val="none"/>
        </w:rPr>
        <w:t>不同投标人的投标文件内容存在非正常一致</w:t>
      </w:r>
      <w:r>
        <w:rPr>
          <w:rFonts w:hint="eastAsia"/>
          <w:snapToGrid w:val="0"/>
          <w:color w:val="auto"/>
          <w:szCs w:val="21"/>
          <w:highlight w:val="none"/>
        </w:rPr>
        <w:t>的</w:t>
      </w:r>
      <w:r>
        <w:rPr>
          <w:snapToGrid w:val="0"/>
          <w:color w:val="auto"/>
          <w:szCs w:val="21"/>
          <w:highlight w:val="none"/>
        </w:rPr>
        <w:t>；</w:t>
      </w:r>
    </w:p>
    <w:p w14:paraId="689CC069">
      <w:pPr>
        <w:snapToGrid w:val="0"/>
        <w:spacing w:line="360" w:lineRule="auto"/>
        <w:ind w:left="821" w:leftChars="342"/>
        <w:rPr>
          <w:snapToGrid w:val="0"/>
          <w:color w:val="auto"/>
          <w:szCs w:val="21"/>
          <w:highlight w:val="none"/>
        </w:rPr>
      </w:pPr>
      <w:r>
        <w:rPr>
          <w:rFonts w:hint="eastAsia"/>
          <w:snapToGrid w:val="0"/>
          <w:color w:val="auto"/>
          <w:szCs w:val="21"/>
          <w:highlight w:val="none"/>
        </w:rPr>
        <w:t>b.</w:t>
      </w:r>
      <w:r>
        <w:rPr>
          <w:snapToGrid w:val="0"/>
          <w:color w:val="auto"/>
          <w:szCs w:val="21"/>
          <w:highlight w:val="none"/>
        </w:rPr>
        <w:t>不同投标人的投标文件错漏之处一致的；</w:t>
      </w:r>
    </w:p>
    <w:p w14:paraId="54F262B5">
      <w:pPr>
        <w:snapToGrid w:val="0"/>
        <w:spacing w:line="360" w:lineRule="auto"/>
        <w:ind w:left="821" w:leftChars="342"/>
        <w:rPr>
          <w:snapToGrid w:val="0"/>
          <w:color w:val="auto"/>
          <w:szCs w:val="21"/>
          <w:highlight w:val="none"/>
        </w:rPr>
      </w:pPr>
      <w:r>
        <w:rPr>
          <w:rFonts w:hint="eastAsia"/>
          <w:snapToGrid w:val="0"/>
          <w:color w:val="auto"/>
          <w:szCs w:val="21"/>
          <w:highlight w:val="none"/>
        </w:rPr>
        <w:t>c.</w:t>
      </w:r>
      <w:r>
        <w:rPr>
          <w:snapToGrid w:val="0"/>
          <w:color w:val="auto"/>
          <w:szCs w:val="21"/>
          <w:highlight w:val="none"/>
        </w:rPr>
        <w:t>不同投标人的投标报价或者报价组成异常一致或者呈规律性变化的；</w:t>
      </w:r>
    </w:p>
    <w:p w14:paraId="4D22204E">
      <w:pPr>
        <w:snapToGrid w:val="0"/>
        <w:spacing w:line="360" w:lineRule="auto"/>
        <w:ind w:left="821" w:leftChars="342"/>
        <w:rPr>
          <w:snapToGrid w:val="0"/>
          <w:color w:val="auto"/>
          <w:szCs w:val="21"/>
          <w:highlight w:val="none"/>
        </w:rPr>
      </w:pPr>
      <w:r>
        <w:rPr>
          <w:rFonts w:hint="eastAsia"/>
          <w:snapToGrid w:val="0"/>
          <w:color w:val="auto"/>
          <w:szCs w:val="21"/>
          <w:highlight w:val="none"/>
        </w:rPr>
        <w:t>d.</w:t>
      </w:r>
      <w:r>
        <w:rPr>
          <w:snapToGrid w:val="0"/>
          <w:color w:val="auto"/>
          <w:szCs w:val="21"/>
          <w:highlight w:val="none"/>
        </w:rPr>
        <w:t>不同投标人的投标文件由同一单位或者同一个人编制的；</w:t>
      </w:r>
    </w:p>
    <w:p w14:paraId="75DD3A54">
      <w:pPr>
        <w:snapToGrid w:val="0"/>
        <w:spacing w:line="360" w:lineRule="auto"/>
        <w:ind w:left="821" w:leftChars="342"/>
        <w:rPr>
          <w:snapToGrid w:val="0"/>
          <w:color w:val="auto"/>
          <w:szCs w:val="21"/>
          <w:highlight w:val="none"/>
        </w:rPr>
      </w:pPr>
      <w:r>
        <w:rPr>
          <w:rFonts w:hint="eastAsia"/>
          <w:snapToGrid w:val="0"/>
          <w:color w:val="auto"/>
          <w:szCs w:val="21"/>
          <w:highlight w:val="none"/>
        </w:rPr>
        <w:t>e.</w:t>
      </w:r>
      <w:r>
        <w:rPr>
          <w:snapToGrid w:val="0"/>
          <w:color w:val="auto"/>
          <w:szCs w:val="21"/>
          <w:highlight w:val="none"/>
        </w:rPr>
        <w:t>不同投标人的投标文件载明的</w:t>
      </w:r>
      <w:r>
        <w:rPr>
          <w:rFonts w:hint="eastAsia"/>
          <w:snapToGrid w:val="0"/>
          <w:color w:val="auto"/>
          <w:szCs w:val="21"/>
          <w:highlight w:val="none"/>
        </w:rPr>
        <w:t>项目负责人与主要技术人员</w:t>
      </w:r>
      <w:r>
        <w:rPr>
          <w:snapToGrid w:val="0"/>
          <w:color w:val="auto"/>
          <w:szCs w:val="21"/>
          <w:highlight w:val="none"/>
        </w:rPr>
        <w:t>出现同一人的；</w:t>
      </w:r>
    </w:p>
    <w:p w14:paraId="7DBBFA69">
      <w:pPr>
        <w:snapToGrid w:val="0"/>
        <w:spacing w:line="360" w:lineRule="auto"/>
        <w:ind w:left="821" w:leftChars="342"/>
        <w:rPr>
          <w:snapToGrid w:val="0"/>
          <w:color w:val="auto"/>
          <w:szCs w:val="21"/>
          <w:highlight w:val="none"/>
        </w:rPr>
      </w:pPr>
      <w:r>
        <w:rPr>
          <w:rFonts w:hint="eastAsia"/>
          <w:snapToGrid w:val="0"/>
          <w:color w:val="auto"/>
          <w:szCs w:val="21"/>
          <w:highlight w:val="none"/>
        </w:rPr>
        <w:t>f.</w:t>
      </w:r>
      <w:r>
        <w:rPr>
          <w:snapToGrid w:val="0"/>
          <w:color w:val="auto"/>
          <w:szCs w:val="21"/>
          <w:highlight w:val="none"/>
        </w:rPr>
        <w:t>不同投标人的投标文件相互混装的；</w:t>
      </w:r>
    </w:p>
    <w:p w14:paraId="47447594">
      <w:pPr>
        <w:snapToGrid w:val="0"/>
        <w:spacing w:line="360" w:lineRule="auto"/>
        <w:ind w:left="821" w:leftChars="342"/>
        <w:rPr>
          <w:snapToGrid w:val="0"/>
          <w:color w:val="auto"/>
          <w:szCs w:val="21"/>
          <w:highlight w:val="none"/>
        </w:rPr>
      </w:pPr>
      <w:r>
        <w:rPr>
          <w:rFonts w:hint="eastAsia"/>
          <w:snapToGrid w:val="0"/>
          <w:color w:val="auto"/>
          <w:szCs w:val="21"/>
          <w:highlight w:val="none"/>
        </w:rPr>
        <w:t>g.</w:t>
      </w:r>
      <w:r>
        <w:rPr>
          <w:snapToGrid w:val="0"/>
          <w:color w:val="auto"/>
          <w:szCs w:val="21"/>
          <w:highlight w:val="none"/>
        </w:rPr>
        <w:t>不同投标人委托同一人投标的</w:t>
      </w:r>
      <w:r>
        <w:rPr>
          <w:rFonts w:hint="eastAsia"/>
          <w:snapToGrid w:val="0"/>
          <w:color w:val="auto"/>
          <w:szCs w:val="21"/>
          <w:highlight w:val="none"/>
        </w:rPr>
        <w:t>；</w:t>
      </w:r>
    </w:p>
    <w:p w14:paraId="1921E3B2">
      <w:pPr>
        <w:snapToGrid w:val="0"/>
        <w:spacing w:line="360" w:lineRule="auto"/>
        <w:ind w:left="821" w:leftChars="342"/>
        <w:rPr>
          <w:snapToGrid w:val="0"/>
          <w:color w:val="auto"/>
          <w:szCs w:val="21"/>
          <w:highlight w:val="none"/>
        </w:rPr>
      </w:pPr>
      <w:r>
        <w:rPr>
          <w:rFonts w:hint="eastAsia"/>
          <w:snapToGrid w:val="0"/>
          <w:color w:val="auto"/>
          <w:szCs w:val="21"/>
          <w:highlight w:val="none"/>
        </w:rPr>
        <w:t>h.不同投标人聘请同一人为其投标提供技术或者咨询服务的，但招标工程本身要求采用专有技术的除外；</w:t>
      </w:r>
    </w:p>
    <w:p w14:paraId="70E2F12B">
      <w:pPr>
        <w:snapToGrid w:val="0"/>
        <w:spacing w:line="360" w:lineRule="auto"/>
        <w:ind w:left="821" w:leftChars="342"/>
        <w:rPr>
          <w:snapToGrid w:val="0"/>
          <w:color w:val="auto"/>
          <w:szCs w:val="21"/>
          <w:highlight w:val="none"/>
        </w:rPr>
      </w:pPr>
      <w:r>
        <w:rPr>
          <w:rFonts w:hint="eastAsia"/>
          <w:snapToGrid w:val="0"/>
          <w:color w:val="auto"/>
          <w:szCs w:val="21"/>
          <w:highlight w:val="none"/>
        </w:rPr>
        <w:t>i.</w:t>
      </w:r>
      <w:r>
        <w:rPr>
          <w:snapToGrid w:val="0"/>
          <w:color w:val="auto"/>
          <w:szCs w:val="21"/>
          <w:highlight w:val="none"/>
        </w:rPr>
        <w:t>招标</w:t>
      </w:r>
      <w:r>
        <w:rPr>
          <w:rFonts w:hint="eastAsia"/>
          <w:snapToGrid w:val="0"/>
          <w:color w:val="auto"/>
          <w:szCs w:val="21"/>
          <w:highlight w:val="none"/>
        </w:rPr>
        <w:t>人</w:t>
      </w:r>
      <w:r>
        <w:rPr>
          <w:snapToGrid w:val="0"/>
          <w:color w:val="auto"/>
          <w:szCs w:val="21"/>
          <w:highlight w:val="none"/>
        </w:rPr>
        <w:t>认定的其他串通投标情形。</w:t>
      </w:r>
    </w:p>
    <w:p w14:paraId="0E97B6CC">
      <w:pPr>
        <w:snapToGrid w:val="0"/>
        <w:spacing w:line="360" w:lineRule="auto"/>
        <w:ind w:firstLine="537" w:firstLineChars="224"/>
        <w:rPr>
          <w:snapToGrid w:val="0"/>
          <w:color w:val="auto"/>
          <w:szCs w:val="21"/>
          <w:highlight w:val="none"/>
        </w:rPr>
      </w:pPr>
      <w:r>
        <w:rPr>
          <w:rFonts w:hint="eastAsia"/>
          <w:snapToGrid w:val="0"/>
          <w:color w:val="auto"/>
          <w:szCs w:val="21"/>
          <w:highlight w:val="none"/>
        </w:rPr>
        <w:t>（</w:t>
      </w:r>
      <w:r>
        <w:rPr>
          <w:snapToGrid w:val="0"/>
          <w:color w:val="auto"/>
          <w:szCs w:val="21"/>
          <w:highlight w:val="none"/>
        </w:rPr>
        <w:t>2</w:t>
      </w:r>
      <w:r>
        <w:rPr>
          <w:rFonts w:hint="eastAsia"/>
          <w:snapToGrid w:val="0"/>
          <w:color w:val="auto"/>
          <w:szCs w:val="21"/>
          <w:highlight w:val="none"/>
        </w:rPr>
        <w:t>）招标人根据招标文件的规定对投标文件的投标价格进行调整，投标人不接受调整方式的，或不接受调整后的价格的；</w:t>
      </w:r>
    </w:p>
    <w:p w14:paraId="00E221A7">
      <w:pPr>
        <w:snapToGrid w:val="0"/>
        <w:spacing w:line="360" w:lineRule="auto"/>
        <w:ind w:firstLine="537" w:firstLineChars="224"/>
        <w:rPr>
          <w:color w:val="auto"/>
          <w:sz w:val="32"/>
          <w:highlight w:val="none"/>
        </w:rPr>
      </w:pPr>
      <w:r>
        <w:rPr>
          <w:rFonts w:hint="eastAsia"/>
          <w:snapToGrid w:val="0"/>
          <w:color w:val="auto"/>
          <w:szCs w:val="21"/>
          <w:highlight w:val="none"/>
        </w:rPr>
        <w:t>（</w:t>
      </w:r>
      <w:r>
        <w:rPr>
          <w:snapToGrid w:val="0"/>
          <w:color w:val="auto"/>
          <w:szCs w:val="21"/>
          <w:highlight w:val="none"/>
        </w:rPr>
        <w:t>3</w:t>
      </w:r>
      <w:r>
        <w:rPr>
          <w:rFonts w:hint="eastAsia"/>
          <w:snapToGrid w:val="0"/>
          <w:color w:val="auto"/>
          <w:szCs w:val="21"/>
          <w:highlight w:val="none"/>
        </w:rPr>
        <w:t>）投标报价存在缺、漏项的，如果该投标人有相同项目单价的按其单价计算，如果没有相同项目单价的按全部有效投标报价中其它投标人相同项目的最高价计算。</w:t>
      </w:r>
      <w:r>
        <w:rPr>
          <w:color w:val="auto"/>
          <w:highlight w:val="none"/>
        </w:rPr>
        <w:br w:type="page"/>
      </w:r>
    </w:p>
    <w:p w14:paraId="74681675">
      <w:pPr>
        <w:adjustRightInd w:val="0"/>
        <w:snapToGrid w:val="0"/>
        <w:spacing w:line="360" w:lineRule="auto"/>
        <w:jc w:val="center"/>
        <w:outlineLvl w:val="1"/>
        <w:rPr>
          <w:b/>
          <w:color w:val="auto"/>
          <w:sz w:val="44"/>
          <w:highlight w:val="none"/>
        </w:rPr>
      </w:pPr>
      <w:r>
        <w:rPr>
          <w:rFonts w:hint="eastAsia"/>
          <w:b/>
          <w:color w:val="auto"/>
          <w:sz w:val="44"/>
          <w:highlight w:val="none"/>
        </w:rPr>
        <w:t>三、招投标须知正文</w:t>
      </w:r>
    </w:p>
    <w:p w14:paraId="1D47EB84">
      <w:pPr>
        <w:pStyle w:val="6"/>
        <w:keepNext w:val="0"/>
        <w:keepLines w:val="0"/>
        <w:widowControl w:val="0"/>
        <w:tabs>
          <w:tab w:val="left" w:pos="720"/>
          <w:tab w:val="left" w:pos="4032"/>
        </w:tabs>
        <w:adjustRightInd w:val="0"/>
        <w:snapToGrid w:val="0"/>
        <w:spacing w:before="0" w:after="0" w:line="360" w:lineRule="auto"/>
        <w:jc w:val="center"/>
        <w:rPr>
          <w:color w:val="auto"/>
          <w:highlight w:val="none"/>
        </w:rPr>
      </w:pPr>
      <w:bookmarkStart w:id="2" w:name="_Toc201742947"/>
      <w:bookmarkStart w:id="3" w:name="_Toc201997806"/>
      <w:bookmarkStart w:id="4" w:name="_Toc419285106"/>
      <w:bookmarkStart w:id="5" w:name="_Toc27859"/>
      <w:bookmarkStart w:id="6" w:name="_Toc381345713"/>
      <w:bookmarkStart w:id="7" w:name="_Toc71560599"/>
      <w:bookmarkStart w:id="8" w:name="_Toc419285554"/>
      <w:r>
        <w:rPr>
          <w:rFonts w:hint="eastAsia"/>
          <w:color w:val="auto"/>
          <w:highlight w:val="none"/>
          <w:lang w:val="en-US"/>
        </w:rPr>
        <w:t>一</w:t>
      </w:r>
      <w:bookmarkStart w:id="9" w:name="_Toc148778142"/>
      <w:bookmarkStart w:id="10" w:name="_Toc188869262"/>
      <w:bookmarkStart w:id="11" w:name="_Toc134852005"/>
      <w:bookmarkStart w:id="12" w:name="_Toc148413285"/>
      <w:bookmarkStart w:id="13" w:name="_Toc157847806"/>
      <w:bookmarkStart w:id="14" w:name="_Toc148954844"/>
      <w:bookmarkStart w:id="15" w:name="_Toc148954449"/>
      <w:bookmarkStart w:id="16" w:name="_Toc187729563"/>
      <w:bookmarkStart w:id="17" w:name="_Toc148780223"/>
      <w:bookmarkStart w:id="18" w:name="_Toc163530288"/>
      <w:bookmarkStart w:id="19" w:name="_Toc143658440"/>
      <w:bookmarkStart w:id="20" w:name="_Toc98817919"/>
      <w:bookmarkStart w:id="21" w:name="_Toc135666612"/>
      <w:bookmarkStart w:id="22" w:name="_Toc135666799"/>
      <w:bookmarkStart w:id="23" w:name="_Toc148329786"/>
      <w:bookmarkStart w:id="24" w:name="_Toc148779937"/>
      <w:r>
        <w:rPr>
          <w:rFonts w:hint="eastAsia"/>
          <w:color w:val="auto"/>
          <w:highlight w:val="none"/>
          <w:lang w:val="en-US"/>
        </w:rPr>
        <w:t>、总</w:t>
      </w:r>
      <w:r>
        <w:rPr>
          <w:color w:val="auto"/>
          <w:highlight w:val="none"/>
          <w:lang w:val="en-US"/>
        </w:rPr>
        <w:t xml:space="preserve">  </w:t>
      </w:r>
      <w:r>
        <w:rPr>
          <w:rFonts w:hint="eastAsia"/>
          <w:color w:val="auto"/>
          <w:highlight w:val="none"/>
          <w:lang w:val="en-US"/>
        </w:rPr>
        <w:t>则</w:t>
      </w:r>
      <w:bookmarkEnd w:id="2"/>
      <w:bookmarkEnd w:id="3"/>
      <w:bookmarkEnd w:id="4"/>
      <w:bookmarkEnd w:id="5"/>
      <w:bookmarkEnd w:id="6"/>
      <w:bookmarkEnd w:id="7"/>
      <w:bookmarkEnd w:id="8"/>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7E82BEC9">
      <w:pPr>
        <w:rPr>
          <w:b/>
          <w:color w:val="auto"/>
          <w:sz w:val="28"/>
          <w:szCs w:val="28"/>
          <w:highlight w:val="none"/>
        </w:rPr>
      </w:pPr>
      <w:bookmarkStart w:id="25" w:name="_Toc358982837"/>
      <w:bookmarkStart w:id="26" w:name="_Toc358982930"/>
      <w:bookmarkStart w:id="27" w:name="_Toc380660164"/>
      <w:bookmarkStart w:id="28" w:name="_Toc372481513"/>
      <w:bookmarkStart w:id="29" w:name="_Toc380659208"/>
      <w:bookmarkStart w:id="30" w:name="_Toc419285107"/>
      <w:bookmarkStart w:id="31" w:name="_Toc358982631"/>
      <w:bookmarkStart w:id="32" w:name="_Toc381345714"/>
      <w:bookmarkStart w:id="33" w:name="_Toc419285555"/>
      <w:bookmarkStart w:id="34" w:name="_Toc358982552"/>
      <w:r>
        <w:rPr>
          <w:b/>
          <w:color w:val="auto"/>
          <w:sz w:val="28"/>
          <w:szCs w:val="28"/>
          <w:highlight w:val="none"/>
        </w:rPr>
        <w:t>1</w:t>
      </w:r>
      <w:r>
        <w:rPr>
          <w:rFonts w:hint="eastAsia"/>
          <w:b/>
          <w:color w:val="auto"/>
          <w:sz w:val="28"/>
          <w:szCs w:val="28"/>
          <w:highlight w:val="none"/>
        </w:rPr>
        <w:t>.</w:t>
      </w:r>
      <w:r>
        <w:rPr>
          <w:b/>
          <w:color w:val="auto"/>
          <w:sz w:val="28"/>
          <w:szCs w:val="28"/>
          <w:highlight w:val="none"/>
        </w:rPr>
        <w:t xml:space="preserve"> </w:t>
      </w:r>
      <w:r>
        <w:rPr>
          <w:rFonts w:hint="eastAsia"/>
          <w:b/>
          <w:color w:val="auto"/>
          <w:sz w:val="28"/>
          <w:szCs w:val="28"/>
          <w:highlight w:val="none"/>
        </w:rPr>
        <w:t>定义</w:t>
      </w:r>
      <w:bookmarkEnd w:id="25"/>
      <w:bookmarkEnd w:id="26"/>
      <w:bookmarkEnd w:id="27"/>
      <w:bookmarkEnd w:id="28"/>
      <w:bookmarkEnd w:id="29"/>
      <w:bookmarkEnd w:id="30"/>
      <w:bookmarkEnd w:id="31"/>
      <w:bookmarkEnd w:id="32"/>
      <w:bookmarkEnd w:id="33"/>
      <w:bookmarkEnd w:id="34"/>
    </w:p>
    <w:p w14:paraId="51790D9B">
      <w:pPr>
        <w:snapToGrid w:val="0"/>
        <w:spacing w:line="360" w:lineRule="auto"/>
        <w:ind w:firstLine="480" w:firstLineChars="200"/>
        <w:rPr>
          <w:snapToGrid w:val="0"/>
          <w:color w:val="auto"/>
          <w:szCs w:val="21"/>
          <w:highlight w:val="none"/>
        </w:rPr>
      </w:pPr>
      <w:r>
        <w:rPr>
          <w:rFonts w:hint="eastAsia"/>
          <w:snapToGrid w:val="0"/>
          <w:color w:val="auto"/>
          <w:szCs w:val="21"/>
          <w:highlight w:val="none"/>
        </w:rPr>
        <w:t>本招标文件使用的下列词语具有如下规定的意义：</w:t>
      </w:r>
    </w:p>
    <w:p w14:paraId="4CF2B55E">
      <w:pPr>
        <w:snapToGrid w:val="0"/>
        <w:spacing w:line="360" w:lineRule="auto"/>
        <w:ind w:firstLine="480" w:firstLineChars="200"/>
        <w:rPr>
          <w:snapToGrid w:val="0"/>
          <w:color w:val="auto"/>
          <w:szCs w:val="21"/>
          <w:highlight w:val="none"/>
        </w:rPr>
      </w:pPr>
      <w:r>
        <w:rPr>
          <w:rFonts w:hint="eastAsia"/>
          <w:snapToGrid w:val="0"/>
          <w:color w:val="auto"/>
          <w:szCs w:val="21"/>
          <w:highlight w:val="none"/>
        </w:rPr>
        <w:t>（1）“招标人”指深圳市工勘岩土集团有限公司；</w:t>
      </w:r>
    </w:p>
    <w:p w14:paraId="690E75D1">
      <w:pPr>
        <w:snapToGrid w:val="0"/>
        <w:spacing w:line="360" w:lineRule="auto"/>
        <w:ind w:firstLine="480" w:firstLineChars="200"/>
        <w:rPr>
          <w:snapToGrid w:val="0"/>
          <w:color w:val="auto"/>
          <w:szCs w:val="21"/>
          <w:highlight w:val="none"/>
        </w:rPr>
      </w:pPr>
      <w:r>
        <w:rPr>
          <w:rFonts w:hint="eastAsia"/>
          <w:snapToGrid w:val="0"/>
          <w:color w:val="auto"/>
          <w:szCs w:val="21"/>
          <w:highlight w:val="none"/>
        </w:rPr>
        <w:t>（2）“投标人”指向招标人提交投标文件的当事人；</w:t>
      </w:r>
    </w:p>
    <w:p w14:paraId="7845A57F">
      <w:pPr>
        <w:snapToGrid w:val="0"/>
        <w:spacing w:line="360" w:lineRule="auto"/>
        <w:ind w:firstLine="480" w:firstLineChars="200"/>
        <w:rPr>
          <w:snapToGrid w:val="0"/>
          <w:color w:val="auto"/>
          <w:szCs w:val="21"/>
          <w:highlight w:val="none"/>
        </w:rPr>
      </w:pPr>
      <w:r>
        <w:rPr>
          <w:rFonts w:hint="eastAsia"/>
          <w:snapToGrid w:val="0"/>
          <w:color w:val="auto"/>
          <w:szCs w:val="21"/>
          <w:highlight w:val="none"/>
        </w:rPr>
        <w:t>（3）“招标文件”指由招标人发出的本文件，包括全部章节、附件及澄清补充文件；</w:t>
      </w:r>
    </w:p>
    <w:p w14:paraId="4C2FF9EF">
      <w:pPr>
        <w:snapToGrid w:val="0"/>
        <w:spacing w:line="360" w:lineRule="auto"/>
        <w:ind w:firstLine="480" w:firstLineChars="200"/>
        <w:rPr>
          <w:snapToGrid w:val="0"/>
          <w:color w:val="auto"/>
          <w:szCs w:val="21"/>
          <w:highlight w:val="none"/>
        </w:rPr>
      </w:pPr>
      <w:r>
        <w:rPr>
          <w:rFonts w:hint="eastAsia"/>
          <w:snapToGrid w:val="0"/>
          <w:color w:val="auto"/>
          <w:szCs w:val="21"/>
          <w:highlight w:val="none"/>
        </w:rPr>
        <w:t>（4）“投标文件”指投标人根据本招标文件向招标人提交的全部文件；</w:t>
      </w:r>
    </w:p>
    <w:p w14:paraId="51952E8A">
      <w:pPr>
        <w:snapToGrid w:val="0"/>
        <w:spacing w:line="360" w:lineRule="auto"/>
        <w:ind w:firstLine="480" w:firstLineChars="200"/>
        <w:rPr>
          <w:snapToGrid w:val="0"/>
          <w:color w:val="auto"/>
          <w:szCs w:val="21"/>
          <w:highlight w:val="none"/>
        </w:rPr>
      </w:pPr>
      <w:r>
        <w:rPr>
          <w:rFonts w:hint="eastAsia"/>
          <w:snapToGrid w:val="0"/>
          <w:color w:val="auto"/>
          <w:szCs w:val="21"/>
          <w:highlight w:val="none"/>
        </w:rPr>
        <w:t>（5）“书面函件”指打字或印刷的函件，包括电传、电报和传真。</w:t>
      </w:r>
    </w:p>
    <w:p w14:paraId="52FD71BA">
      <w:pPr>
        <w:rPr>
          <w:b/>
          <w:color w:val="auto"/>
          <w:sz w:val="28"/>
          <w:szCs w:val="28"/>
          <w:highlight w:val="none"/>
        </w:rPr>
      </w:pPr>
      <w:bookmarkStart w:id="35" w:name="_Toc419285556"/>
      <w:bookmarkStart w:id="36" w:name="_Toc380659209"/>
      <w:bookmarkStart w:id="37" w:name="_Toc358982931"/>
      <w:bookmarkStart w:id="38" w:name="_Toc372481514"/>
      <w:bookmarkStart w:id="39" w:name="_Toc358982632"/>
      <w:bookmarkStart w:id="40" w:name="_Toc358982838"/>
      <w:bookmarkStart w:id="41" w:name="_Toc419285108"/>
      <w:bookmarkStart w:id="42" w:name="_Toc380660165"/>
      <w:bookmarkStart w:id="43" w:name="_Toc358982553"/>
      <w:bookmarkStart w:id="44" w:name="_Toc381345715"/>
      <w:r>
        <w:rPr>
          <w:rFonts w:hint="eastAsia"/>
          <w:b/>
          <w:color w:val="auto"/>
          <w:sz w:val="28"/>
          <w:szCs w:val="28"/>
          <w:highlight w:val="none"/>
        </w:rPr>
        <w:t>2.</w:t>
      </w:r>
      <w:r>
        <w:rPr>
          <w:b/>
          <w:color w:val="auto"/>
          <w:sz w:val="28"/>
          <w:szCs w:val="28"/>
          <w:highlight w:val="none"/>
        </w:rPr>
        <w:t xml:space="preserve"> </w:t>
      </w:r>
      <w:r>
        <w:rPr>
          <w:rFonts w:hint="eastAsia"/>
          <w:b/>
          <w:color w:val="auto"/>
          <w:sz w:val="28"/>
          <w:szCs w:val="28"/>
          <w:highlight w:val="none"/>
        </w:rPr>
        <w:t>招标说明</w:t>
      </w:r>
      <w:bookmarkEnd w:id="35"/>
      <w:bookmarkEnd w:id="36"/>
      <w:bookmarkEnd w:id="37"/>
      <w:bookmarkEnd w:id="38"/>
      <w:bookmarkEnd w:id="39"/>
      <w:bookmarkEnd w:id="40"/>
      <w:bookmarkEnd w:id="41"/>
      <w:bookmarkEnd w:id="42"/>
      <w:bookmarkEnd w:id="43"/>
      <w:bookmarkEnd w:id="44"/>
    </w:p>
    <w:p w14:paraId="1287E9C0">
      <w:pPr>
        <w:snapToGrid w:val="0"/>
        <w:spacing w:line="360" w:lineRule="auto"/>
        <w:ind w:firstLine="480" w:firstLineChars="200"/>
        <w:rPr>
          <w:snapToGrid w:val="0"/>
          <w:color w:val="auto"/>
          <w:szCs w:val="21"/>
          <w:highlight w:val="none"/>
        </w:rPr>
      </w:pPr>
      <w:r>
        <w:rPr>
          <w:rFonts w:hint="eastAsia"/>
          <w:snapToGrid w:val="0"/>
          <w:color w:val="auto"/>
          <w:szCs w:val="21"/>
          <w:highlight w:val="none"/>
        </w:rPr>
        <w:t>2.1 招标人就本投标人须知前附表（以下简称“前附表”）所述招标项目进行公开招标。本招标项目名称请参见前附表第1项。本招标项目的资金已经到位，可用于本招标合同项下的合格支付。招标人采取公开招标方式选择有资质、有经验、有实力和诚信守法、社会信誉好的投标人，与之签订合同，完成本合同项目。</w:t>
      </w:r>
    </w:p>
    <w:p w14:paraId="3F4AD34B">
      <w:pPr>
        <w:snapToGrid w:val="0"/>
        <w:spacing w:line="360" w:lineRule="auto"/>
        <w:ind w:firstLine="480" w:firstLineChars="200"/>
        <w:rPr>
          <w:snapToGrid w:val="0"/>
          <w:color w:val="auto"/>
          <w:szCs w:val="21"/>
          <w:highlight w:val="none"/>
        </w:rPr>
      </w:pPr>
      <w:r>
        <w:rPr>
          <w:rFonts w:hint="eastAsia"/>
          <w:snapToGrid w:val="0"/>
          <w:color w:val="auto"/>
          <w:szCs w:val="21"/>
          <w:highlight w:val="none"/>
        </w:rPr>
        <w:t>2.2 投标人须认真阅读理解招标文件，特别是有关责任权利规定，按照招标文件的要求填报投标文件。</w:t>
      </w:r>
    </w:p>
    <w:p w14:paraId="1CF3B0FD">
      <w:pPr>
        <w:snapToGrid w:val="0"/>
        <w:spacing w:line="360" w:lineRule="auto"/>
        <w:ind w:firstLine="480" w:firstLineChars="200"/>
        <w:rPr>
          <w:snapToGrid w:val="0"/>
          <w:color w:val="auto"/>
          <w:szCs w:val="21"/>
          <w:highlight w:val="none"/>
        </w:rPr>
      </w:pPr>
      <w:r>
        <w:rPr>
          <w:rFonts w:hint="eastAsia"/>
          <w:snapToGrid w:val="0"/>
          <w:color w:val="auto"/>
          <w:szCs w:val="21"/>
          <w:highlight w:val="none"/>
        </w:rPr>
        <w:t>2.3 招标人特别要求在投标人投标递交印刷的投标文件时，并同时递交电子文件（Word、</w:t>
      </w:r>
      <w:r>
        <w:rPr>
          <w:snapToGrid w:val="0"/>
          <w:color w:val="auto"/>
          <w:szCs w:val="21"/>
          <w:highlight w:val="none"/>
        </w:rPr>
        <w:t>E</w:t>
      </w:r>
      <w:r>
        <w:rPr>
          <w:rFonts w:hint="eastAsia"/>
          <w:snapToGrid w:val="0"/>
          <w:color w:val="auto"/>
          <w:szCs w:val="21"/>
          <w:highlight w:val="none"/>
        </w:rPr>
        <w:t>xcel、W</w:t>
      </w:r>
      <w:r>
        <w:rPr>
          <w:snapToGrid w:val="0"/>
          <w:color w:val="auto"/>
          <w:szCs w:val="21"/>
          <w:highlight w:val="none"/>
        </w:rPr>
        <w:t>PS</w:t>
      </w:r>
      <w:r>
        <w:rPr>
          <w:rFonts w:hint="eastAsia"/>
          <w:snapToGrid w:val="0"/>
          <w:color w:val="auto"/>
          <w:szCs w:val="21"/>
          <w:highlight w:val="none"/>
        </w:rPr>
        <w:t>、</w:t>
      </w:r>
      <w:r>
        <w:rPr>
          <w:snapToGrid w:val="0"/>
          <w:color w:val="auto"/>
          <w:szCs w:val="21"/>
          <w:highlight w:val="none"/>
        </w:rPr>
        <w:t>PDF</w:t>
      </w:r>
      <w:r>
        <w:rPr>
          <w:rFonts w:hint="eastAsia"/>
          <w:snapToGrid w:val="0"/>
          <w:color w:val="auto"/>
          <w:szCs w:val="21"/>
          <w:highlight w:val="none"/>
        </w:rPr>
        <w:t>等格式）。</w:t>
      </w:r>
    </w:p>
    <w:p w14:paraId="0168DBA2">
      <w:pPr>
        <w:rPr>
          <w:b/>
          <w:color w:val="auto"/>
          <w:sz w:val="28"/>
          <w:szCs w:val="28"/>
          <w:highlight w:val="none"/>
        </w:rPr>
      </w:pPr>
      <w:bookmarkStart w:id="45" w:name="_Toc381345716"/>
      <w:bookmarkStart w:id="46" w:name="_Toc358982554"/>
      <w:bookmarkStart w:id="47" w:name="_Toc358982839"/>
      <w:bookmarkStart w:id="48" w:name="_Toc358982932"/>
      <w:bookmarkStart w:id="49" w:name="_Toc419285109"/>
      <w:bookmarkStart w:id="50" w:name="_Toc380660166"/>
      <w:bookmarkStart w:id="51" w:name="_Toc419285557"/>
      <w:bookmarkStart w:id="52" w:name="_Toc358982633"/>
      <w:bookmarkStart w:id="53" w:name="_Toc380659210"/>
      <w:bookmarkStart w:id="54" w:name="_Toc372481515"/>
      <w:r>
        <w:rPr>
          <w:rFonts w:hint="eastAsia"/>
          <w:b/>
          <w:color w:val="auto"/>
          <w:sz w:val="28"/>
          <w:szCs w:val="28"/>
          <w:highlight w:val="none"/>
        </w:rPr>
        <w:t>3.</w:t>
      </w:r>
      <w:r>
        <w:rPr>
          <w:b/>
          <w:color w:val="auto"/>
          <w:sz w:val="28"/>
          <w:szCs w:val="28"/>
          <w:highlight w:val="none"/>
        </w:rPr>
        <w:t xml:space="preserve"> </w:t>
      </w:r>
      <w:r>
        <w:rPr>
          <w:rFonts w:hint="eastAsia"/>
          <w:b/>
          <w:color w:val="auto"/>
          <w:sz w:val="28"/>
          <w:szCs w:val="28"/>
          <w:highlight w:val="none"/>
        </w:rPr>
        <w:t>对投标人的要求</w:t>
      </w:r>
      <w:bookmarkEnd w:id="45"/>
      <w:bookmarkEnd w:id="46"/>
      <w:bookmarkEnd w:id="47"/>
      <w:bookmarkEnd w:id="48"/>
      <w:bookmarkEnd w:id="49"/>
      <w:bookmarkEnd w:id="50"/>
      <w:bookmarkEnd w:id="51"/>
      <w:bookmarkEnd w:id="52"/>
      <w:bookmarkEnd w:id="53"/>
      <w:bookmarkEnd w:id="54"/>
    </w:p>
    <w:p w14:paraId="336DDB30">
      <w:pPr>
        <w:pStyle w:val="17"/>
        <w:ind w:firstLine="480" w:firstLineChars="200"/>
        <w:rPr>
          <w:b w:val="0"/>
          <w:bCs w:val="0"/>
          <w:snapToGrid w:val="0"/>
          <w:color w:val="auto"/>
          <w:szCs w:val="21"/>
          <w:highlight w:val="none"/>
        </w:rPr>
      </w:pPr>
      <w:bookmarkStart w:id="55" w:name="_Toc381345717"/>
      <w:bookmarkStart w:id="56" w:name="_Toc380660167"/>
      <w:bookmarkStart w:id="57" w:name="_Toc419285110"/>
      <w:bookmarkStart w:id="58" w:name="_Toc419285558"/>
      <w:r>
        <w:rPr>
          <w:b w:val="0"/>
          <w:bCs w:val="0"/>
          <w:snapToGrid w:val="0"/>
          <w:color w:val="auto"/>
          <w:szCs w:val="21"/>
          <w:highlight w:val="none"/>
        </w:rPr>
        <w:t xml:space="preserve">3.1 </w:t>
      </w:r>
      <w:bookmarkEnd w:id="55"/>
      <w:bookmarkEnd w:id="56"/>
      <w:bookmarkEnd w:id="57"/>
      <w:bookmarkEnd w:id="58"/>
      <w:bookmarkStart w:id="59" w:name="_Toc148778143"/>
      <w:bookmarkStart w:id="60" w:name="_Toc148779938"/>
      <w:bookmarkStart w:id="61" w:name="_Toc148780224"/>
      <w:bookmarkStart w:id="62" w:name="_Toc163530289"/>
      <w:bookmarkStart w:id="63" w:name="_Toc148954845"/>
      <w:bookmarkStart w:id="64" w:name="_Toc380660168"/>
      <w:bookmarkStart w:id="65" w:name="_Toc187729564"/>
      <w:bookmarkStart w:id="66" w:name="_Toc148329787"/>
      <w:bookmarkStart w:id="67" w:name="_Toc381345718"/>
      <w:bookmarkStart w:id="68" w:name="_Toc148413286"/>
      <w:bookmarkStart w:id="69" w:name="_Toc143658441"/>
      <w:bookmarkStart w:id="70" w:name="_Toc157847807"/>
      <w:bookmarkStart w:id="71" w:name="_Toc188869263"/>
      <w:bookmarkStart w:id="72" w:name="_Toc148954450"/>
      <w:r>
        <w:rPr>
          <w:b w:val="0"/>
          <w:bCs w:val="0"/>
          <w:snapToGrid w:val="0"/>
          <w:color w:val="auto"/>
          <w:szCs w:val="21"/>
          <w:highlight w:val="none"/>
        </w:rPr>
        <w:t>详</w:t>
      </w:r>
      <w:r>
        <w:rPr>
          <w:rFonts w:hint="eastAsia"/>
          <w:b w:val="0"/>
          <w:bCs w:val="0"/>
          <w:snapToGrid w:val="0"/>
          <w:color w:val="auto"/>
          <w:szCs w:val="21"/>
          <w:highlight w:val="none"/>
        </w:rPr>
        <w:t>见招标公告及招标文件前附表。</w:t>
      </w:r>
    </w:p>
    <w:p w14:paraId="7B5F532F">
      <w:pPr>
        <w:snapToGrid w:val="0"/>
        <w:spacing w:line="360" w:lineRule="auto"/>
        <w:ind w:firstLine="480" w:firstLineChars="200"/>
        <w:rPr>
          <w:snapToGrid w:val="0"/>
          <w:color w:val="auto"/>
          <w:szCs w:val="21"/>
          <w:highlight w:val="none"/>
        </w:rPr>
      </w:pPr>
      <w:bookmarkStart w:id="73" w:name="_Toc419285114"/>
      <w:bookmarkStart w:id="74" w:name="_Toc419285562"/>
      <w:r>
        <w:rPr>
          <w:rFonts w:hint="eastAsia"/>
          <w:snapToGrid w:val="0"/>
          <w:color w:val="auto"/>
          <w:szCs w:val="21"/>
          <w:highlight w:val="none"/>
        </w:rPr>
        <w:t>3.2 投标人彼此之间存在法律法规规章及规范性文件禁止同时投标的情形的，不得同时投标。</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410AF67C">
      <w:pPr>
        <w:rPr>
          <w:b/>
          <w:color w:val="auto"/>
          <w:sz w:val="28"/>
          <w:szCs w:val="28"/>
          <w:highlight w:val="none"/>
        </w:rPr>
      </w:pPr>
      <w:bookmarkStart w:id="75" w:name="_Toc358982840"/>
      <w:bookmarkStart w:id="76" w:name="_Toc358982555"/>
      <w:bookmarkStart w:id="77" w:name="_Toc358982933"/>
      <w:bookmarkStart w:id="78" w:name="_Toc419285563"/>
      <w:bookmarkStart w:id="79" w:name="_Toc419285115"/>
      <w:bookmarkStart w:id="80" w:name="_Toc380659211"/>
      <w:bookmarkStart w:id="81" w:name="_Toc381345719"/>
      <w:bookmarkStart w:id="82" w:name="_Toc372481516"/>
      <w:bookmarkStart w:id="83" w:name="_Toc358982634"/>
      <w:bookmarkStart w:id="84" w:name="_Toc380660169"/>
      <w:r>
        <w:rPr>
          <w:rFonts w:hint="eastAsia"/>
          <w:b/>
          <w:color w:val="auto"/>
          <w:sz w:val="28"/>
          <w:szCs w:val="28"/>
          <w:highlight w:val="none"/>
        </w:rPr>
        <w:t>4.投标费用</w:t>
      </w:r>
      <w:bookmarkEnd w:id="75"/>
      <w:bookmarkEnd w:id="76"/>
      <w:bookmarkEnd w:id="77"/>
      <w:bookmarkEnd w:id="78"/>
      <w:bookmarkEnd w:id="79"/>
      <w:bookmarkEnd w:id="80"/>
      <w:bookmarkEnd w:id="81"/>
      <w:bookmarkEnd w:id="82"/>
      <w:bookmarkEnd w:id="83"/>
      <w:bookmarkEnd w:id="84"/>
    </w:p>
    <w:p w14:paraId="42C59D7A">
      <w:pPr>
        <w:snapToGrid w:val="0"/>
        <w:spacing w:line="360" w:lineRule="auto"/>
        <w:ind w:firstLine="480" w:firstLineChars="200"/>
        <w:rPr>
          <w:snapToGrid w:val="0"/>
          <w:color w:val="auto"/>
          <w:szCs w:val="21"/>
          <w:highlight w:val="none"/>
        </w:rPr>
      </w:pPr>
      <w:r>
        <w:rPr>
          <w:rFonts w:hint="eastAsia"/>
          <w:snapToGrid w:val="0"/>
          <w:color w:val="auto"/>
          <w:szCs w:val="21"/>
          <w:highlight w:val="none"/>
        </w:rPr>
        <w:t>4.1投标人应自行承担所有准备及参加投标相关的费用。不论投标的结果如何，招标人均无承担的义务和责任。</w:t>
      </w:r>
    </w:p>
    <w:p w14:paraId="0B1413DA">
      <w:pPr>
        <w:snapToGrid w:val="0"/>
        <w:spacing w:line="360" w:lineRule="auto"/>
        <w:ind w:firstLine="480" w:firstLineChars="200"/>
        <w:rPr>
          <w:snapToGrid w:val="0"/>
          <w:color w:val="auto"/>
          <w:szCs w:val="21"/>
          <w:highlight w:val="none"/>
        </w:rPr>
      </w:pPr>
    </w:p>
    <w:p w14:paraId="1CBF2EE3">
      <w:pPr>
        <w:pStyle w:val="6"/>
        <w:keepNext w:val="0"/>
        <w:keepLines w:val="0"/>
        <w:widowControl w:val="0"/>
        <w:tabs>
          <w:tab w:val="left" w:pos="720"/>
          <w:tab w:val="left" w:pos="4032"/>
        </w:tabs>
        <w:adjustRightInd w:val="0"/>
        <w:snapToGrid w:val="0"/>
        <w:spacing w:before="0" w:after="0" w:line="360" w:lineRule="auto"/>
        <w:jc w:val="center"/>
        <w:rPr>
          <w:color w:val="auto"/>
          <w:highlight w:val="none"/>
        </w:rPr>
      </w:pPr>
      <w:bookmarkStart w:id="85" w:name="_Toc71560600"/>
      <w:bookmarkStart w:id="86" w:name="_Toc381345720"/>
      <w:bookmarkStart w:id="87" w:name="_Toc419285116"/>
      <w:bookmarkStart w:id="88" w:name="_Toc8593"/>
      <w:bookmarkStart w:id="89" w:name="_Toc419285564"/>
      <w:r>
        <w:rPr>
          <w:rFonts w:hint="eastAsia"/>
          <w:color w:val="auto"/>
          <w:highlight w:val="none"/>
          <w:lang w:val="en-US"/>
        </w:rPr>
        <w:t>二、招标文件</w:t>
      </w:r>
      <w:bookmarkEnd w:id="85"/>
      <w:bookmarkEnd w:id="86"/>
      <w:bookmarkEnd w:id="87"/>
      <w:bookmarkEnd w:id="88"/>
      <w:bookmarkEnd w:id="89"/>
    </w:p>
    <w:p w14:paraId="4DDA90FC">
      <w:pPr>
        <w:rPr>
          <w:b/>
          <w:color w:val="auto"/>
          <w:sz w:val="28"/>
          <w:szCs w:val="28"/>
          <w:highlight w:val="none"/>
        </w:rPr>
      </w:pPr>
      <w:bookmarkStart w:id="90" w:name="_Toc358982635"/>
      <w:bookmarkStart w:id="91" w:name="_Toc381345721"/>
      <w:bookmarkStart w:id="92" w:name="_Toc358982556"/>
      <w:bookmarkStart w:id="93" w:name="_Toc358982841"/>
      <w:bookmarkStart w:id="94" w:name="_Toc380659212"/>
      <w:bookmarkStart w:id="95" w:name="_Toc419285117"/>
      <w:bookmarkStart w:id="96" w:name="_Toc372481517"/>
      <w:bookmarkStart w:id="97" w:name="_Toc380660171"/>
      <w:bookmarkStart w:id="98" w:name="_Toc358982934"/>
      <w:bookmarkStart w:id="99" w:name="_Toc419285565"/>
      <w:r>
        <w:rPr>
          <w:rFonts w:hint="eastAsia"/>
          <w:b/>
          <w:color w:val="auto"/>
          <w:sz w:val="28"/>
          <w:szCs w:val="28"/>
          <w:highlight w:val="none"/>
        </w:rPr>
        <w:t>5.招标文件的内容</w:t>
      </w:r>
      <w:bookmarkEnd w:id="90"/>
      <w:bookmarkEnd w:id="91"/>
      <w:bookmarkEnd w:id="92"/>
      <w:bookmarkEnd w:id="93"/>
      <w:bookmarkEnd w:id="94"/>
      <w:bookmarkEnd w:id="95"/>
      <w:bookmarkEnd w:id="96"/>
      <w:bookmarkEnd w:id="97"/>
      <w:bookmarkEnd w:id="98"/>
      <w:bookmarkEnd w:id="99"/>
    </w:p>
    <w:p w14:paraId="04B48DC8">
      <w:pPr>
        <w:snapToGrid w:val="0"/>
        <w:spacing w:line="360" w:lineRule="auto"/>
        <w:ind w:firstLine="480" w:firstLineChars="200"/>
        <w:rPr>
          <w:snapToGrid w:val="0"/>
          <w:color w:val="auto"/>
          <w:szCs w:val="21"/>
          <w:highlight w:val="none"/>
        </w:rPr>
      </w:pPr>
      <w:r>
        <w:rPr>
          <w:rFonts w:hint="eastAsia"/>
          <w:snapToGrid w:val="0"/>
          <w:color w:val="auto"/>
          <w:szCs w:val="21"/>
          <w:highlight w:val="none"/>
        </w:rPr>
        <w:t>5.1 本招标文件</w:t>
      </w:r>
    </w:p>
    <w:p w14:paraId="7FE64659">
      <w:pPr>
        <w:snapToGrid w:val="0"/>
        <w:spacing w:line="360" w:lineRule="auto"/>
        <w:ind w:firstLine="1008" w:firstLineChars="420"/>
        <w:rPr>
          <w:snapToGrid w:val="0"/>
          <w:color w:val="auto"/>
          <w:szCs w:val="21"/>
          <w:highlight w:val="none"/>
        </w:rPr>
      </w:pPr>
      <w:r>
        <w:rPr>
          <w:color w:val="auto"/>
          <w:highlight w:val="none"/>
        </w:rPr>
        <w:fldChar w:fldCharType="begin"/>
      </w:r>
      <w:r>
        <w:rPr>
          <w:color w:val="auto"/>
          <w:highlight w:val="none"/>
        </w:rPr>
        <w:instrText xml:space="preserve"> HYPERLINK \l "_Toc17413_" </w:instrText>
      </w:r>
      <w:r>
        <w:rPr>
          <w:color w:val="auto"/>
          <w:highlight w:val="none"/>
        </w:rPr>
        <w:fldChar w:fldCharType="separate"/>
      </w:r>
      <w:r>
        <w:rPr>
          <w:rFonts w:hint="eastAsia"/>
          <w:snapToGrid w:val="0"/>
          <w:color w:val="auto"/>
          <w:szCs w:val="21"/>
          <w:highlight w:val="none"/>
        </w:rPr>
        <w:t>第一章  使用说明</w:t>
      </w:r>
      <w:r>
        <w:rPr>
          <w:rFonts w:hint="eastAsia"/>
          <w:snapToGrid w:val="0"/>
          <w:color w:val="auto"/>
          <w:szCs w:val="21"/>
          <w:highlight w:val="none"/>
        </w:rPr>
        <w:fldChar w:fldCharType="end"/>
      </w:r>
    </w:p>
    <w:p w14:paraId="0E3B09DE">
      <w:pPr>
        <w:snapToGrid w:val="0"/>
        <w:spacing w:line="360" w:lineRule="auto"/>
        <w:ind w:firstLine="1008" w:firstLineChars="420"/>
        <w:rPr>
          <w:snapToGrid w:val="0"/>
          <w:color w:val="auto"/>
          <w:szCs w:val="21"/>
          <w:highlight w:val="none"/>
        </w:rPr>
      </w:pPr>
      <w:r>
        <w:rPr>
          <w:color w:val="auto"/>
          <w:highlight w:val="none"/>
        </w:rPr>
        <w:fldChar w:fldCharType="begin"/>
      </w:r>
      <w:r>
        <w:rPr>
          <w:color w:val="auto"/>
          <w:highlight w:val="none"/>
        </w:rPr>
        <w:instrText xml:space="preserve"> HYPERLINK \l "_Toc1577_" </w:instrText>
      </w:r>
      <w:r>
        <w:rPr>
          <w:color w:val="auto"/>
          <w:highlight w:val="none"/>
        </w:rPr>
        <w:fldChar w:fldCharType="separate"/>
      </w:r>
      <w:r>
        <w:rPr>
          <w:rFonts w:hint="eastAsia"/>
          <w:snapToGrid w:val="0"/>
          <w:color w:val="auto"/>
          <w:szCs w:val="21"/>
          <w:highlight w:val="none"/>
        </w:rPr>
        <w:t>第二章  投标须知</w:t>
      </w:r>
      <w:r>
        <w:rPr>
          <w:rFonts w:hint="eastAsia"/>
          <w:snapToGrid w:val="0"/>
          <w:color w:val="auto"/>
          <w:szCs w:val="21"/>
          <w:highlight w:val="none"/>
        </w:rPr>
        <w:fldChar w:fldCharType="end"/>
      </w:r>
    </w:p>
    <w:p w14:paraId="43C7C36C">
      <w:pPr>
        <w:snapToGrid w:val="0"/>
        <w:spacing w:line="360" w:lineRule="auto"/>
        <w:ind w:firstLine="1008" w:firstLineChars="420"/>
        <w:rPr>
          <w:snapToGrid w:val="0"/>
          <w:color w:val="auto"/>
          <w:szCs w:val="21"/>
          <w:highlight w:val="none"/>
        </w:rPr>
      </w:pPr>
      <w:r>
        <w:rPr>
          <w:color w:val="auto"/>
          <w:highlight w:val="none"/>
        </w:rPr>
        <w:fldChar w:fldCharType="begin"/>
      </w:r>
      <w:r>
        <w:rPr>
          <w:color w:val="auto"/>
          <w:highlight w:val="none"/>
        </w:rPr>
        <w:instrText xml:space="preserve"> HYPERLINK \l "_Toc11288_" </w:instrText>
      </w:r>
      <w:r>
        <w:rPr>
          <w:color w:val="auto"/>
          <w:highlight w:val="none"/>
        </w:rPr>
        <w:fldChar w:fldCharType="separate"/>
      </w:r>
      <w:r>
        <w:rPr>
          <w:rFonts w:hint="eastAsia"/>
          <w:snapToGrid w:val="0"/>
          <w:color w:val="auto"/>
          <w:szCs w:val="21"/>
          <w:highlight w:val="none"/>
        </w:rPr>
        <w:t>第三章  招标人对招标文件及合同范本的补充</w:t>
      </w:r>
      <w:r>
        <w:rPr>
          <w:snapToGrid w:val="0"/>
          <w:color w:val="auto"/>
          <w:szCs w:val="21"/>
          <w:highlight w:val="none"/>
        </w:rPr>
        <w:t>/修改</w:t>
      </w:r>
      <w:r>
        <w:rPr>
          <w:snapToGrid w:val="0"/>
          <w:color w:val="auto"/>
          <w:szCs w:val="21"/>
          <w:highlight w:val="none"/>
        </w:rPr>
        <w:fldChar w:fldCharType="end"/>
      </w:r>
    </w:p>
    <w:p w14:paraId="00F835E0">
      <w:pPr>
        <w:snapToGrid w:val="0"/>
        <w:spacing w:line="360" w:lineRule="auto"/>
        <w:ind w:firstLine="1008" w:firstLineChars="420"/>
        <w:rPr>
          <w:snapToGrid w:val="0"/>
          <w:color w:val="auto"/>
          <w:szCs w:val="21"/>
          <w:highlight w:val="none"/>
        </w:rPr>
      </w:pPr>
      <w:r>
        <w:rPr>
          <w:color w:val="auto"/>
          <w:highlight w:val="none"/>
        </w:rPr>
        <w:fldChar w:fldCharType="begin"/>
      </w:r>
      <w:r>
        <w:rPr>
          <w:color w:val="auto"/>
          <w:highlight w:val="none"/>
        </w:rPr>
        <w:instrText xml:space="preserve"> HYPERLINK \l "_Toc18782_" </w:instrText>
      </w:r>
      <w:r>
        <w:rPr>
          <w:color w:val="auto"/>
          <w:highlight w:val="none"/>
        </w:rPr>
        <w:fldChar w:fldCharType="separate"/>
      </w:r>
      <w:r>
        <w:rPr>
          <w:rFonts w:hint="eastAsia"/>
          <w:snapToGrid w:val="0"/>
          <w:color w:val="auto"/>
          <w:szCs w:val="21"/>
          <w:highlight w:val="none"/>
        </w:rPr>
        <w:t>第四章  投标文件格式</w:t>
      </w:r>
      <w:r>
        <w:rPr>
          <w:rFonts w:hint="eastAsia"/>
          <w:snapToGrid w:val="0"/>
          <w:color w:val="auto"/>
          <w:szCs w:val="21"/>
          <w:highlight w:val="none"/>
        </w:rPr>
        <w:fldChar w:fldCharType="end"/>
      </w:r>
    </w:p>
    <w:p w14:paraId="0302E417">
      <w:pPr>
        <w:snapToGrid w:val="0"/>
        <w:spacing w:line="360" w:lineRule="auto"/>
        <w:ind w:firstLine="1008" w:firstLineChars="420"/>
        <w:rPr>
          <w:snapToGrid w:val="0"/>
          <w:color w:val="auto"/>
          <w:szCs w:val="21"/>
          <w:highlight w:val="none"/>
        </w:rPr>
      </w:pPr>
      <w:r>
        <w:rPr>
          <w:color w:val="auto"/>
          <w:highlight w:val="none"/>
        </w:rPr>
        <w:fldChar w:fldCharType="begin"/>
      </w:r>
      <w:r>
        <w:rPr>
          <w:color w:val="auto"/>
          <w:highlight w:val="none"/>
        </w:rPr>
        <w:instrText xml:space="preserve"> HYPERLINK \l "_Toc5300_" </w:instrText>
      </w:r>
      <w:r>
        <w:rPr>
          <w:color w:val="auto"/>
          <w:highlight w:val="none"/>
        </w:rPr>
        <w:fldChar w:fldCharType="separate"/>
      </w:r>
      <w:r>
        <w:rPr>
          <w:rFonts w:hint="eastAsia"/>
          <w:snapToGrid w:val="0"/>
          <w:color w:val="auto"/>
          <w:szCs w:val="21"/>
          <w:highlight w:val="none"/>
        </w:rPr>
        <w:t>第五章</w:t>
      </w:r>
      <w:r>
        <w:rPr>
          <w:snapToGrid w:val="0"/>
          <w:color w:val="auto"/>
          <w:szCs w:val="21"/>
          <w:highlight w:val="none"/>
        </w:rPr>
        <w:t xml:space="preserve">  </w:t>
      </w:r>
      <w:r>
        <w:rPr>
          <w:rFonts w:hint="eastAsia"/>
          <w:snapToGrid w:val="0"/>
          <w:color w:val="auto"/>
          <w:szCs w:val="21"/>
          <w:highlight w:val="none"/>
        </w:rPr>
        <w:t>合同条款及格式</w:t>
      </w:r>
      <w:r>
        <w:rPr>
          <w:rFonts w:hint="eastAsia"/>
          <w:snapToGrid w:val="0"/>
          <w:color w:val="auto"/>
          <w:szCs w:val="21"/>
          <w:highlight w:val="none"/>
        </w:rPr>
        <w:fldChar w:fldCharType="end"/>
      </w:r>
    </w:p>
    <w:p w14:paraId="614B2474">
      <w:pPr>
        <w:snapToGrid w:val="0"/>
        <w:spacing w:line="360" w:lineRule="auto"/>
        <w:ind w:firstLine="1008" w:firstLineChars="420"/>
        <w:rPr>
          <w:snapToGrid w:val="0"/>
          <w:color w:val="auto"/>
          <w:szCs w:val="21"/>
          <w:highlight w:val="none"/>
        </w:rPr>
      </w:pPr>
      <w:r>
        <w:rPr>
          <w:color w:val="auto"/>
          <w:highlight w:val="none"/>
        </w:rPr>
        <w:fldChar w:fldCharType="begin"/>
      </w:r>
      <w:r>
        <w:rPr>
          <w:color w:val="auto"/>
          <w:highlight w:val="none"/>
        </w:rPr>
        <w:instrText xml:space="preserve"> HYPERLINK \l "_Toc13141_" </w:instrText>
      </w:r>
      <w:r>
        <w:rPr>
          <w:color w:val="auto"/>
          <w:highlight w:val="none"/>
        </w:rPr>
        <w:fldChar w:fldCharType="separate"/>
      </w:r>
      <w:r>
        <w:rPr>
          <w:rFonts w:hint="eastAsia"/>
          <w:snapToGrid w:val="0"/>
          <w:color w:val="auto"/>
          <w:szCs w:val="21"/>
          <w:highlight w:val="none"/>
        </w:rPr>
        <w:t>第六章</w:t>
      </w:r>
      <w:r>
        <w:rPr>
          <w:snapToGrid w:val="0"/>
          <w:color w:val="auto"/>
          <w:szCs w:val="21"/>
          <w:highlight w:val="none"/>
        </w:rPr>
        <w:t xml:space="preserve">  </w:t>
      </w:r>
      <w:r>
        <w:rPr>
          <w:snapToGrid w:val="0"/>
          <w:color w:val="auto"/>
          <w:szCs w:val="21"/>
          <w:highlight w:val="none"/>
        </w:rPr>
        <w:fldChar w:fldCharType="end"/>
      </w:r>
      <w:r>
        <w:rPr>
          <w:rFonts w:hint="eastAsia"/>
          <w:snapToGrid w:val="0"/>
          <w:color w:val="auto"/>
          <w:szCs w:val="21"/>
          <w:highlight w:val="none"/>
        </w:rPr>
        <w:t>任务书</w:t>
      </w:r>
      <w:r>
        <w:rPr>
          <w:snapToGrid w:val="0"/>
          <w:color w:val="auto"/>
          <w:szCs w:val="21"/>
          <w:highlight w:val="none"/>
        </w:rPr>
        <w:t xml:space="preserve"> </w:t>
      </w:r>
    </w:p>
    <w:p w14:paraId="363E309D">
      <w:pPr>
        <w:snapToGrid w:val="0"/>
        <w:spacing w:line="360" w:lineRule="auto"/>
        <w:ind w:firstLine="1008" w:firstLineChars="420"/>
        <w:rPr>
          <w:snapToGrid w:val="0"/>
          <w:color w:val="auto"/>
          <w:szCs w:val="21"/>
          <w:highlight w:val="none"/>
        </w:rPr>
      </w:pPr>
      <w:r>
        <w:rPr>
          <w:color w:val="auto"/>
          <w:highlight w:val="none"/>
        </w:rPr>
        <w:fldChar w:fldCharType="begin"/>
      </w:r>
      <w:r>
        <w:rPr>
          <w:color w:val="auto"/>
          <w:highlight w:val="none"/>
        </w:rPr>
        <w:instrText xml:space="preserve"> HYPERLINK \l "_Toc13141_" </w:instrText>
      </w:r>
      <w:r>
        <w:rPr>
          <w:color w:val="auto"/>
          <w:highlight w:val="none"/>
        </w:rPr>
        <w:fldChar w:fldCharType="separate"/>
      </w:r>
      <w:r>
        <w:rPr>
          <w:rFonts w:hint="eastAsia"/>
          <w:snapToGrid w:val="0"/>
          <w:color w:val="auto"/>
          <w:szCs w:val="21"/>
          <w:highlight w:val="none"/>
        </w:rPr>
        <w:t>第七章</w:t>
      </w:r>
      <w:r>
        <w:rPr>
          <w:snapToGrid w:val="0"/>
          <w:color w:val="auto"/>
          <w:szCs w:val="21"/>
          <w:highlight w:val="none"/>
        </w:rPr>
        <w:t xml:space="preserve">  </w:t>
      </w:r>
      <w:r>
        <w:rPr>
          <w:snapToGrid w:val="0"/>
          <w:color w:val="auto"/>
          <w:szCs w:val="21"/>
          <w:highlight w:val="none"/>
        </w:rPr>
        <w:fldChar w:fldCharType="end"/>
      </w:r>
      <w:r>
        <w:rPr>
          <w:snapToGrid w:val="0"/>
          <w:color w:val="auto"/>
          <w:szCs w:val="21"/>
          <w:highlight w:val="none"/>
        </w:rPr>
        <w:t xml:space="preserve">相关附件 </w:t>
      </w:r>
    </w:p>
    <w:p w14:paraId="5A3B86C4">
      <w:pPr>
        <w:snapToGrid w:val="0"/>
        <w:spacing w:line="360" w:lineRule="auto"/>
        <w:rPr>
          <w:snapToGrid w:val="0"/>
          <w:color w:val="auto"/>
          <w:szCs w:val="21"/>
          <w:highlight w:val="none"/>
        </w:rPr>
      </w:pPr>
    </w:p>
    <w:p w14:paraId="7C130EAB">
      <w:pPr>
        <w:snapToGrid w:val="0"/>
        <w:spacing w:line="360" w:lineRule="auto"/>
        <w:ind w:firstLine="484" w:firstLineChars="202"/>
        <w:rPr>
          <w:snapToGrid w:val="0"/>
          <w:color w:val="auto"/>
          <w:szCs w:val="21"/>
          <w:highlight w:val="none"/>
        </w:rPr>
      </w:pPr>
      <w:r>
        <w:rPr>
          <w:rFonts w:hint="eastAsia"/>
          <w:snapToGrid w:val="0"/>
          <w:color w:val="auto"/>
          <w:szCs w:val="21"/>
          <w:highlight w:val="none"/>
        </w:rPr>
        <w:t>5.2 投标人应认真检阅招标文件中所有的须知、条件、格式、项目、规范等参考 标须知的规定，招标人有权拒绝没有实质上响应招标文件要求的投标文件。</w:t>
      </w:r>
    </w:p>
    <w:p w14:paraId="1BC21714">
      <w:pPr>
        <w:rPr>
          <w:b/>
          <w:color w:val="auto"/>
          <w:sz w:val="28"/>
          <w:szCs w:val="28"/>
          <w:highlight w:val="none"/>
        </w:rPr>
      </w:pPr>
      <w:bookmarkStart w:id="100" w:name="_Toc358982557"/>
      <w:bookmarkStart w:id="101" w:name="_Toc380660172"/>
      <w:bookmarkStart w:id="102" w:name="_Toc419285118"/>
      <w:bookmarkStart w:id="103" w:name="_Toc358982935"/>
      <w:bookmarkStart w:id="104" w:name="_Toc380659213"/>
      <w:bookmarkStart w:id="105" w:name="_Toc358982636"/>
      <w:bookmarkStart w:id="106" w:name="_Toc358982842"/>
      <w:bookmarkStart w:id="107" w:name="_Toc419285566"/>
      <w:bookmarkStart w:id="108" w:name="_Toc372481518"/>
      <w:bookmarkStart w:id="109" w:name="_Toc381345722"/>
      <w:r>
        <w:rPr>
          <w:rFonts w:hint="eastAsia"/>
          <w:b/>
          <w:color w:val="auto"/>
          <w:sz w:val="28"/>
          <w:szCs w:val="28"/>
          <w:highlight w:val="none"/>
        </w:rPr>
        <w:t>6.</w:t>
      </w:r>
      <w:r>
        <w:rPr>
          <w:b/>
          <w:color w:val="auto"/>
          <w:sz w:val="28"/>
          <w:szCs w:val="28"/>
          <w:highlight w:val="none"/>
        </w:rPr>
        <w:t xml:space="preserve"> </w:t>
      </w:r>
      <w:r>
        <w:rPr>
          <w:rFonts w:hint="eastAsia"/>
          <w:b/>
          <w:color w:val="auto"/>
          <w:sz w:val="28"/>
          <w:szCs w:val="28"/>
          <w:highlight w:val="none"/>
        </w:rPr>
        <w:t>招标文件的澄清</w:t>
      </w:r>
      <w:bookmarkEnd w:id="100"/>
      <w:bookmarkEnd w:id="101"/>
      <w:bookmarkEnd w:id="102"/>
      <w:bookmarkEnd w:id="103"/>
      <w:bookmarkEnd w:id="104"/>
      <w:bookmarkEnd w:id="105"/>
      <w:bookmarkEnd w:id="106"/>
      <w:bookmarkEnd w:id="107"/>
      <w:bookmarkEnd w:id="108"/>
      <w:bookmarkEnd w:id="109"/>
    </w:p>
    <w:p w14:paraId="03D57B3B">
      <w:pPr>
        <w:snapToGrid w:val="0"/>
        <w:spacing w:line="360" w:lineRule="auto"/>
        <w:ind w:firstLine="480" w:firstLineChars="200"/>
        <w:rPr>
          <w:snapToGrid w:val="0"/>
          <w:color w:val="auto"/>
          <w:szCs w:val="21"/>
          <w:highlight w:val="none"/>
        </w:rPr>
      </w:pPr>
      <w:r>
        <w:rPr>
          <w:rFonts w:hint="eastAsia"/>
          <w:snapToGrid w:val="0"/>
          <w:color w:val="auto"/>
          <w:szCs w:val="21"/>
          <w:highlight w:val="none"/>
        </w:rPr>
        <w:t>6.1 投标人如果对招标文件以及其它事项有疑问，应在</w:t>
      </w:r>
      <w:r>
        <w:rPr>
          <w:rFonts w:hint="eastAsia"/>
          <w:snapToGrid w:val="0"/>
          <w:color w:val="auto"/>
          <w:szCs w:val="21"/>
          <w:highlight w:val="none"/>
          <w:u w:val="single"/>
        </w:rPr>
        <w:t>投标人须知前附表截止时间之前</w:t>
      </w:r>
      <w:r>
        <w:rPr>
          <w:rFonts w:hint="eastAsia"/>
          <w:snapToGrid w:val="0"/>
          <w:color w:val="auto"/>
          <w:szCs w:val="21"/>
          <w:highlight w:val="none"/>
        </w:rPr>
        <w:t>，向招标人书面函件询问。</w:t>
      </w:r>
    </w:p>
    <w:p w14:paraId="2E2E815F">
      <w:pPr>
        <w:snapToGrid w:val="0"/>
        <w:spacing w:line="360" w:lineRule="auto"/>
        <w:ind w:firstLine="480" w:firstLineChars="200"/>
        <w:rPr>
          <w:snapToGrid w:val="0"/>
          <w:color w:val="auto"/>
          <w:szCs w:val="21"/>
          <w:highlight w:val="none"/>
        </w:rPr>
      </w:pPr>
      <w:r>
        <w:rPr>
          <w:rFonts w:hint="eastAsia"/>
          <w:snapToGrid w:val="0"/>
          <w:color w:val="auto"/>
          <w:szCs w:val="21"/>
          <w:highlight w:val="none"/>
        </w:rPr>
        <w:t>6.2 关于上述6</w:t>
      </w:r>
      <w:r>
        <w:rPr>
          <w:snapToGrid w:val="0"/>
          <w:color w:val="auto"/>
          <w:szCs w:val="21"/>
          <w:highlight w:val="none"/>
        </w:rPr>
        <w:t>.1</w:t>
      </w:r>
      <w:r>
        <w:rPr>
          <w:rFonts w:hint="eastAsia"/>
          <w:snapToGrid w:val="0"/>
          <w:color w:val="auto"/>
          <w:szCs w:val="21"/>
          <w:highlight w:val="none"/>
        </w:rPr>
        <w:t>条款询问的答疑，不能用来解释合同。除非招标人对招标文件作了修改，并以补遗书的形式在编标过程中发给每个投标人。</w:t>
      </w:r>
    </w:p>
    <w:p w14:paraId="12447ED7">
      <w:pPr>
        <w:snapToGrid w:val="0"/>
        <w:spacing w:line="360" w:lineRule="auto"/>
        <w:ind w:firstLine="480" w:firstLineChars="200"/>
        <w:rPr>
          <w:snapToGrid w:val="0"/>
          <w:color w:val="auto"/>
          <w:szCs w:val="21"/>
          <w:highlight w:val="none"/>
        </w:rPr>
      </w:pPr>
    </w:p>
    <w:p w14:paraId="1131FB03">
      <w:pPr>
        <w:pStyle w:val="6"/>
        <w:keepNext w:val="0"/>
        <w:keepLines w:val="0"/>
        <w:widowControl w:val="0"/>
        <w:tabs>
          <w:tab w:val="left" w:pos="720"/>
          <w:tab w:val="left" w:pos="4032"/>
        </w:tabs>
        <w:adjustRightInd w:val="0"/>
        <w:snapToGrid w:val="0"/>
        <w:spacing w:before="0" w:after="0" w:line="360" w:lineRule="auto"/>
        <w:jc w:val="center"/>
        <w:rPr>
          <w:color w:val="auto"/>
          <w:highlight w:val="none"/>
        </w:rPr>
      </w:pPr>
      <w:bookmarkStart w:id="110" w:name="_Toc381345725"/>
      <w:bookmarkStart w:id="111" w:name="_Toc21399"/>
      <w:bookmarkStart w:id="112" w:name="_Toc419285120"/>
      <w:bookmarkStart w:id="113" w:name="_Toc71560601"/>
      <w:bookmarkStart w:id="114" w:name="_Toc257713373"/>
      <w:bookmarkStart w:id="115" w:name="_Toc419285568"/>
      <w:bookmarkStart w:id="116" w:name="_Toc253046957"/>
      <w:r>
        <w:rPr>
          <w:rFonts w:hint="eastAsia"/>
          <w:color w:val="auto"/>
          <w:highlight w:val="none"/>
          <w:lang w:val="en-US"/>
        </w:rPr>
        <w:t>三、投标文件的编制</w:t>
      </w:r>
      <w:bookmarkEnd w:id="110"/>
      <w:bookmarkEnd w:id="111"/>
      <w:bookmarkEnd w:id="112"/>
      <w:bookmarkEnd w:id="113"/>
      <w:bookmarkEnd w:id="114"/>
      <w:bookmarkEnd w:id="115"/>
      <w:bookmarkEnd w:id="116"/>
    </w:p>
    <w:p w14:paraId="7BDEC97F">
      <w:pPr>
        <w:rPr>
          <w:b/>
          <w:color w:val="auto"/>
          <w:sz w:val="28"/>
          <w:szCs w:val="28"/>
          <w:highlight w:val="none"/>
        </w:rPr>
      </w:pPr>
      <w:bookmarkStart w:id="117" w:name="_Toc380659215"/>
      <w:bookmarkStart w:id="118" w:name="_Toc358982638"/>
      <w:bookmarkStart w:id="119" w:name="_Toc381345726"/>
      <w:bookmarkStart w:id="120" w:name="_Toc358982559"/>
      <w:bookmarkStart w:id="121" w:name="_Toc358982937"/>
      <w:bookmarkStart w:id="122" w:name="_Toc380660176"/>
      <w:bookmarkStart w:id="123" w:name="_Toc419285121"/>
      <w:bookmarkStart w:id="124" w:name="_Toc358982844"/>
      <w:bookmarkStart w:id="125" w:name="_Toc372481520"/>
      <w:bookmarkStart w:id="126" w:name="_Toc419285569"/>
      <w:r>
        <w:rPr>
          <w:rFonts w:hint="eastAsia"/>
          <w:b/>
          <w:color w:val="auto"/>
          <w:sz w:val="28"/>
          <w:szCs w:val="28"/>
          <w:highlight w:val="none"/>
        </w:rPr>
        <w:t>7.</w:t>
      </w:r>
      <w:r>
        <w:rPr>
          <w:b/>
          <w:color w:val="auto"/>
          <w:sz w:val="28"/>
          <w:szCs w:val="28"/>
          <w:highlight w:val="none"/>
        </w:rPr>
        <w:t xml:space="preserve"> </w:t>
      </w:r>
      <w:r>
        <w:rPr>
          <w:rFonts w:hint="eastAsia"/>
          <w:b/>
          <w:color w:val="auto"/>
          <w:sz w:val="28"/>
          <w:szCs w:val="28"/>
          <w:highlight w:val="none"/>
        </w:rPr>
        <w:t>组成投标文件的文件</w:t>
      </w:r>
      <w:bookmarkEnd w:id="117"/>
      <w:bookmarkEnd w:id="118"/>
      <w:bookmarkEnd w:id="119"/>
      <w:bookmarkEnd w:id="120"/>
      <w:bookmarkEnd w:id="121"/>
      <w:bookmarkEnd w:id="122"/>
      <w:bookmarkEnd w:id="123"/>
      <w:bookmarkEnd w:id="124"/>
      <w:bookmarkEnd w:id="125"/>
      <w:bookmarkEnd w:id="126"/>
    </w:p>
    <w:p w14:paraId="6D7D5F35">
      <w:pPr>
        <w:snapToGrid w:val="0"/>
        <w:spacing w:line="360" w:lineRule="auto"/>
        <w:ind w:firstLine="480" w:firstLineChars="200"/>
        <w:rPr>
          <w:snapToGrid w:val="0"/>
          <w:color w:val="auto"/>
          <w:szCs w:val="21"/>
          <w:highlight w:val="none"/>
        </w:rPr>
      </w:pPr>
      <w:bookmarkStart w:id="127" w:name="_Toc380660177"/>
      <w:bookmarkStart w:id="128" w:name="_Toc419285122"/>
      <w:bookmarkStart w:id="129" w:name="_Toc419285570"/>
      <w:bookmarkStart w:id="130" w:name="_Toc381345727"/>
      <w:r>
        <w:rPr>
          <w:rFonts w:hint="eastAsia"/>
          <w:snapToGrid w:val="0"/>
          <w:color w:val="auto"/>
          <w:szCs w:val="21"/>
          <w:highlight w:val="none"/>
        </w:rPr>
        <w:t>7</w:t>
      </w:r>
      <w:r>
        <w:rPr>
          <w:snapToGrid w:val="0"/>
          <w:color w:val="auto"/>
          <w:szCs w:val="21"/>
          <w:highlight w:val="none"/>
        </w:rPr>
        <w:t>.1</w:t>
      </w:r>
      <w:r>
        <w:rPr>
          <w:rFonts w:hint="eastAsia"/>
          <w:color w:val="auto"/>
          <w:szCs w:val="21"/>
          <w:highlight w:val="none"/>
        </w:rPr>
        <w:t>投标文件组成</w:t>
      </w:r>
      <w:bookmarkEnd w:id="127"/>
      <w:bookmarkEnd w:id="128"/>
      <w:bookmarkEnd w:id="129"/>
      <w:bookmarkEnd w:id="130"/>
      <w:r>
        <w:rPr>
          <w:rFonts w:hint="eastAsia"/>
          <w:color w:val="auto"/>
          <w:szCs w:val="21"/>
          <w:highlight w:val="none"/>
        </w:rPr>
        <w:t>详见投标须知前附表相关内容要求。</w:t>
      </w:r>
    </w:p>
    <w:p w14:paraId="73E5CDBD">
      <w:pPr>
        <w:snapToGrid w:val="0"/>
        <w:spacing w:line="360" w:lineRule="auto"/>
        <w:ind w:firstLine="480" w:firstLineChars="200"/>
        <w:rPr>
          <w:snapToGrid w:val="0"/>
          <w:color w:val="auto"/>
          <w:szCs w:val="21"/>
          <w:highlight w:val="none"/>
        </w:rPr>
      </w:pPr>
      <w:r>
        <w:rPr>
          <w:rFonts w:hint="eastAsia"/>
          <w:snapToGrid w:val="0"/>
          <w:color w:val="auto"/>
          <w:szCs w:val="21"/>
          <w:highlight w:val="none"/>
        </w:rPr>
        <w:t>7</w:t>
      </w:r>
      <w:r>
        <w:rPr>
          <w:snapToGrid w:val="0"/>
          <w:color w:val="auto"/>
          <w:szCs w:val="21"/>
          <w:highlight w:val="none"/>
        </w:rPr>
        <w:t xml:space="preserve">.2 </w:t>
      </w:r>
      <w:r>
        <w:rPr>
          <w:rFonts w:hint="eastAsia"/>
          <w:snapToGrid w:val="0"/>
          <w:color w:val="auto"/>
          <w:szCs w:val="21"/>
          <w:highlight w:val="none"/>
        </w:rPr>
        <w:t>投标人必须按照招标文件要求的内容、投标文件格式及其它附件、资料的要求如实填写（表格可以按同样格式扩展、缩小，但内容和项目不能变化）。</w:t>
      </w:r>
    </w:p>
    <w:p w14:paraId="51820B0F">
      <w:pPr>
        <w:rPr>
          <w:b/>
          <w:color w:val="auto"/>
          <w:sz w:val="28"/>
          <w:szCs w:val="28"/>
          <w:highlight w:val="none"/>
        </w:rPr>
      </w:pPr>
      <w:bookmarkStart w:id="131" w:name="_Toc358982938"/>
      <w:bookmarkStart w:id="132" w:name="_Toc358982560"/>
      <w:bookmarkStart w:id="133" w:name="_Toc419285571"/>
      <w:bookmarkStart w:id="134" w:name="_Toc380659216"/>
      <w:bookmarkStart w:id="135" w:name="_Toc358982845"/>
      <w:bookmarkStart w:id="136" w:name="_Toc419285123"/>
      <w:bookmarkStart w:id="137" w:name="_Toc372481521"/>
      <w:bookmarkStart w:id="138" w:name="_Toc381345728"/>
      <w:bookmarkStart w:id="139" w:name="_Toc380660178"/>
      <w:bookmarkStart w:id="140" w:name="_Toc358982639"/>
      <w:r>
        <w:rPr>
          <w:rFonts w:hint="eastAsia"/>
          <w:b/>
          <w:color w:val="auto"/>
          <w:sz w:val="28"/>
          <w:szCs w:val="28"/>
          <w:highlight w:val="none"/>
        </w:rPr>
        <w:t>8.</w:t>
      </w:r>
      <w:r>
        <w:rPr>
          <w:b/>
          <w:color w:val="auto"/>
          <w:sz w:val="28"/>
          <w:szCs w:val="28"/>
          <w:highlight w:val="none"/>
        </w:rPr>
        <w:t xml:space="preserve"> </w:t>
      </w:r>
      <w:r>
        <w:rPr>
          <w:rFonts w:hint="eastAsia"/>
          <w:b/>
          <w:color w:val="auto"/>
          <w:sz w:val="28"/>
          <w:szCs w:val="28"/>
          <w:highlight w:val="none"/>
        </w:rPr>
        <w:t>投标价格</w:t>
      </w:r>
      <w:bookmarkEnd w:id="131"/>
      <w:bookmarkEnd w:id="132"/>
      <w:bookmarkEnd w:id="133"/>
      <w:bookmarkEnd w:id="134"/>
      <w:bookmarkEnd w:id="135"/>
      <w:bookmarkEnd w:id="136"/>
      <w:bookmarkEnd w:id="137"/>
      <w:bookmarkEnd w:id="138"/>
      <w:bookmarkEnd w:id="139"/>
      <w:bookmarkEnd w:id="140"/>
    </w:p>
    <w:p w14:paraId="6DC17701">
      <w:pPr>
        <w:snapToGrid w:val="0"/>
        <w:spacing w:line="360" w:lineRule="auto"/>
        <w:ind w:firstLine="480" w:firstLineChars="200"/>
        <w:rPr>
          <w:snapToGrid w:val="0"/>
          <w:color w:val="auto"/>
          <w:szCs w:val="21"/>
          <w:highlight w:val="none"/>
        </w:rPr>
      </w:pPr>
      <w:r>
        <w:rPr>
          <w:rFonts w:hint="eastAsia"/>
          <w:snapToGrid w:val="0"/>
          <w:color w:val="auto"/>
          <w:szCs w:val="21"/>
          <w:highlight w:val="none"/>
        </w:rPr>
        <w:t>8.1 投标价格</w:t>
      </w:r>
      <w:r>
        <w:rPr>
          <w:snapToGrid w:val="0"/>
          <w:color w:val="auto"/>
          <w:szCs w:val="21"/>
          <w:highlight w:val="none"/>
        </w:rPr>
        <w:t>指根据合同规定</w:t>
      </w:r>
      <w:r>
        <w:rPr>
          <w:rFonts w:hint="eastAsia"/>
          <w:snapToGrid w:val="0"/>
          <w:color w:val="auto"/>
          <w:szCs w:val="21"/>
          <w:highlight w:val="none"/>
        </w:rPr>
        <w:t>中标方</w:t>
      </w:r>
      <w:r>
        <w:rPr>
          <w:snapToGrid w:val="0"/>
          <w:color w:val="auto"/>
          <w:szCs w:val="21"/>
          <w:highlight w:val="none"/>
        </w:rPr>
        <w:t>在正确</w:t>
      </w:r>
      <w:r>
        <w:rPr>
          <w:rFonts w:hint="eastAsia"/>
          <w:snapToGrid w:val="0"/>
          <w:color w:val="auto"/>
          <w:szCs w:val="21"/>
          <w:highlight w:val="none"/>
        </w:rPr>
        <w:t>地完全</w:t>
      </w:r>
      <w:r>
        <w:rPr>
          <w:snapToGrid w:val="0"/>
          <w:color w:val="auto"/>
          <w:szCs w:val="21"/>
          <w:highlight w:val="none"/>
        </w:rPr>
        <w:t>履行合同义务后，</w:t>
      </w:r>
      <w:r>
        <w:rPr>
          <w:rFonts w:hint="eastAsia"/>
          <w:snapToGrid w:val="0"/>
          <w:color w:val="auto"/>
          <w:szCs w:val="21"/>
          <w:highlight w:val="none"/>
        </w:rPr>
        <w:t>甲方</w:t>
      </w:r>
      <w:r>
        <w:rPr>
          <w:snapToGrid w:val="0"/>
          <w:color w:val="auto"/>
          <w:szCs w:val="21"/>
          <w:highlight w:val="none"/>
        </w:rPr>
        <w:t>应支付给</w:t>
      </w:r>
      <w:r>
        <w:rPr>
          <w:rFonts w:hint="eastAsia"/>
          <w:snapToGrid w:val="0"/>
          <w:color w:val="auto"/>
          <w:szCs w:val="21"/>
          <w:highlight w:val="none"/>
        </w:rPr>
        <w:t>乙方</w:t>
      </w:r>
      <w:r>
        <w:rPr>
          <w:snapToGrid w:val="0"/>
          <w:color w:val="auto"/>
          <w:szCs w:val="21"/>
          <w:highlight w:val="none"/>
        </w:rPr>
        <w:t>的</w:t>
      </w:r>
      <w:r>
        <w:rPr>
          <w:rFonts w:hint="eastAsia"/>
          <w:snapToGrid w:val="0"/>
          <w:color w:val="auto"/>
          <w:szCs w:val="21"/>
          <w:highlight w:val="none"/>
        </w:rPr>
        <w:t>费用。</w:t>
      </w:r>
    </w:p>
    <w:p w14:paraId="1DB32477">
      <w:pPr>
        <w:snapToGrid w:val="0"/>
        <w:spacing w:line="360" w:lineRule="auto"/>
        <w:ind w:firstLine="480" w:firstLineChars="200"/>
        <w:rPr>
          <w:snapToGrid w:val="0"/>
          <w:color w:val="auto"/>
          <w:szCs w:val="21"/>
          <w:highlight w:val="none"/>
        </w:rPr>
      </w:pPr>
      <w:bookmarkStart w:id="141" w:name="_Toc380660179"/>
      <w:bookmarkStart w:id="142" w:name="_Toc419285572"/>
      <w:bookmarkStart w:id="143" w:name="_Toc381345729"/>
      <w:bookmarkStart w:id="144" w:name="_Toc419285124"/>
      <w:r>
        <w:rPr>
          <w:rFonts w:hint="eastAsia"/>
          <w:snapToGrid w:val="0"/>
          <w:color w:val="auto"/>
          <w:szCs w:val="21"/>
          <w:highlight w:val="none"/>
        </w:rPr>
        <w:t>8.2 投标文件的价格用人民币表示。</w:t>
      </w:r>
      <w:bookmarkEnd w:id="141"/>
      <w:bookmarkEnd w:id="142"/>
      <w:bookmarkEnd w:id="143"/>
      <w:bookmarkEnd w:id="144"/>
    </w:p>
    <w:p w14:paraId="1942EDA4">
      <w:pPr>
        <w:snapToGrid w:val="0"/>
        <w:spacing w:line="360" w:lineRule="auto"/>
        <w:ind w:firstLine="480" w:firstLineChars="200"/>
        <w:rPr>
          <w:snapToGrid w:val="0"/>
          <w:color w:val="auto"/>
          <w:szCs w:val="21"/>
          <w:highlight w:val="none"/>
        </w:rPr>
      </w:pPr>
      <w:r>
        <w:rPr>
          <w:rFonts w:hint="eastAsia"/>
          <w:snapToGrid w:val="0"/>
          <w:color w:val="auto"/>
          <w:szCs w:val="21"/>
          <w:highlight w:val="none"/>
        </w:rPr>
        <w:t>8.3本合同为总价合同。</w:t>
      </w:r>
    </w:p>
    <w:p w14:paraId="5E4E1616">
      <w:pPr>
        <w:rPr>
          <w:b/>
          <w:color w:val="auto"/>
          <w:sz w:val="28"/>
          <w:szCs w:val="28"/>
          <w:highlight w:val="none"/>
        </w:rPr>
      </w:pPr>
      <w:bookmarkStart w:id="145" w:name="_Toc380659217"/>
      <w:bookmarkStart w:id="146" w:name="_Toc358982561"/>
      <w:bookmarkStart w:id="147" w:name="_Toc358982846"/>
      <w:bookmarkStart w:id="148" w:name="_Toc380660180"/>
      <w:bookmarkStart w:id="149" w:name="_Toc372481522"/>
      <w:bookmarkStart w:id="150" w:name="_Toc358982939"/>
      <w:bookmarkStart w:id="151" w:name="_Toc419285125"/>
      <w:bookmarkStart w:id="152" w:name="_Toc358982640"/>
      <w:bookmarkStart w:id="153" w:name="_Toc419285573"/>
      <w:bookmarkStart w:id="154" w:name="_Toc381345730"/>
      <w:r>
        <w:rPr>
          <w:rFonts w:hint="eastAsia"/>
          <w:b/>
          <w:color w:val="auto"/>
          <w:sz w:val="28"/>
          <w:szCs w:val="28"/>
          <w:highlight w:val="none"/>
        </w:rPr>
        <w:t>9.</w:t>
      </w:r>
      <w:r>
        <w:rPr>
          <w:b/>
          <w:color w:val="auto"/>
          <w:sz w:val="28"/>
          <w:szCs w:val="28"/>
          <w:highlight w:val="none"/>
        </w:rPr>
        <w:t xml:space="preserve"> </w:t>
      </w:r>
      <w:r>
        <w:rPr>
          <w:rFonts w:hint="eastAsia"/>
          <w:b/>
          <w:color w:val="auto"/>
          <w:sz w:val="28"/>
          <w:szCs w:val="28"/>
          <w:highlight w:val="none"/>
        </w:rPr>
        <w:t>招标文件的修改</w:t>
      </w:r>
    </w:p>
    <w:p w14:paraId="62059DA2">
      <w:pPr>
        <w:snapToGrid w:val="0"/>
        <w:spacing w:line="360" w:lineRule="auto"/>
        <w:ind w:firstLine="480" w:firstLineChars="200"/>
        <w:rPr>
          <w:snapToGrid w:val="0"/>
          <w:color w:val="auto"/>
          <w:szCs w:val="21"/>
          <w:highlight w:val="none"/>
        </w:rPr>
      </w:pPr>
      <w:r>
        <w:rPr>
          <w:rFonts w:hint="eastAsia"/>
          <w:snapToGrid w:val="0"/>
          <w:color w:val="auto"/>
          <w:szCs w:val="21"/>
          <w:highlight w:val="none"/>
        </w:rPr>
        <w:t>9.1 在</w:t>
      </w:r>
      <w:r>
        <w:rPr>
          <w:rFonts w:hint="eastAsia"/>
          <w:snapToGrid w:val="0"/>
          <w:color w:val="auto"/>
          <w:szCs w:val="21"/>
          <w:highlight w:val="none"/>
          <w:u w:val="single"/>
        </w:rPr>
        <w:t>投标人须知前附表截止时间之前</w:t>
      </w:r>
      <w:r>
        <w:rPr>
          <w:rFonts w:hint="eastAsia"/>
          <w:snapToGrid w:val="0"/>
          <w:color w:val="auto"/>
          <w:szCs w:val="21"/>
          <w:highlight w:val="none"/>
        </w:rPr>
        <w:t>，如发现修改招标文件非常必要，招标人则以补遗书形式将修改颁发给每个投标人，并对他们起约束作用。投标人收到补遗书后应以书面的形式告知招标人加以确认。</w:t>
      </w:r>
    </w:p>
    <w:p w14:paraId="4178C96E">
      <w:pPr>
        <w:snapToGrid w:val="0"/>
        <w:spacing w:line="360" w:lineRule="auto"/>
        <w:ind w:firstLine="423"/>
        <w:rPr>
          <w:snapToGrid w:val="0"/>
          <w:color w:val="auto"/>
          <w:szCs w:val="21"/>
          <w:highlight w:val="none"/>
        </w:rPr>
      </w:pPr>
      <w:r>
        <w:rPr>
          <w:rFonts w:hint="eastAsia"/>
          <w:snapToGrid w:val="0"/>
          <w:color w:val="auto"/>
          <w:szCs w:val="21"/>
          <w:highlight w:val="none"/>
        </w:rPr>
        <w:t>9.2 为了给投标人合理的时间，使其在编制投标文件时能把补遗书的内容考虑进去，招标人可以按照本须知第9.1款的规定，以书面的形式通知所有投标人延长投标文件的截止时间，投标人应确认收到通知，并将回执返回招标人。</w:t>
      </w:r>
    </w:p>
    <w:p w14:paraId="2A072DC3">
      <w:pPr>
        <w:rPr>
          <w:b/>
          <w:color w:val="auto"/>
          <w:sz w:val="28"/>
          <w:szCs w:val="28"/>
          <w:highlight w:val="none"/>
        </w:rPr>
      </w:pPr>
      <w:r>
        <w:rPr>
          <w:rFonts w:hint="eastAsia"/>
          <w:b/>
          <w:color w:val="auto"/>
          <w:sz w:val="28"/>
          <w:szCs w:val="28"/>
          <w:highlight w:val="none"/>
        </w:rPr>
        <w:t>10.</w:t>
      </w:r>
      <w:r>
        <w:rPr>
          <w:b/>
          <w:color w:val="auto"/>
          <w:sz w:val="28"/>
          <w:szCs w:val="28"/>
          <w:highlight w:val="none"/>
        </w:rPr>
        <w:t xml:space="preserve"> </w:t>
      </w:r>
      <w:r>
        <w:rPr>
          <w:rFonts w:hint="eastAsia"/>
          <w:b/>
          <w:color w:val="auto"/>
          <w:sz w:val="28"/>
          <w:szCs w:val="28"/>
          <w:highlight w:val="none"/>
        </w:rPr>
        <w:t>投标有效期</w:t>
      </w:r>
      <w:bookmarkEnd w:id="145"/>
      <w:bookmarkEnd w:id="146"/>
      <w:bookmarkEnd w:id="147"/>
      <w:bookmarkEnd w:id="148"/>
      <w:bookmarkEnd w:id="149"/>
      <w:bookmarkEnd w:id="150"/>
      <w:bookmarkEnd w:id="151"/>
      <w:bookmarkEnd w:id="152"/>
      <w:bookmarkEnd w:id="153"/>
      <w:bookmarkEnd w:id="154"/>
    </w:p>
    <w:p w14:paraId="0CB4BB09">
      <w:pPr>
        <w:snapToGrid w:val="0"/>
        <w:spacing w:line="360" w:lineRule="auto"/>
        <w:ind w:firstLine="480" w:firstLineChars="200"/>
        <w:rPr>
          <w:snapToGrid w:val="0"/>
          <w:color w:val="auto"/>
          <w:szCs w:val="21"/>
          <w:highlight w:val="none"/>
        </w:rPr>
      </w:pPr>
      <w:r>
        <w:rPr>
          <w:rFonts w:hint="eastAsia"/>
          <w:snapToGrid w:val="0"/>
          <w:color w:val="auto"/>
          <w:szCs w:val="21"/>
          <w:highlight w:val="none"/>
        </w:rPr>
        <w:t>投标有效期为投标须知前附表所规定的期限，在此期限内，所有投标文件均保持有效。</w:t>
      </w:r>
    </w:p>
    <w:p w14:paraId="5F579C95">
      <w:pPr>
        <w:rPr>
          <w:b/>
          <w:color w:val="auto"/>
          <w:sz w:val="28"/>
          <w:szCs w:val="28"/>
          <w:highlight w:val="none"/>
        </w:rPr>
      </w:pPr>
      <w:bookmarkStart w:id="155" w:name="_Toc380660183"/>
      <w:bookmarkStart w:id="156" w:name="_Toc419285127"/>
      <w:bookmarkStart w:id="157" w:name="_Toc380659220"/>
      <w:bookmarkStart w:id="158" w:name="_Toc381345733"/>
      <w:bookmarkStart w:id="159" w:name="_Toc358982643"/>
      <w:bookmarkStart w:id="160" w:name="_Toc358982849"/>
      <w:bookmarkStart w:id="161" w:name="_Toc358982942"/>
      <w:bookmarkStart w:id="162" w:name="_Toc358982564"/>
      <w:bookmarkStart w:id="163" w:name="_Toc419285575"/>
      <w:bookmarkStart w:id="164" w:name="_Toc372481525"/>
      <w:r>
        <w:rPr>
          <w:rFonts w:hint="eastAsia"/>
          <w:b/>
          <w:color w:val="auto"/>
          <w:sz w:val="28"/>
          <w:szCs w:val="28"/>
          <w:highlight w:val="none"/>
        </w:rPr>
        <w:t>11.</w:t>
      </w:r>
      <w:r>
        <w:rPr>
          <w:b/>
          <w:color w:val="auto"/>
          <w:sz w:val="28"/>
          <w:szCs w:val="28"/>
          <w:highlight w:val="none"/>
        </w:rPr>
        <w:t xml:space="preserve"> </w:t>
      </w:r>
      <w:r>
        <w:rPr>
          <w:rFonts w:hint="eastAsia"/>
          <w:b/>
          <w:color w:val="auto"/>
          <w:sz w:val="28"/>
          <w:szCs w:val="28"/>
          <w:highlight w:val="none"/>
        </w:rPr>
        <w:t>投标文件的份数和签署</w:t>
      </w:r>
      <w:bookmarkEnd w:id="155"/>
      <w:bookmarkEnd w:id="156"/>
      <w:bookmarkEnd w:id="157"/>
      <w:bookmarkEnd w:id="158"/>
      <w:bookmarkEnd w:id="159"/>
      <w:bookmarkEnd w:id="160"/>
      <w:bookmarkEnd w:id="161"/>
      <w:bookmarkEnd w:id="162"/>
      <w:bookmarkEnd w:id="163"/>
      <w:bookmarkEnd w:id="164"/>
    </w:p>
    <w:p w14:paraId="17D2C473">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11.1 投标人按本须知13.款的规定，编制投标文件正本和前附表所述份数的副本，并明确标明：“正本”或“副本”。正本和副本如有不一致之处，以正本为准。</w:t>
      </w:r>
    </w:p>
    <w:p w14:paraId="798FB87C">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11.2投标文件的正本与副本均应使用不能擦去的墨水打印或书写，并由投标人正式授权的一个或几个人签署，授权书应以书面委托的方式出具，并附在投标文件中。有增加或修正的各项，都应由投标文件签字人签字证明。</w:t>
      </w:r>
    </w:p>
    <w:p w14:paraId="5B954721">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11.3全套投标文件应无涂改和行间插字，除非这些删改是根据招标人指示进行的，或者是投标人造成的必须修改的错误。在后一种情况下，修改处应由投标文件签字人签字证明。</w:t>
      </w:r>
    </w:p>
    <w:p w14:paraId="0F234D23">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11.4每位投标人只能提交一份投标文件。任何投标人都不允许以任何方式参与同一合同的其他投标人的投标。</w:t>
      </w:r>
    </w:p>
    <w:p w14:paraId="3E6AAD92">
      <w:pPr>
        <w:rPr>
          <w:b/>
          <w:color w:val="auto"/>
          <w:sz w:val="28"/>
          <w:szCs w:val="28"/>
          <w:highlight w:val="none"/>
        </w:rPr>
      </w:pPr>
      <w:bookmarkStart w:id="165" w:name="_Toc372481526"/>
      <w:bookmarkStart w:id="166" w:name="_Toc419285576"/>
      <w:bookmarkStart w:id="167" w:name="_Toc380660184"/>
      <w:bookmarkStart w:id="168" w:name="_Toc380659221"/>
      <w:bookmarkStart w:id="169" w:name="_Toc419285128"/>
      <w:bookmarkStart w:id="170" w:name="_Toc381345734"/>
      <w:bookmarkStart w:id="171" w:name="_Toc358982565"/>
      <w:bookmarkStart w:id="172" w:name="_Toc358982943"/>
      <w:bookmarkStart w:id="173" w:name="_Toc358982644"/>
      <w:bookmarkStart w:id="174" w:name="_Toc358982850"/>
      <w:r>
        <w:rPr>
          <w:rFonts w:hint="eastAsia"/>
          <w:b/>
          <w:color w:val="auto"/>
          <w:sz w:val="28"/>
          <w:szCs w:val="28"/>
          <w:highlight w:val="none"/>
        </w:rPr>
        <w:t>12.投标文件装订要求</w:t>
      </w:r>
      <w:bookmarkEnd w:id="165"/>
      <w:bookmarkEnd w:id="166"/>
      <w:bookmarkEnd w:id="167"/>
      <w:bookmarkEnd w:id="168"/>
      <w:bookmarkEnd w:id="169"/>
      <w:bookmarkEnd w:id="170"/>
      <w:bookmarkEnd w:id="171"/>
      <w:bookmarkEnd w:id="172"/>
      <w:bookmarkEnd w:id="173"/>
      <w:bookmarkEnd w:id="174"/>
    </w:p>
    <w:p w14:paraId="4626ED45">
      <w:pPr>
        <w:pStyle w:val="20"/>
        <w:snapToGrid w:val="0"/>
        <w:spacing w:line="360" w:lineRule="auto"/>
        <w:ind w:firstLine="480" w:firstLineChars="200"/>
        <w:rPr>
          <w:rFonts w:hAnsi="宋体"/>
          <w:snapToGrid w:val="0"/>
          <w:color w:val="auto"/>
          <w:highlight w:val="none"/>
        </w:rPr>
      </w:pPr>
      <w:bookmarkStart w:id="175" w:name="_Toc358982851"/>
      <w:bookmarkStart w:id="176" w:name="_Toc358982566"/>
      <w:bookmarkStart w:id="177" w:name="_Toc372481527"/>
      <w:bookmarkStart w:id="178" w:name="_Toc358982944"/>
      <w:bookmarkStart w:id="179" w:name="_Toc358982645"/>
      <w:r>
        <w:rPr>
          <w:rFonts w:hint="eastAsia" w:hAnsi="宋体"/>
          <w:snapToGrid w:val="0"/>
          <w:color w:val="auto"/>
          <w:highlight w:val="none"/>
        </w:rPr>
        <w:t>投标文件应按资格审查文件、投标文件（包括前附表所述的资信标、技术标、商务标）、电子文件分开装订成册。</w:t>
      </w:r>
      <w:bookmarkEnd w:id="175"/>
      <w:bookmarkEnd w:id="176"/>
      <w:bookmarkEnd w:id="177"/>
      <w:bookmarkEnd w:id="178"/>
      <w:bookmarkEnd w:id="179"/>
    </w:p>
    <w:p w14:paraId="5368E0B7">
      <w:pPr>
        <w:pStyle w:val="20"/>
        <w:snapToGrid w:val="0"/>
        <w:spacing w:line="360" w:lineRule="auto"/>
        <w:ind w:firstLine="480" w:firstLineChars="200"/>
        <w:rPr>
          <w:rFonts w:hAnsi="宋体"/>
          <w:snapToGrid w:val="0"/>
          <w:color w:val="auto"/>
          <w:highlight w:val="none"/>
        </w:rPr>
      </w:pPr>
    </w:p>
    <w:p w14:paraId="45A673E0">
      <w:pPr>
        <w:pStyle w:val="6"/>
        <w:keepNext w:val="0"/>
        <w:keepLines w:val="0"/>
        <w:widowControl w:val="0"/>
        <w:tabs>
          <w:tab w:val="left" w:pos="720"/>
          <w:tab w:val="left" w:pos="4032"/>
        </w:tabs>
        <w:adjustRightInd w:val="0"/>
        <w:snapToGrid w:val="0"/>
        <w:spacing w:before="0" w:after="0" w:line="360" w:lineRule="auto"/>
        <w:jc w:val="center"/>
        <w:rPr>
          <w:color w:val="auto"/>
          <w:highlight w:val="none"/>
        </w:rPr>
      </w:pPr>
      <w:bookmarkStart w:id="180" w:name="_Toc358982945"/>
      <w:bookmarkStart w:id="181" w:name="_Toc358982646"/>
      <w:bookmarkStart w:id="182" w:name="_Toc71560602"/>
      <w:bookmarkStart w:id="183" w:name="_Toc29041"/>
      <w:bookmarkStart w:id="184" w:name="_Toc358982567"/>
      <w:bookmarkStart w:id="185" w:name="_Toc419285129"/>
      <w:bookmarkStart w:id="186" w:name="_Toc381345735"/>
      <w:bookmarkStart w:id="187" w:name="_Toc358982852"/>
      <w:bookmarkStart w:id="188" w:name="_Toc419285577"/>
      <w:bookmarkStart w:id="189" w:name="_Toc257713374"/>
      <w:bookmarkStart w:id="190" w:name="_Toc253046958"/>
      <w:r>
        <w:rPr>
          <w:rFonts w:hint="eastAsia"/>
          <w:color w:val="auto"/>
          <w:highlight w:val="none"/>
          <w:lang w:val="en-US"/>
        </w:rPr>
        <w:t>四、</w:t>
      </w:r>
      <w:r>
        <w:rPr>
          <w:color w:val="auto"/>
          <w:highlight w:val="none"/>
          <w:lang w:val="en-US"/>
        </w:rPr>
        <w:t xml:space="preserve"> </w:t>
      </w:r>
      <w:r>
        <w:rPr>
          <w:rFonts w:hint="eastAsia"/>
          <w:color w:val="auto"/>
          <w:highlight w:val="none"/>
          <w:lang w:val="en-US"/>
        </w:rPr>
        <w:t>投标文件的递交</w:t>
      </w:r>
      <w:bookmarkEnd w:id="180"/>
      <w:bookmarkEnd w:id="181"/>
      <w:bookmarkEnd w:id="182"/>
      <w:bookmarkEnd w:id="183"/>
      <w:bookmarkEnd w:id="184"/>
      <w:bookmarkEnd w:id="185"/>
      <w:bookmarkEnd w:id="186"/>
      <w:bookmarkEnd w:id="187"/>
      <w:bookmarkEnd w:id="188"/>
      <w:bookmarkEnd w:id="189"/>
      <w:bookmarkEnd w:id="190"/>
    </w:p>
    <w:p w14:paraId="2B898BA4">
      <w:pPr>
        <w:rPr>
          <w:b/>
          <w:color w:val="auto"/>
          <w:sz w:val="28"/>
          <w:szCs w:val="28"/>
          <w:highlight w:val="none"/>
        </w:rPr>
      </w:pPr>
      <w:bookmarkStart w:id="191" w:name="_Toc358982647"/>
      <w:bookmarkStart w:id="192" w:name="_Toc380659222"/>
      <w:bookmarkStart w:id="193" w:name="_Toc358982568"/>
      <w:bookmarkStart w:id="194" w:name="_Toc419285130"/>
      <w:bookmarkStart w:id="195" w:name="_Toc358982853"/>
      <w:bookmarkStart w:id="196" w:name="_Toc372481528"/>
      <w:bookmarkStart w:id="197" w:name="_Toc380660186"/>
      <w:bookmarkStart w:id="198" w:name="_Toc419285578"/>
      <w:bookmarkStart w:id="199" w:name="_Toc381345736"/>
      <w:bookmarkStart w:id="200" w:name="_Toc358982946"/>
      <w:r>
        <w:rPr>
          <w:rFonts w:hint="eastAsia"/>
          <w:b/>
          <w:color w:val="auto"/>
          <w:sz w:val="28"/>
          <w:szCs w:val="28"/>
          <w:highlight w:val="none"/>
        </w:rPr>
        <w:t>13.投标文件的密封与标记</w:t>
      </w:r>
      <w:bookmarkEnd w:id="191"/>
      <w:bookmarkEnd w:id="192"/>
      <w:bookmarkEnd w:id="193"/>
      <w:bookmarkEnd w:id="194"/>
      <w:bookmarkEnd w:id="195"/>
      <w:bookmarkEnd w:id="196"/>
      <w:bookmarkEnd w:id="197"/>
      <w:bookmarkEnd w:id="198"/>
      <w:bookmarkEnd w:id="199"/>
      <w:bookmarkEnd w:id="200"/>
    </w:p>
    <w:p w14:paraId="6473514A">
      <w:pPr>
        <w:spacing w:line="360" w:lineRule="auto"/>
        <w:ind w:firstLine="480" w:firstLineChars="200"/>
        <w:rPr>
          <w:snapToGrid w:val="0"/>
          <w:color w:val="auto"/>
          <w:szCs w:val="21"/>
          <w:highlight w:val="none"/>
        </w:rPr>
      </w:pPr>
      <w:r>
        <w:rPr>
          <w:rFonts w:hint="eastAsia"/>
          <w:snapToGrid w:val="0"/>
          <w:color w:val="auto"/>
          <w:szCs w:val="21"/>
          <w:highlight w:val="none"/>
        </w:rPr>
        <w:t>13.1投标人的投标文件应密封包装。且密封袋上相应注明：</w:t>
      </w:r>
    </w:p>
    <w:p w14:paraId="1E86A3B3">
      <w:pPr>
        <w:spacing w:line="360" w:lineRule="auto"/>
        <w:ind w:firstLine="480" w:firstLineChars="200"/>
        <w:rPr>
          <w:snapToGrid w:val="0"/>
          <w:color w:val="auto"/>
          <w:szCs w:val="21"/>
          <w:highlight w:val="none"/>
        </w:rPr>
      </w:pPr>
      <w:r>
        <w:rPr>
          <w:rFonts w:hint="eastAsia"/>
          <w:snapToGrid w:val="0"/>
          <w:color w:val="auto"/>
          <w:szCs w:val="21"/>
          <w:highlight w:val="none"/>
        </w:rPr>
        <w:t>资格审查文件/投标文件/电子文件</w:t>
      </w:r>
    </w:p>
    <w:p w14:paraId="25F44E45">
      <w:pPr>
        <w:ind w:firstLine="480" w:firstLineChars="200"/>
        <w:rPr>
          <w:snapToGrid w:val="0"/>
          <w:color w:val="auto"/>
          <w:szCs w:val="21"/>
          <w:highlight w:val="none"/>
        </w:rPr>
      </w:pPr>
      <w:r>
        <w:rPr>
          <w:rFonts w:hint="eastAsia"/>
          <w:snapToGrid w:val="0"/>
          <w:color w:val="auto"/>
          <w:szCs w:val="21"/>
          <w:highlight w:val="none"/>
        </w:rPr>
        <w:t>项目名称：</w:t>
      </w:r>
      <w:r>
        <w:rPr>
          <w:rFonts w:hint="eastAsia"/>
          <w:color w:val="auto"/>
          <w:highlight w:val="none"/>
          <w:u w:val="single"/>
        </w:rPr>
        <w:t xml:space="preserve">                     </w:t>
      </w:r>
      <w:r>
        <w:rPr>
          <w:rFonts w:hint="eastAsia"/>
          <w:snapToGrid w:val="0"/>
          <w:color w:val="auto"/>
          <w:szCs w:val="21"/>
          <w:highlight w:val="none"/>
        </w:rPr>
        <w:t xml:space="preserve">                                       </w:t>
      </w:r>
    </w:p>
    <w:p w14:paraId="53BECDE5">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 xml:space="preserve">投标人名称（盖章）：                        </w:t>
      </w:r>
    </w:p>
    <w:p w14:paraId="4189E741">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在</w:t>
      </w:r>
      <w:r>
        <w:rPr>
          <w:rFonts w:hAnsi="宋体"/>
          <w:snapToGrid w:val="0"/>
          <w:color w:val="auto"/>
          <w:highlight w:val="none"/>
          <w:u w:val="single"/>
        </w:rPr>
        <w:t xml:space="preserve">      </w:t>
      </w:r>
      <w:r>
        <w:rPr>
          <w:rFonts w:hint="eastAsia" w:hAnsi="宋体"/>
          <w:snapToGrid w:val="0"/>
          <w:color w:val="auto"/>
          <w:highlight w:val="none"/>
        </w:rPr>
        <w:t>年</w:t>
      </w:r>
      <w:r>
        <w:rPr>
          <w:rFonts w:hint="eastAsia" w:hAnsi="宋体"/>
          <w:snapToGrid w:val="0"/>
          <w:color w:val="auto"/>
          <w:highlight w:val="none"/>
          <w:u w:val="single"/>
        </w:rPr>
        <w:t xml:space="preserve">      </w:t>
      </w:r>
      <w:r>
        <w:rPr>
          <w:rFonts w:hint="eastAsia" w:hAnsi="宋体"/>
          <w:snapToGrid w:val="0"/>
          <w:color w:val="auto"/>
          <w:highlight w:val="none"/>
        </w:rPr>
        <w:t>月</w:t>
      </w:r>
      <w:r>
        <w:rPr>
          <w:rFonts w:hint="eastAsia" w:hAnsi="宋体"/>
          <w:snapToGrid w:val="0"/>
          <w:color w:val="auto"/>
          <w:highlight w:val="none"/>
          <w:u w:val="single"/>
        </w:rPr>
        <w:t xml:space="preserve">     </w:t>
      </w:r>
      <w:r>
        <w:rPr>
          <w:rFonts w:hint="eastAsia" w:hAnsi="宋体"/>
          <w:snapToGrid w:val="0"/>
          <w:color w:val="auto"/>
          <w:highlight w:val="none"/>
        </w:rPr>
        <w:t>日</w:t>
      </w:r>
      <w:r>
        <w:rPr>
          <w:rFonts w:hint="eastAsia" w:hAnsi="宋体"/>
          <w:snapToGrid w:val="0"/>
          <w:color w:val="auto"/>
          <w:highlight w:val="none"/>
          <w:u w:val="single"/>
        </w:rPr>
        <w:t xml:space="preserve">     </w:t>
      </w:r>
      <w:r>
        <w:rPr>
          <w:rFonts w:hint="eastAsia" w:hAnsi="宋体"/>
          <w:snapToGrid w:val="0"/>
          <w:color w:val="auto"/>
          <w:highlight w:val="none"/>
        </w:rPr>
        <w:t>时之前不得开启。</w:t>
      </w:r>
    </w:p>
    <w:p w14:paraId="059A2C1E">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13.2 如果外层包封没有按上述规定密封并加写标记，招标人将不承担投标文件错放或提前开封的责任，由此造成的提前开封的投标文件，招标人予以拒绝，并退还给投标人。</w:t>
      </w:r>
    </w:p>
    <w:p w14:paraId="7E2451E6">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13.3投标人的所有投标文件均将在开标会上当众打开。接标后，招标机构对投标人的投标文件予以妥善保管。不按上述密封标记规定投递的投标文件，招标人不承担将其错放或提前开封的责任。</w:t>
      </w:r>
    </w:p>
    <w:p w14:paraId="2D50B1E6">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13.4投标文件应根据本条款的要求，超过接收时间的投标文件将不予接收。投标人在递交投标文件时应遵照</w:t>
      </w:r>
      <w:r>
        <w:rPr>
          <w:rFonts w:hint="default" w:hAnsi="宋体"/>
          <w:snapToGrid w:val="0"/>
          <w:color w:val="auto"/>
          <w:highlight w:val="none"/>
          <w:lang w:val="en-US"/>
        </w:rPr>
        <w:t>工</w:t>
      </w:r>
      <w:r>
        <w:rPr>
          <w:rFonts w:hint="eastAsia" w:hAnsi="宋体"/>
          <w:snapToGrid w:val="0"/>
          <w:color w:val="auto"/>
          <w:highlight w:val="none"/>
        </w:rPr>
        <w:t>作人员的安排有秩序地进行。</w:t>
      </w:r>
    </w:p>
    <w:p w14:paraId="2C72B521">
      <w:pPr>
        <w:rPr>
          <w:b/>
          <w:color w:val="auto"/>
          <w:sz w:val="28"/>
          <w:szCs w:val="28"/>
          <w:highlight w:val="none"/>
        </w:rPr>
      </w:pPr>
      <w:bookmarkStart w:id="201" w:name="_Toc358982947"/>
      <w:bookmarkStart w:id="202" w:name="_Toc380659223"/>
      <w:bookmarkStart w:id="203" w:name="_Toc419285579"/>
      <w:bookmarkStart w:id="204" w:name="_Toc380660187"/>
      <w:bookmarkStart w:id="205" w:name="_Toc372481529"/>
      <w:bookmarkStart w:id="206" w:name="_Toc419285131"/>
      <w:bookmarkStart w:id="207" w:name="_Toc358982854"/>
      <w:bookmarkStart w:id="208" w:name="_Toc358982569"/>
      <w:bookmarkStart w:id="209" w:name="_Toc358982648"/>
      <w:bookmarkStart w:id="210" w:name="_Toc381345737"/>
      <w:r>
        <w:rPr>
          <w:rFonts w:hint="eastAsia"/>
          <w:b/>
          <w:color w:val="auto"/>
          <w:sz w:val="28"/>
          <w:szCs w:val="28"/>
          <w:highlight w:val="none"/>
        </w:rPr>
        <w:t>14.投标截止期</w:t>
      </w:r>
      <w:bookmarkEnd w:id="201"/>
      <w:bookmarkEnd w:id="202"/>
      <w:bookmarkEnd w:id="203"/>
      <w:bookmarkEnd w:id="204"/>
      <w:bookmarkEnd w:id="205"/>
      <w:bookmarkEnd w:id="206"/>
      <w:bookmarkEnd w:id="207"/>
      <w:bookmarkEnd w:id="208"/>
      <w:bookmarkEnd w:id="209"/>
      <w:bookmarkEnd w:id="210"/>
    </w:p>
    <w:p w14:paraId="2E085181">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14.1 投标人应按投标须知前附表所述的地点、日期和时间将投标文件交给招标人。投标文件需由法定代表人或法定代表人授权代理人递交投标文件。</w:t>
      </w:r>
    </w:p>
    <w:p w14:paraId="1A993816">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14.2 招标人可以通过投标人须知9.款规定的补充通知的方式，酌情延长递交投标文件的截止日期。在上述情况下，招标人与投标人以前在投标截止期方面的全部权</w:t>
      </w:r>
      <w:r>
        <w:rPr>
          <w:rFonts w:hint="eastAsia" w:hAnsi="宋体"/>
          <w:snapToGrid w:val="0"/>
          <w:color w:val="auto"/>
          <w:highlight w:val="none"/>
          <w:lang w:val="en-US" w:eastAsia="zh-CN"/>
        </w:rPr>
        <w:t>利</w:t>
      </w:r>
      <w:r>
        <w:rPr>
          <w:rFonts w:hint="eastAsia" w:hAnsi="宋体"/>
          <w:snapToGrid w:val="0"/>
          <w:color w:val="auto"/>
          <w:highlight w:val="none"/>
        </w:rPr>
        <w:t>和义务，将适用于延长后新的投标截止期。</w:t>
      </w:r>
    </w:p>
    <w:p w14:paraId="3C931976">
      <w:pPr>
        <w:rPr>
          <w:b/>
          <w:color w:val="auto"/>
          <w:sz w:val="28"/>
          <w:szCs w:val="28"/>
          <w:highlight w:val="none"/>
        </w:rPr>
      </w:pPr>
      <w:bookmarkStart w:id="211" w:name="_Toc419285132"/>
      <w:bookmarkStart w:id="212" w:name="_Toc419285580"/>
      <w:bookmarkStart w:id="213" w:name="_Toc358982649"/>
      <w:bookmarkStart w:id="214" w:name="_Toc358982855"/>
      <w:bookmarkStart w:id="215" w:name="_Toc380659224"/>
      <w:bookmarkStart w:id="216" w:name="_Toc380660188"/>
      <w:bookmarkStart w:id="217" w:name="_Toc358982948"/>
      <w:bookmarkStart w:id="218" w:name="_Toc358982570"/>
      <w:bookmarkStart w:id="219" w:name="_Toc372481530"/>
      <w:bookmarkStart w:id="220" w:name="_Toc381345738"/>
      <w:r>
        <w:rPr>
          <w:rFonts w:hint="eastAsia"/>
          <w:b/>
          <w:color w:val="auto"/>
          <w:sz w:val="28"/>
          <w:szCs w:val="28"/>
          <w:highlight w:val="none"/>
        </w:rPr>
        <w:t>15.迟到的投标文件</w:t>
      </w:r>
      <w:bookmarkEnd w:id="211"/>
      <w:bookmarkEnd w:id="212"/>
      <w:bookmarkEnd w:id="213"/>
      <w:bookmarkEnd w:id="214"/>
      <w:bookmarkEnd w:id="215"/>
      <w:bookmarkEnd w:id="216"/>
      <w:bookmarkEnd w:id="217"/>
      <w:bookmarkEnd w:id="218"/>
      <w:bookmarkEnd w:id="219"/>
      <w:bookmarkEnd w:id="220"/>
    </w:p>
    <w:p w14:paraId="7E6F7E97">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招标人在招标文件规定的投标截止期以后不在接受任何形式的投标文件。</w:t>
      </w:r>
    </w:p>
    <w:p w14:paraId="15538507">
      <w:pPr>
        <w:rPr>
          <w:b/>
          <w:color w:val="auto"/>
          <w:sz w:val="28"/>
          <w:szCs w:val="28"/>
          <w:highlight w:val="none"/>
        </w:rPr>
      </w:pPr>
      <w:bookmarkStart w:id="221" w:name="_Toc419285581"/>
      <w:bookmarkStart w:id="222" w:name="_Toc372481531"/>
      <w:bookmarkStart w:id="223" w:name="_Toc380659225"/>
      <w:bookmarkStart w:id="224" w:name="_Toc380660189"/>
      <w:bookmarkStart w:id="225" w:name="_Toc419285133"/>
      <w:bookmarkStart w:id="226" w:name="_Toc358982856"/>
      <w:bookmarkStart w:id="227" w:name="_Toc358982949"/>
      <w:bookmarkStart w:id="228" w:name="_Toc381345739"/>
      <w:bookmarkStart w:id="229" w:name="_Toc358982571"/>
      <w:bookmarkStart w:id="230" w:name="_Toc358982650"/>
      <w:r>
        <w:rPr>
          <w:rFonts w:hint="eastAsia"/>
          <w:b/>
          <w:color w:val="auto"/>
          <w:sz w:val="28"/>
          <w:szCs w:val="28"/>
          <w:highlight w:val="none"/>
        </w:rPr>
        <w:t>16.投标文件的修改与撤回</w:t>
      </w:r>
      <w:bookmarkEnd w:id="221"/>
      <w:bookmarkEnd w:id="222"/>
      <w:bookmarkEnd w:id="223"/>
      <w:bookmarkEnd w:id="224"/>
      <w:bookmarkEnd w:id="225"/>
      <w:bookmarkEnd w:id="226"/>
      <w:bookmarkEnd w:id="227"/>
      <w:bookmarkEnd w:id="228"/>
      <w:bookmarkEnd w:id="229"/>
      <w:bookmarkEnd w:id="230"/>
    </w:p>
    <w:p w14:paraId="568AF82E">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16.1 投标人可以在递交投标文件后，修改或撤回其投标文件，但这种修改与撤回的通知，须在规定的投标截止期前，以书面形式交给招标人。</w:t>
      </w:r>
    </w:p>
    <w:p w14:paraId="54505C93">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16.2 投标人的修改书应按本须知13.款投标文件递交规定的要求编制、密封、标志（在内层包封标明“修改”）和发送。</w:t>
      </w:r>
    </w:p>
    <w:p w14:paraId="41984DAE">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16.3 在投标截止期后，不能更改投标文件。</w:t>
      </w:r>
    </w:p>
    <w:p w14:paraId="6B1E083C">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16.4在投标截止期与投标人在投标文件格式中规定的有效期终止日之间的这段时期内，投标人不能撤回投标文件，否则</w:t>
      </w:r>
      <w:r>
        <w:rPr>
          <w:rFonts w:hAnsi="宋体"/>
          <w:snapToGrid w:val="0"/>
          <w:color w:val="auto"/>
          <w:highlight w:val="none"/>
        </w:rPr>
        <w:t>招标人将可能拒绝该投标人参加招标人其他</w:t>
      </w:r>
      <w:r>
        <w:rPr>
          <w:rFonts w:hint="eastAsia" w:hAnsi="宋体"/>
          <w:snapToGrid w:val="0"/>
          <w:color w:val="auto"/>
          <w:highlight w:val="none"/>
        </w:rPr>
        <w:t>项目</w:t>
      </w:r>
      <w:r>
        <w:rPr>
          <w:rFonts w:hAnsi="宋体"/>
          <w:snapToGrid w:val="0"/>
          <w:color w:val="auto"/>
          <w:highlight w:val="none"/>
        </w:rPr>
        <w:t>的投标，</w:t>
      </w:r>
      <w:r>
        <w:rPr>
          <w:rFonts w:hint="eastAsia" w:hAnsi="宋体"/>
          <w:snapToGrid w:val="0"/>
          <w:color w:val="auto"/>
          <w:highlight w:val="none"/>
        </w:rPr>
        <w:t>并</w:t>
      </w:r>
      <w:r>
        <w:rPr>
          <w:rFonts w:hAnsi="宋体"/>
          <w:snapToGrid w:val="0"/>
          <w:color w:val="auto"/>
          <w:highlight w:val="none"/>
        </w:rPr>
        <w:t>将对该投标人作不良行为记录。</w:t>
      </w:r>
    </w:p>
    <w:p w14:paraId="2D949D2E">
      <w:pPr>
        <w:snapToGrid w:val="0"/>
        <w:spacing w:line="360" w:lineRule="auto"/>
        <w:ind w:firstLine="482" w:firstLineChars="200"/>
        <w:rPr>
          <w:b/>
          <w:snapToGrid w:val="0"/>
          <w:color w:val="auto"/>
          <w:szCs w:val="21"/>
          <w:highlight w:val="none"/>
        </w:rPr>
      </w:pPr>
      <w:bookmarkStart w:id="231" w:name="_Toc253046959"/>
      <w:bookmarkStart w:id="232" w:name="_Toc257713375"/>
    </w:p>
    <w:p w14:paraId="363895F9">
      <w:pPr>
        <w:pStyle w:val="6"/>
        <w:keepNext w:val="0"/>
        <w:keepLines w:val="0"/>
        <w:widowControl w:val="0"/>
        <w:tabs>
          <w:tab w:val="left" w:pos="720"/>
          <w:tab w:val="left" w:pos="4032"/>
        </w:tabs>
        <w:adjustRightInd w:val="0"/>
        <w:snapToGrid w:val="0"/>
        <w:spacing w:before="0" w:after="0" w:line="360" w:lineRule="auto"/>
        <w:jc w:val="center"/>
        <w:rPr>
          <w:color w:val="auto"/>
          <w:highlight w:val="none"/>
        </w:rPr>
      </w:pPr>
      <w:bookmarkStart w:id="233" w:name="_Toc358982951"/>
      <w:bookmarkStart w:id="234" w:name="_Toc419285134"/>
      <w:bookmarkStart w:id="235" w:name="_Toc19986"/>
      <w:bookmarkStart w:id="236" w:name="_Toc71560603"/>
      <w:bookmarkStart w:id="237" w:name="_Toc358982652"/>
      <w:bookmarkStart w:id="238" w:name="_Toc358982858"/>
      <w:bookmarkStart w:id="239" w:name="_Toc381345741"/>
      <w:bookmarkStart w:id="240" w:name="_Toc358982573"/>
      <w:bookmarkStart w:id="241" w:name="_Toc419285582"/>
      <w:r>
        <w:rPr>
          <w:rFonts w:hint="eastAsia"/>
          <w:color w:val="auto"/>
          <w:highlight w:val="none"/>
          <w:lang w:val="en-US"/>
        </w:rPr>
        <w:t>五、开标</w:t>
      </w:r>
      <w:bookmarkEnd w:id="231"/>
      <w:bookmarkEnd w:id="232"/>
      <w:bookmarkEnd w:id="233"/>
      <w:bookmarkEnd w:id="234"/>
      <w:bookmarkEnd w:id="235"/>
      <w:bookmarkEnd w:id="236"/>
      <w:bookmarkEnd w:id="237"/>
      <w:bookmarkEnd w:id="238"/>
      <w:bookmarkEnd w:id="239"/>
      <w:bookmarkEnd w:id="240"/>
      <w:bookmarkEnd w:id="241"/>
    </w:p>
    <w:p w14:paraId="3C0312A2">
      <w:pPr>
        <w:rPr>
          <w:b/>
          <w:color w:val="auto"/>
          <w:sz w:val="28"/>
          <w:szCs w:val="28"/>
          <w:highlight w:val="none"/>
        </w:rPr>
      </w:pPr>
      <w:bookmarkStart w:id="242" w:name="_Toc358982952"/>
      <w:bookmarkStart w:id="243" w:name="_Toc419285135"/>
      <w:bookmarkStart w:id="244" w:name="_Toc380659226"/>
      <w:bookmarkStart w:id="245" w:name="_Toc358982653"/>
      <w:bookmarkStart w:id="246" w:name="_Toc380660192"/>
      <w:bookmarkStart w:id="247" w:name="_Toc358982859"/>
      <w:bookmarkStart w:id="248" w:name="_Toc358982574"/>
      <w:bookmarkStart w:id="249" w:name="_Toc381345742"/>
      <w:bookmarkStart w:id="250" w:name="_Toc372481532"/>
      <w:bookmarkStart w:id="251" w:name="_Toc419285583"/>
      <w:r>
        <w:rPr>
          <w:rFonts w:hint="eastAsia"/>
          <w:b/>
          <w:color w:val="auto"/>
          <w:sz w:val="28"/>
          <w:szCs w:val="28"/>
          <w:highlight w:val="none"/>
        </w:rPr>
        <w:t>17.</w:t>
      </w:r>
      <w:r>
        <w:rPr>
          <w:b/>
          <w:color w:val="auto"/>
          <w:sz w:val="28"/>
          <w:szCs w:val="28"/>
          <w:highlight w:val="none"/>
        </w:rPr>
        <w:t xml:space="preserve"> </w:t>
      </w:r>
      <w:r>
        <w:rPr>
          <w:rFonts w:hint="eastAsia"/>
          <w:b/>
          <w:color w:val="auto"/>
          <w:sz w:val="28"/>
          <w:szCs w:val="28"/>
          <w:highlight w:val="none"/>
        </w:rPr>
        <w:t>开标</w:t>
      </w:r>
      <w:bookmarkEnd w:id="242"/>
      <w:bookmarkEnd w:id="243"/>
      <w:bookmarkEnd w:id="244"/>
      <w:bookmarkEnd w:id="245"/>
      <w:bookmarkEnd w:id="246"/>
      <w:bookmarkEnd w:id="247"/>
      <w:bookmarkEnd w:id="248"/>
      <w:bookmarkEnd w:id="249"/>
      <w:bookmarkEnd w:id="250"/>
      <w:bookmarkEnd w:id="251"/>
    </w:p>
    <w:p w14:paraId="04EDFC12">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17.1开标会由招标代理人主持。</w:t>
      </w:r>
    </w:p>
    <w:p w14:paraId="71806B2C">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（1）由招标代理人查验各投标人到会代表身份是否符合本投标须知17.2规定；</w:t>
      </w:r>
    </w:p>
    <w:p w14:paraId="7817E27D">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（2）由投标人代表或招标人委托的公证机构查验投标文件的密封和标记情况；确认无误后拆封唱标。</w:t>
      </w:r>
    </w:p>
    <w:p w14:paraId="1891283E">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 xml:space="preserve">17.2投标人必须派代表出席开标会，其中之一必须是投标人法定代表人或其授权代表。投标人不出席开标会，将被视为默认所有开标程序和结果。但无论投标人代表是否出席开标会，均不影响整个开标过程的公开性和合法性。    </w:t>
      </w:r>
    </w:p>
    <w:p w14:paraId="30C27A78">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参加开标会的投标人的法定代表人或其授权代表应随带本人身份证，授权代表还应随带法定代表人签署的授权委托书。</w:t>
      </w:r>
    </w:p>
    <w:p w14:paraId="097302D2">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17.3招标人代表对本招标项目采用一次开标。开标在招标文件规定的时间和地点组织。</w:t>
      </w:r>
    </w:p>
    <w:p w14:paraId="1823B40C">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17.4招标代理人将做开标记录，以备查档。</w:t>
      </w:r>
    </w:p>
    <w:p w14:paraId="7A21CD22">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17.5开标时投标文件的有效性。</w:t>
      </w:r>
    </w:p>
    <w:p w14:paraId="4639F9A9">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（1）开标时，招标人代表将对投标文件进行审查。当投标文件出现招标文件投标须知否决性条款中“投标文件不予受理的情形”的，其投标文件不予受理。</w:t>
      </w:r>
    </w:p>
    <w:p w14:paraId="13A3A5D7">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（2）经招标人代表对投标文件进行开标审查后，未出现上述任何情况的，其投标文件将进行下一步的评审。</w:t>
      </w:r>
    </w:p>
    <w:p w14:paraId="6179B3C3">
      <w:pPr>
        <w:pStyle w:val="20"/>
        <w:snapToGrid w:val="0"/>
        <w:spacing w:line="360" w:lineRule="auto"/>
        <w:ind w:firstLine="480" w:firstLineChars="200"/>
        <w:rPr>
          <w:rFonts w:hAnsi="宋体"/>
          <w:snapToGrid w:val="0"/>
          <w:color w:val="auto"/>
          <w:highlight w:val="none"/>
        </w:rPr>
      </w:pPr>
      <w:r>
        <w:rPr>
          <w:rFonts w:hint="eastAsia" w:hAnsi="宋体"/>
          <w:snapToGrid w:val="0"/>
          <w:color w:val="auto"/>
          <w:highlight w:val="none"/>
        </w:rPr>
        <w:t>（3）</w:t>
      </w:r>
      <w:r>
        <w:rPr>
          <w:rFonts w:hint="eastAsia" w:hAnsi="宋体"/>
          <w:color w:val="auto"/>
          <w:highlight w:val="none"/>
        </w:rPr>
        <w:t>开标会结束，资格审查文件、投标文件、电子文件、开标资料以及其他评标资料一并送交评标委员会。</w:t>
      </w:r>
    </w:p>
    <w:p w14:paraId="26AE04E1">
      <w:pPr>
        <w:adjustRightInd w:val="0"/>
        <w:snapToGrid w:val="0"/>
        <w:spacing w:line="360" w:lineRule="auto"/>
        <w:ind w:firstLine="480" w:firstLineChars="200"/>
        <w:rPr>
          <w:color w:val="auto"/>
          <w:szCs w:val="21"/>
          <w:highlight w:val="none"/>
        </w:rPr>
      </w:pPr>
      <w:bookmarkStart w:id="252" w:name="定性评审法"/>
      <w:bookmarkEnd w:id="252"/>
    </w:p>
    <w:p w14:paraId="4F6F0BEA">
      <w:pPr>
        <w:pStyle w:val="6"/>
        <w:keepNext w:val="0"/>
        <w:keepLines w:val="0"/>
        <w:widowControl w:val="0"/>
        <w:tabs>
          <w:tab w:val="left" w:pos="720"/>
          <w:tab w:val="left" w:pos="4032"/>
        </w:tabs>
        <w:adjustRightInd w:val="0"/>
        <w:snapToGrid w:val="0"/>
        <w:spacing w:before="0" w:after="0" w:line="360" w:lineRule="auto"/>
        <w:jc w:val="center"/>
        <w:rPr>
          <w:color w:val="auto"/>
          <w:highlight w:val="none"/>
          <w:lang w:val="en-US"/>
        </w:rPr>
      </w:pPr>
      <w:r>
        <w:rPr>
          <w:rFonts w:hint="eastAsia"/>
          <w:color w:val="auto"/>
          <w:highlight w:val="none"/>
          <w:lang w:val="en-US"/>
        </w:rPr>
        <w:t>六、评标</w:t>
      </w:r>
    </w:p>
    <w:p w14:paraId="44CD7414">
      <w:pPr>
        <w:adjustRightInd w:val="0"/>
        <w:snapToGrid w:val="0"/>
        <w:spacing w:line="360" w:lineRule="auto"/>
        <w:ind w:firstLine="480" w:firstLineChars="200"/>
        <w:rPr>
          <w:color w:val="auto"/>
          <w:szCs w:val="21"/>
          <w:highlight w:val="none"/>
        </w:rPr>
      </w:pPr>
      <w:r>
        <w:rPr>
          <w:rFonts w:hint="eastAsia"/>
          <w:color w:val="auto"/>
          <w:szCs w:val="21"/>
          <w:highlight w:val="none"/>
        </w:rPr>
        <w:t>评标委员会应当根据“投标须知前附表”规定的评标方法，对投标文件进行评审和比较，招标文件中没有规定的标准和方法不得作为评标的依据。</w:t>
      </w:r>
    </w:p>
    <w:p w14:paraId="46C76892">
      <w:pPr>
        <w:rPr>
          <w:b/>
          <w:color w:val="auto"/>
          <w:sz w:val="28"/>
          <w:szCs w:val="28"/>
          <w:highlight w:val="none"/>
        </w:rPr>
      </w:pPr>
      <w:r>
        <w:rPr>
          <w:rFonts w:hint="eastAsia"/>
          <w:b/>
          <w:color w:val="auto"/>
          <w:sz w:val="28"/>
          <w:szCs w:val="28"/>
          <w:highlight w:val="none"/>
        </w:rPr>
        <w:t xml:space="preserve">18.评标委员会组建及职责 </w:t>
      </w:r>
    </w:p>
    <w:p w14:paraId="3203DBB6">
      <w:pPr>
        <w:adjustRightInd w:val="0"/>
        <w:snapToGrid w:val="0"/>
        <w:spacing w:line="360" w:lineRule="auto"/>
        <w:ind w:firstLine="480" w:firstLineChars="200"/>
        <w:rPr>
          <w:color w:val="auto"/>
          <w:szCs w:val="21"/>
          <w:highlight w:val="none"/>
        </w:rPr>
      </w:pPr>
      <w:r>
        <w:rPr>
          <w:rFonts w:hint="eastAsia"/>
          <w:color w:val="auto"/>
          <w:szCs w:val="21"/>
          <w:highlight w:val="none"/>
        </w:rPr>
        <w:t>18.1评标委员会组建方式：由招标人依法组建，负责评标活动。</w:t>
      </w:r>
      <w:r>
        <w:rPr>
          <w:rFonts w:hint="eastAsia"/>
          <w:snapToGrid w:val="0"/>
          <w:color w:val="auto"/>
          <w:szCs w:val="18"/>
          <w:highlight w:val="none"/>
        </w:rPr>
        <w:t>评标委员会的专家成员由招标人从评标专家库内按照专业随机抽取，评标委员会成员数量为5人或5人以上单数，招标人可以委派一名代表。</w:t>
      </w:r>
    </w:p>
    <w:p w14:paraId="6FDA418C">
      <w:pPr>
        <w:spacing w:line="360" w:lineRule="auto"/>
        <w:ind w:firstLine="480" w:firstLineChars="200"/>
        <w:rPr>
          <w:color w:val="auto"/>
          <w:szCs w:val="21"/>
          <w:highlight w:val="none"/>
        </w:rPr>
      </w:pPr>
      <w:r>
        <w:rPr>
          <w:rFonts w:hint="eastAsia"/>
          <w:color w:val="auto"/>
          <w:szCs w:val="21"/>
          <w:highlight w:val="none"/>
        </w:rPr>
        <w:t>18.2评标委员会职责：评标委员会应根据招标文件规定的评标方法和标准，遵循公开、公正、公平、科学、择优的原则，对投标文件进行评审。评标委员会根据招标文件规定向招标人推荐合格投标人或中标候选人。</w:t>
      </w:r>
    </w:p>
    <w:p w14:paraId="3682B43D">
      <w:pPr>
        <w:rPr>
          <w:b/>
          <w:color w:val="auto"/>
          <w:sz w:val="28"/>
          <w:szCs w:val="28"/>
          <w:highlight w:val="none"/>
        </w:rPr>
      </w:pPr>
      <w:r>
        <w:rPr>
          <w:rFonts w:hint="eastAsia"/>
          <w:b/>
          <w:color w:val="auto"/>
          <w:sz w:val="28"/>
          <w:szCs w:val="28"/>
          <w:highlight w:val="none"/>
        </w:rPr>
        <w:t>19.投标文件的初步评审</w:t>
      </w:r>
    </w:p>
    <w:p w14:paraId="222270CE">
      <w:pPr>
        <w:adjustRightInd w:val="0"/>
        <w:snapToGrid w:val="0"/>
        <w:spacing w:line="360" w:lineRule="auto"/>
        <w:ind w:firstLine="480" w:firstLineChars="200"/>
        <w:rPr>
          <w:color w:val="auto"/>
          <w:szCs w:val="21"/>
          <w:highlight w:val="none"/>
        </w:rPr>
      </w:pPr>
      <w:r>
        <w:rPr>
          <w:rFonts w:hint="eastAsia"/>
          <w:color w:val="auto"/>
          <w:szCs w:val="21"/>
          <w:highlight w:val="none"/>
        </w:rPr>
        <w:t>19.1由评标委员会进行投标文件的初步评审。</w:t>
      </w:r>
    </w:p>
    <w:p w14:paraId="291490CA">
      <w:pPr>
        <w:adjustRightInd w:val="0"/>
        <w:snapToGrid w:val="0"/>
        <w:spacing w:line="360" w:lineRule="auto"/>
        <w:ind w:firstLine="480" w:firstLineChars="200"/>
        <w:rPr>
          <w:bCs/>
          <w:color w:val="auto"/>
          <w:szCs w:val="21"/>
          <w:highlight w:val="none"/>
        </w:rPr>
      </w:pPr>
      <w:r>
        <w:rPr>
          <w:rFonts w:hint="eastAsia"/>
          <w:color w:val="auto"/>
          <w:szCs w:val="21"/>
          <w:highlight w:val="none"/>
        </w:rPr>
        <w:t>19.2投标文件初步评审</w:t>
      </w:r>
      <w:r>
        <w:rPr>
          <w:rFonts w:hint="eastAsia"/>
          <w:bCs/>
          <w:color w:val="auto"/>
          <w:szCs w:val="21"/>
          <w:highlight w:val="none"/>
        </w:rPr>
        <w:t>不合格的</w:t>
      </w:r>
      <w:r>
        <w:rPr>
          <w:rFonts w:hint="eastAsia"/>
          <w:color w:val="auto"/>
          <w:szCs w:val="21"/>
          <w:highlight w:val="none"/>
        </w:rPr>
        <w:t>，应参照投标文件否决性条款作无效标处理。</w:t>
      </w:r>
    </w:p>
    <w:p w14:paraId="30AFFCA4">
      <w:pPr>
        <w:rPr>
          <w:b/>
          <w:color w:val="auto"/>
          <w:sz w:val="28"/>
          <w:szCs w:val="28"/>
          <w:highlight w:val="none"/>
        </w:rPr>
      </w:pPr>
      <w:r>
        <w:rPr>
          <w:rFonts w:hint="eastAsia"/>
          <w:b/>
          <w:color w:val="auto"/>
          <w:sz w:val="28"/>
          <w:szCs w:val="28"/>
          <w:highlight w:val="none"/>
        </w:rPr>
        <w:t>20.投标文件的详细评审</w:t>
      </w:r>
    </w:p>
    <w:p w14:paraId="68DB6A20">
      <w:pPr>
        <w:adjustRightInd w:val="0"/>
        <w:snapToGrid w:val="0"/>
        <w:spacing w:line="360" w:lineRule="auto"/>
        <w:ind w:firstLine="480" w:firstLineChars="200"/>
        <w:rPr>
          <w:color w:val="auto"/>
          <w:szCs w:val="21"/>
          <w:highlight w:val="none"/>
        </w:rPr>
      </w:pPr>
      <w:r>
        <w:rPr>
          <w:rFonts w:hint="eastAsia"/>
          <w:color w:val="auto"/>
          <w:szCs w:val="21"/>
          <w:highlight w:val="none"/>
        </w:rPr>
        <w:t>评标委员会根据招标文件规定的评标方法和标准，对各投标人的投标文件分别进行详细评审。</w:t>
      </w:r>
    </w:p>
    <w:p w14:paraId="4ED22C9B">
      <w:pPr>
        <w:rPr>
          <w:b/>
          <w:color w:val="auto"/>
          <w:sz w:val="28"/>
          <w:szCs w:val="28"/>
          <w:highlight w:val="none"/>
        </w:rPr>
      </w:pPr>
      <w:r>
        <w:rPr>
          <w:rFonts w:hint="eastAsia"/>
          <w:b/>
          <w:color w:val="auto"/>
          <w:sz w:val="28"/>
          <w:szCs w:val="28"/>
          <w:highlight w:val="none"/>
        </w:rPr>
        <w:t>21.投标文件的重大偏差</w:t>
      </w:r>
    </w:p>
    <w:p w14:paraId="673627C4">
      <w:pPr>
        <w:spacing w:line="360" w:lineRule="auto"/>
        <w:ind w:firstLine="420"/>
        <w:rPr>
          <w:strike/>
          <w:color w:val="auto"/>
          <w:szCs w:val="21"/>
          <w:highlight w:val="none"/>
        </w:rPr>
      </w:pPr>
      <w:r>
        <w:rPr>
          <w:rFonts w:hint="eastAsia"/>
          <w:color w:val="auto"/>
          <w:szCs w:val="21"/>
          <w:highlight w:val="none"/>
        </w:rPr>
        <w:t>投标文件存在的重大偏差情形的，评标委员会应根据相应的投标文件否决性条款作废标处理。</w:t>
      </w:r>
    </w:p>
    <w:p w14:paraId="1F2E5676">
      <w:pPr>
        <w:rPr>
          <w:b/>
          <w:color w:val="auto"/>
          <w:sz w:val="28"/>
          <w:szCs w:val="28"/>
          <w:highlight w:val="none"/>
        </w:rPr>
      </w:pPr>
      <w:r>
        <w:rPr>
          <w:rFonts w:hint="eastAsia"/>
          <w:b/>
          <w:color w:val="auto"/>
          <w:sz w:val="28"/>
          <w:szCs w:val="28"/>
          <w:highlight w:val="none"/>
        </w:rPr>
        <w:t>22.投标文件的细微偏差</w:t>
      </w:r>
    </w:p>
    <w:p w14:paraId="12B7C83E">
      <w:pPr>
        <w:spacing w:line="360" w:lineRule="auto"/>
        <w:ind w:firstLine="480" w:firstLineChars="200"/>
        <w:rPr>
          <w:color w:val="auto"/>
          <w:szCs w:val="21"/>
          <w:highlight w:val="none"/>
        </w:rPr>
      </w:pPr>
      <w:r>
        <w:rPr>
          <w:rFonts w:hint="eastAsia"/>
          <w:color w:val="auto"/>
          <w:szCs w:val="21"/>
          <w:highlight w:val="none"/>
        </w:rPr>
        <w:t>细微偏差是指投标文件在实质上响应招标文件要求，提供了不完整的技术信息和数据等情况，细微偏差不影响投标文件的有效性。在评审过程中，评标委员会可以要求投标人就投标文件中含义不明确的内容进行说明并提供相关材料，投标人拒不补正的，在详细评审时可以对细微偏离按照不利于该投标人的原则进行调整，且投标人不得因此提出任何异议。</w:t>
      </w:r>
    </w:p>
    <w:p w14:paraId="2A95813B">
      <w:pPr>
        <w:rPr>
          <w:b/>
          <w:color w:val="auto"/>
          <w:sz w:val="28"/>
          <w:szCs w:val="28"/>
          <w:highlight w:val="none"/>
        </w:rPr>
      </w:pPr>
      <w:r>
        <w:rPr>
          <w:rFonts w:hint="eastAsia"/>
          <w:b/>
          <w:color w:val="auto"/>
          <w:sz w:val="28"/>
          <w:szCs w:val="28"/>
          <w:highlight w:val="none"/>
        </w:rPr>
        <w:t>23.投标文件的澄清答辩</w:t>
      </w:r>
    </w:p>
    <w:p w14:paraId="47EEFD06">
      <w:pPr>
        <w:adjustRightInd w:val="0"/>
        <w:snapToGrid w:val="0"/>
        <w:spacing w:line="360" w:lineRule="auto"/>
        <w:ind w:firstLine="480" w:firstLineChars="200"/>
        <w:rPr>
          <w:color w:val="auto"/>
          <w:szCs w:val="21"/>
          <w:highlight w:val="none"/>
        </w:rPr>
      </w:pPr>
      <w:r>
        <w:rPr>
          <w:color w:val="auto"/>
          <w:szCs w:val="21"/>
          <w:highlight w:val="none"/>
        </w:rPr>
        <w:t>23</w:t>
      </w:r>
      <w:r>
        <w:rPr>
          <w:rFonts w:hint="eastAsia"/>
          <w:color w:val="auto"/>
          <w:szCs w:val="21"/>
          <w:highlight w:val="none"/>
        </w:rPr>
        <w:t>.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14:paraId="326202C8">
      <w:pPr>
        <w:adjustRightInd w:val="0"/>
        <w:snapToGrid w:val="0"/>
        <w:spacing w:line="360" w:lineRule="auto"/>
        <w:ind w:firstLine="480" w:firstLineChars="200"/>
        <w:rPr>
          <w:color w:val="auto"/>
          <w:szCs w:val="21"/>
          <w:highlight w:val="none"/>
        </w:rPr>
      </w:pPr>
      <w:r>
        <w:rPr>
          <w:color w:val="auto"/>
          <w:szCs w:val="21"/>
          <w:highlight w:val="none"/>
        </w:rPr>
        <w:t>23</w:t>
      </w:r>
      <w:r>
        <w:rPr>
          <w:rFonts w:hint="eastAsia"/>
          <w:color w:val="auto"/>
          <w:szCs w:val="21"/>
          <w:highlight w:val="none"/>
        </w:rPr>
        <w:t>.2采用评标区录音电话方式澄清答辩的答辩人，仅限该项目递交投标文件时确定的投标员，投标员的联系方式以截标信息为准。采用现场方式澄清答辩的答辩人应为该单位的授权委托人，授权委托人须本人携带有效的身份证明文件（包含身份证原件、法定代表人证明书、法人授权委托书等）。澄清答辩人员的身份由招标人核验。</w:t>
      </w:r>
    </w:p>
    <w:p w14:paraId="66A3124A">
      <w:pPr>
        <w:adjustRightInd w:val="0"/>
        <w:snapToGrid w:val="0"/>
        <w:spacing w:line="360" w:lineRule="auto"/>
        <w:ind w:firstLine="480" w:firstLineChars="200"/>
        <w:rPr>
          <w:color w:val="auto"/>
          <w:szCs w:val="21"/>
          <w:highlight w:val="none"/>
        </w:rPr>
      </w:pPr>
      <w:r>
        <w:rPr>
          <w:color w:val="auto"/>
          <w:szCs w:val="21"/>
          <w:highlight w:val="none"/>
        </w:rPr>
        <w:t>23.</w:t>
      </w:r>
      <w:r>
        <w:rPr>
          <w:rFonts w:hint="eastAsia"/>
          <w:color w:val="auto"/>
          <w:szCs w:val="21"/>
          <w:highlight w:val="none"/>
        </w:rPr>
        <w:t>3评标委员会要求投标人进行答辩，但投标人在评标委员会规定的时间（不少于30分钟）内未派出代表及时作出答辩的，评标委员会将根据招标文件规定作出不利于投标人的判定，投标人不得因此提出任何异议。</w:t>
      </w:r>
    </w:p>
    <w:p w14:paraId="66EE6AD4">
      <w:pPr>
        <w:rPr>
          <w:b/>
          <w:color w:val="auto"/>
          <w:sz w:val="28"/>
          <w:szCs w:val="28"/>
          <w:highlight w:val="none"/>
        </w:rPr>
      </w:pPr>
      <w:r>
        <w:rPr>
          <w:rFonts w:hint="eastAsia"/>
          <w:b/>
          <w:color w:val="auto"/>
          <w:sz w:val="28"/>
          <w:szCs w:val="28"/>
          <w:highlight w:val="none"/>
        </w:rPr>
        <w:t>24.无效标和废标的处理</w:t>
      </w:r>
    </w:p>
    <w:p w14:paraId="7A78D241">
      <w:pPr>
        <w:adjustRightInd w:val="0"/>
        <w:snapToGrid w:val="0"/>
        <w:spacing w:line="360" w:lineRule="auto"/>
        <w:ind w:firstLine="480" w:firstLineChars="200"/>
        <w:rPr>
          <w:color w:val="auto"/>
          <w:szCs w:val="21"/>
          <w:highlight w:val="none"/>
        </w:rPr>
      </w:pPr>
      <w:r>
        <w:rPr>
          <w:color w:val="auto"/>
          <w:szCs w:val="21"/>
          <w:highlight w:val="none"/>
        </w:rPr>
        <w:t>24</w:t>
      </w:r>
      <w:r>
        <w:rPr>
          <w:rFonts w:hint="eastAsia"/>
          <w:color w:val="auto"/>
          <w:szCs w:val="21"/>
          <w:highlight w:val="none"/>
        </w:rPr>
        <w:t>.1除法律、法规、规章、规范性文件规定以及本招标文件否决性条款单列的无效标或者废标情形外，评标委员会不得对投标文件作无效标或者废标处理。评标委员会对投标文件应坚持谨慎确定无效标和废标的原则。</w:t>
      </w:r>
    </w:p>
    <w:p w14:paraId="48262E8F">
      <w:pPr>
        <w:adjustRightInd w:val="0"/>
        <w:snapToGrid w:val="0"/>
        <w:spacing w:line="360" w:lineRule="auto"/>
        <w:ind w:firstLine="480" w:firstLineChars="200"/>
        <w:rPr>
          <w:color w:val="auto"/>
          <w:szCs w:val="21"/>
          <w:highlight w:val="none"/>
        </w:rPr>
      </w:pPr>
      <w:r>
        <w:rPr>
          <w:color w:val="auto"/>
          <w:szCs w:val="21"/>
          <w:highlight w:val="none"/>
        </w:rPr>
        <w:t>24.</w:t>
      </w:r>
      <w:r>
        <w:rPr>
          <w:rFonts w:hint="eastAsia"/>
          <w:color w:val="auto"/>
          <w:szCs w:val="21"/>
          <w:highlight w:val="none"/>
        </w:rPr>
        <w:t>2评标委员会在作出任何一项无效标和废标决定前，都应当严格遵循以下程序：</w:t>
      </w:r>
    </w:p>
    <w:p w14:paraId="213F259F">
      <w:pPr>
        <w:adjustRightInd w:val="0"/>
        <w:snapToGrid w:val="0"/>
        <w:spacing w:line="360" w:lineRule="auto"/>
        <w:ind w:firstLine="480" w:firstLineChars="200"/>
        <w:rPr>
          <w:color w:val="auto"/>
          <w:szCs w:val="21"/>
          <w:highlight w:val="none"/>
        </w:rPr>
      </w:pPr>
      <w:r>
        <w:rPr>
          <w:color w:val="auto"/>
          <w:szCs w:val="21"/>
          <w:highlight w:val="none"/>
        </w:rPr>
        <w:t>24.</w:t>
      </w:r>
      <w:r>
        <w:rPr>
          <w:rFonts w:hint="eastAsia"/>
          <w:color w:val="auto"/>
          <w:szCs w:val="21"/>
          <w:highlight w:val="none"/>
        </w:rPr>
        <w:t>2.1向当事投标人作相应的澄清；</w:t>
      </w:r>
    </w:p>
    <w:p w14:paraId="70293A2D">
      <w:pPr>
        <w:adjustRightInd w:val="0"/>
        <w:snapToGrid w:val="0"/>
        <w:spacing w:line="360" w:lineRule="auto"/>
        <w:ind w:firstLine="480" w:firstLineChars="200"/>
        <w:rPr>
          <w:color w:val="auto"/>
          <w:szCs w:val="21"/>
          <w:highlight w:val="none"/>
        </w:rPr>
      </w:pPr>
      <w:r>
        <w:rPr>
          <w:color w:val="auto"/>
          <w:szCs w:val="21"/>
          <w:highlight w:val="none"/>
        </w:rPr>
        <w:t>24</w:t>
      </w:r>
      <w:r>
        <w:rPr>
          <w:rFonts w:hint="eastAsia"/>
          <w:color w:val="auto"/>
          <w:szCs w:val="21"/>
          <w:highlight w:val="none"/>
        </w:rPr>
        <w:t>.2.2当事投标人应当在通知规定时间内，向评标委员会作出澄清和解释。未按时作出澄清和解释的，评标委员会可对相应投标文件按最不利情形认定;</w:t>
      </w:r>
    </w:p>
    <w:p w14:paraId="4A1A85C2">
      <w:pPr>
        <w:adjustRightInd w:val="0"/>
        <w:snapToGrid w:val="0"/>
        <w:spacing w:line="360" w:lineRule="auto"/>
        <w:ind w:firstLine="480" w:firstLineChars="200"/>
        <w:rPr>
          <w:color w:val="auto"/>
          <w:szCs w:val="21"/>
          <w:highlight w:val="none"/>
        </w:rPr>
      </w:pPr>
      <w:r>
        <w:rPr>
          <w:color w:val="auto"/>
          <w:szCs w:val="21"/>
          <w:highlight w:val="none"/>
        </w:rPr>
        <w:t>24.</w:t>
      </w:r>
      <w:r>
        <w:rPr>
          <w:rFonts w:hint="eastAsia"/>
          <w:color w:val="auto"/>
          <w:szCs w:val="21"/>
          <w:highlight w:val="none"/>
        </w:rPr>
        <w:t>2.3在充分讨论的基础上集体表决；</w:t>
      </w:r>
    </w:p>
    <w:p w14:paraId="1EF78652">
      <w:pPr>
        <w:adjustRightInd w:val="0"/>
        <w:snapToGrid w:val="0"/>
        <w:spacing w:line="360" w:lineRule="auto"/>
        <w:ind w:firstLine="480" w:firstLineChars="200"/>
        <w:rPr>
          <w:color w:val="auto"/>
          <w:szCs w:val="21"/>
          <w:highlight w:val="none"/>
        </w:rPr>
      </w:pPr>
      <w:r>
        <w:rPr>
          <w:color w:val="auto"/>
          <w:szCs w:val="21"/>
          <w:highlight w:val="none"/>
        </w:rPr>
        <w:t>24.</w:t>
      </w:r>
      <w:r>
        <w:rPr>
          <w:rFonts w:hint="eastAsia"/>
          <w:color w:val="auto"/>
          <w:szCs w:val="21"/>
          <w:highlight w:val="none"/>
        </w:rPr>
        <w:t>2.4若表决通过无效标或废标决定，应在评标报告中详细载明无效标或废标的理由、依据、答辩的情况和集体表决的情况（同意无效标或废标和不同意无效标或废标的评标委员会成员均应当注明）。</w:t>
      </w:r>
    </w:p>
    <w:p w14:paraId="1B95D269">
      <w:pPr>
        <w:adjustRightInd w:val="0"/>
        <w:snapToGrid w:val="0"/>
        <w:spacing w:line="360" w:lineRule="auto"/>
        <w:ind w:firstLine="480" w:firstLineChars="200"/>
        <w:rPr>
          <w:color w:val="auto"/>
          <w:szCs w:val="21"/>
          <w:highlight w:val="none"/>
        </w:rPr>
      </w:pPr>
      <w:r>
        <w:rPr>
          <w:color w:val="auto"/>
          <w:szCs w:val="21"/>
          <w:highlight w:val="none"/>
        </w:rPr>
        <w:t>24.</w:t>
      </w:r>
      <w:r>
        <w:rPr>
          <w:rFonts w:hint="eastAsia"/>
          <w:color w:val="auto"/>
          <w:szCs w:val="21"/>
          <w:highlight w:val="none"/>
        </w:rPr>
        <w:t>2.5评标委员会在否决所有投标文件前，应当向招标人核实有关情况，听取招标人意见。</w:t>
      </w:r>
    </w:p>
    <w:p w14:paraId="2076881F">
      <w:pPr>
        <w:rPr>
          <w:b/>
          <w:color w:val="auto"/>
          <w:sz w:val="28"/>
          <w:szCs w:val="28"/>
          <w:highlight w:val="none"/>
        </w:rPr>
      </w:pPr>
      <w:r>
        <w:rPr>
          <w:rFonts w:hint="eastAsia"/>
          <w:b/>
          <w:color w:val="auto"/>
          <w:sz w:val="28"/>
          <w:szCs w:val="28"/>
          <w:highlight w:val="none"/>
        </w:rPr>
        <w:t>25.合格投标人的推荐</w:t>
      </w:r>
    </w:p>
    <w:p w14:paraId="21E1D2A2">
      <w:pPr>
        <w:adjustRightInd w:val="0"/>
        <w:snapToGrid w:val="0"/>
        <w:spacing w:line="360" w:lineRule="auto"/>
        <w:ind w:firstLine="480" w:firstLineChars="200"/>
        <w:rPr>
          <w:color w:val="auto"/>
          <w:szCs w:val="21"/>
          <w:highlight w:val="none"/>
        </w:rPr>
      </w:pPr>
      <w:r>
        <w:rPr>
          <w:rFonts w:hint="eastAsia"/>
          <w:color w:val="auto"/>
          <w:szCs w:val="21"/>
          <w:highlight w:val="none"/>
        </w:rPr>
        <w:t>25.1</w:t>
      </w:r>
      <w:r>
        <w:rPr>
          <w:color w:val="auto"/>
          <w:szCs w:val="21"/>
          <w:highlight w:val="none"/>
        </w:rPr>
        <w:t>评标委员会实行少数服从多数的原则，评标结果经评标委员会全体成员过半数通过有效。</w:t>
      </w:r>
    </w:p>
    <w:p w14:paraId="43074407">
      <w:pPr>
        <w:adjustRightInd w:val="0"/>
        <w:snapToGrid w:val="0"/>
        <w:spacing w:line="360" w:lineRule="auto"/>
        <w:ind w:firstLine="480" w:firstLineChars="200"/>
        <w:rPr>
          <w:color w:val="auto"/>
          <w:szCs w:val="21"/>
          <w:highlight w:val="none"/>
        </w:rPr>
      </w:pPr>
      <w:r>
        <w:rPr>
          <w:rFonts w:hint="eastAsia"/>
          <w:color w:val="auto"/>
          <w:szCs w:val="21"/>
          <w:highlight w:val="none"/>
        </w:rPr>
        <w:t>25.2评标委员会经过对投标文件进行评审和比较后，推荐合格投标人进行下一轮定标程序，并向招标人出具评标报告。</w:t>
      </w:r>
    </w:p>
    <w:p w14:paraId="0B3310ED">
      <w:pPr>
        <w:adjustRightInd w:val="0"/>
        <w:snapToGrid w:val="0"/>
        <w:spacing w:line="360" w:lineRule="auto"/>
        <w:ind w:firstLine="480" w:firstLineChars="200"/>
        <w:rPr>
          <w:color w:val="auto"/>
          <w:szCs w:val="21"/>
          <w:highlight w:val="none"/>
        </w:rPr>
      </w:pPr>
      <w:r>
        <w:rPr>
          <w:rFonts w:hint="eastAsia"/>
          <w:color w:val="auto"/>
          <w:szCs w:val="21"/>
          <w:highlight w:val="none"/>
        </w:rPr>
        <w:t>25.3评标委员会作出无效标或者废标处理后，合格投标人数量不足3名的，招标人应当宣布本次招标失败，重新招标。</w:t>
      </w:r>
    </w:p>
    <w:p w14:paraId="674ED01D">
      <w:pPr>
        <w:adjustRightInd w:val="0"/>
        <w:snapToGrid w:val="0"/>
        <w:spacing w:line="360" w:lineRule="auto"/>
        <w:ind w:firstLine="480"/>
        <w:rPr>
          <w:color w:val="auto"/>
          <w:szCs w:val="21"/>
          <w:highlight w:val="none"/>
        </w:rPr>
      </w:pPr>
      <w:r>
        <w:rPr>
          <w:rFonts w:hint="eastAsia"/>
          <w:color w:val="auto"/>
          <w:szCs w:val="21"/>
          <w:highlight w:val="none"/>
        </w:rPr>
        <w:t>采用批量招标或者预选招标方式的，评标委员会作出无效标或者废标处理后，合格投标人数量不足拟定中标人数量或者预选企业数量加上2名的，招标人不得再采用批量招标或者预选招标方式。</w:t>
      </w:r>
    </w:p>
    <w:p w14:paraId="69E45FE0">
      <w:pPr>
        <w:adjustRightInd w:val="0"/>
        <w:snapToGrid w:val="0"/>
        <w:spacing w:line="360" w:lineRule="auto"/>
        <w:ind w:firstLine="480"/>
        <w:rPr>
          <w:color w:val="auto"/>
          <w:szCs w:val="21"/>
          <w:highlight w:val="none"/>
        </w:rPr>
      </w:pPr>
      <w:r>
        <w:rPr>
          <w:rFonts w:hint="eastAsia"/>
          <w:color w:val="auto"/>
          <w:szCs w:val="21"/>
          <w:highlight w:val="none"/>
        </w:rPr>
        <w:t>重新招标的项目，评标委员会作出无效标或者废标处理后合格投标人数量仍不足3名的，评标委员会应当将对合格投标人的评审意见提交招标人，招标人可以按照原招标文件的定标程序和方法从合格投标人中确定中标人，或者将上述情况在相关网站公示3个工作日后直接发包。</w:t>
      </w:r>
    </w:p>
    <w:p w14:paraId="4593497D">
      <w:pPr>
        <w:adjustRightInd w:val="0"/>
        <w:snapToGrid w:val="0"/>
        <w:spacing w:line="360" w:lineRule="auto"/>
        <w:ind w:firstLine="480"/>
        <w:rPr>
          <w:color w:val="auto"/>
          <w:szCs w:val="21"/>
          <w:highlight w:val="none"/>
        </w:rPr>
      </w:pPr>
      <w:r>
        <w:rPr>
          <w:rFonts w:hint="eastAsia"/>
          <w:color w:val="auto"/>
          <w:szCs w:val="21"/>
          <w:highlight w:val="none"/>
        </w:rPr>
        <w:t>25.4评标过程中，若评标委员会认为本次招标缺乏竞争性，可以不推荐投标人，由招标人重新组织招标。</w:t>
      </w:r>
    </w:p>
    <w:p w14:paraId="5FFECEF2">
      <w:pPr>
        <w:adjustRightInd w:val="0"/>
        <w:snapToGrid w:val="0"/>
        <w:spacing w:line="360" w:lineRule="auto"/>
        <w:ind w:firstLine="480"/>
        <w:rPr>
          <w:color w:val="auto"/>
          <w:szCs w:val="21"/>
          <w:highlight w:val="none"/>
        </w:rPr>
      </w:pPr>
      <w:r>
        <w:rPr>
          <w:rFonts w:hint="eastAsia"/>
          <w:color w:val="auto"/>
          <w:szCs w:val="21"/>
          <w:highlight w:val="none"/>
        </w:rPr>
        <w:t>25.5如招投标过程中出现严重异常情况，经主管部门批准，招标人可以不接受本次招标结果，应当重新招标。</w:t>
      </w:r>
    </w:p>
    <w:p w14:paraId="0988D5DF">
      <w:pPr>
        <w:rPr>
          <w:b/>
          <w:color w:val="auto"/>
          <w:sz w:val="28"/>
          <w:szCs w:val="28"/>
          <w:highlight w:val="none"/>
        </w:rPr>
      </w:pPr>
      <w:r>
        <w:rPr>
          <w:rFonts w:hint="eastAsia"/>
          <w:b/>
          <w:color w:val="auto"/>
          <w:sz w:val="28"/>
          <w:szCs w:val="28"/>
          <w:highlight w:val="none"/>
        </w:rPr>
        <w:t>26.评标报告</w:t>
      </w:r>
    </w:p>
    <w:p w14:paraId="19529BBE">
      <w:pPr>
        <w:adjustRightInd w:val="0"/>
        <w:snapToGrid w:val="0"/>
        <w:spacing w:line="360" w:lineRule="auto"/>
        <w:ind w:firstLine="480" w:firstLineChars="200"/>
        <w:rPr>
          <w:color w:val="auto"/>
          <w:szCs w:val="21"/>
          <w:highlight w:val="none"/>
        </w:rPr>
      </w:pPr>
      <w:r>
        <w:rPr>
          <w:rFonts w:hint="eastAsia"/>
          <w:color w:val="auto"/>
          <w:szCs w:val="21"/>
          <w:highlight w:val="none"/>
        </w:rPr>
        <w:t>26.1评标委员会收集并汇总全体评委评审意见后，由评标委员会主任委员填写《评标报告》。</w:t>
      </w:r>
    </w:p>
    <w:p w14:paraId="2BED7713">
      <w:pPr>
        <w:adjustRightInd w:val="0"/>
        <w:snapToGrid w:val="0"/>
        <w:spacing w:line="360" w:lineRule="auto"/>
        <w:ind w:firstLine="480" w:firstLineChars="200"/>
        <w:rPr>
          <w:color w:val="auto"/>
          <w:szCs w:val="21"/>
          <w:highlight w:val="none"/>
        </w:rPr>
      </w:pPr>
      <w:r>
        <w:rPr>
          <w:rFonts w:hint="eastAsia"/>
          <w:color w:val="auto"/>
          <w:szCs w:val="21"/>
          <w:highlight w:val="none"/>
        </w:rPr>
        <w:t>26.2评标报告应由评标委员会全体成员签字。对评标结论持有异议的评委，可采用书面方式阐述其不同意见和理由。评标委员会成员拒绝签字的，视为同意评标结论。评标委员会应对此做出书面记录。</w:t>
      </w:r>
    </w:p>
    <w:p w14:paraId="129D0F5C">
      <w:pPr>
        <w:adjustRightInd w:val="0"/>
        <w:snapToGrid w:val="0"/>
        <w:spacing w:line="360" w:lineRule="auto"/>
        <w:ind w:firstLine="480" w:firstLineChars="200"/>
        <w:rPr>
          <w:color w:val="auto"/>
          <w:szCs w:val="21"/>
          <w:highlight w:val="none"/>
        </w:rPr>
      </w:pPr>
      <w:r>
        <w:rPr>
          <w:rFonts w:hint="eastAsia"/>
          <w:color w:val="auto"/>
          <w:szCs w:val="21"/>
          <w:highlight w:val="none"/>
        </w:rPr>
        <w:t>26.3对发现的涉嫌违法、违规行为，应当在评标报告中做出详细说明，做好取证工作，并及时告知行政主管部门。</w:t>
      </w:r>
    </w:p>
    <w:p w14:paraId="2E9DDDCF">
      <w:pPr>
        <w:adjustRightInd w:val="0"/>
        <w:snapToGrid w:val="0"/>
        <w:spacing w:line="360" w:lineRule="auto"/>
        <w:ind w:firstLine="480" w:firstLineChars="200"/>
        <w:rPr>
          <w:color w:val="auto"/>
          <w:szCs w:val="21"/>
          <w:highlight w:val="none"/>
        </w:rPr>
      </w:pPr>
      <w:r>
        <w:rPr>
          <w:rFonts w:hint="eastAsia"/>
          <w:color w:val="auto"/>
          <w:szCs w:val="21"/>
          <w:highlight w:val="none"/>
        </w:rPr>
        <w:t>26.4评标委员会向招标人提交评标报告后即解散。评标过程中使用的文件、资料等，都不得带离评标室。</w:t>
      </w:r>
    </w:p>
    <w:p w14:paraId="62BF095E">
      <w:pPr>
        <w:rPr>
          <w:b/>
          <w:color w:val="auto"/>
          <w:sz w:val="28"/>
          <w:szCs w:val="28"/>
          <w:highlight w:val="none"/>
        </w:rPr>
      </w:pPr>
      <w:r>
        <w:rPr>
          <w:rFonts w:hint="eastAsia"/>
          <w:b/>
          <w:color w:val="auto"/>
          <w:sz w:val="28"/>
          <w:szCs w:val="28"/>
          <w:highlight w:val="none"/>
        </w:rPr>
        <w:t>27.评标结果公示</w:t>
      </w:r>
    </w:p>
    <w:p w14:paraId="1D8FB0DD">
      <w:pPr>
        <w:adjustRightInd w:val="0"/>
        <w:snapToGrid w:val="0"/>
        <w:spacing w:line="360" w:lineRule="auto"/>
        <w:ind w:firstLine="480" w:firstLineChars="200"/>
        <w:rPr>
          <w:color w:val="auto"/>
          <w:szCs w:val="21"/>
          <w:highlight w:val="none"/>
        </w:rPr>
      </w:pPr>
      <w:r>
        <w:rPr>
          <w:rFonts w:hint="eastAsia"/>
          <w:color w:val="auto"/>
          <w:szCs w:val="21"/>
          <w:highlight w:val="none"/>
        </w:rPr>
        <w:t>招标人应当将评标报告（含合格投标人名单）在相关网站公示3个工作日。</w:t>
      </w:r>
    </w:p>
    <w:p w14:paraId="461AB92D">
      <w:pPr>
        <w:rPr>
          <w:b/>
          <w:color w:val="auto"/>
          <w:sz w:val="28"/>
          <w:szCs w:val="28"/>
          <w:highlight w:val="none"/>
        </w:rPr>
      </w:pPr>
      <w:r>
        <w:rPr>
          <w:rFonts w:hint="eastAsia"/>
          <w:b/>
          <w:color w:val="auto"/>
          <w:sz w:val="28"/>
          <w:szCs w:val="28"/>
          <w:highlight w:val="none"/>
        </w:rPr>
        <w:t>28.其它规定</w:t>
      </w:r>
    </w:p>
    <w:p w14:paraId="7294ADF9">
      <w:pPr>
        <w:adjustRightInd w:val="0"/>
        <w:snapToGrid w:val="0"/>
        <w:spacing w:line="360" w:lineRule="auto"/>
        <w:ind w:firstLine="480" w:firstLineChars="200"/>
        <w:rPr>
          <w:color w:val="auto"/>
          <w:szCs w:val="21"/>
          <w:highlight w:val="none"/>
        </w:rPr>
      </w:pPr>
      <w:r>
        <w:rPr>
          <w:rFonts w:hint="eastAsia"/>
          <w:color w:val="auto"/>
          <w:szCs w:val="21"/>
          <w:highlight w:val="none"/>
        </w:rPr>
        <w:t>28.1若投标人的投标行为出现违反《深圳市建筑市场严重违法行为特别处理规定》等政策文件列明的各种情形的，招标人及评标委员会将提请主管部门对相应投标人作不良记录。</w:t>
      </w:r>
    </w:p>
    <w:p w14:paraId="1E2D7D3E">
      <w:pPr>
        <w:adjustRightInd w:val="0"/>
        <w:snapToGrid w:val="0"/>
        <w:spacing w:line="360" w:lineRule="auto"/>
        <w:ind w:firstLine="480" w:firstLineChars="200"/>
        <w:rPr>
          <w:color w:val="auto"/>
          <w:szCs w:val="21"/>
          <w:highlight w:val="none"/>
        </w:rPr>
      </w:pPr>
      <w:r>
        <w:rPr>
          <w:rFonts w:hint="eastAsia"/>
          <w:color w:val="auto"/>
          <w:szCs w:val="21"/>
          <w:highlight w:val="none"/>
        </w:rPr>
        <w:t>28.2评标过程中，若评标委员依据招标文件的规定要求招标人重新招标，招标人不承担因招标失败给投标人造成的损失。</w:t>
      </w:r>
    </w:p>
    <w:p w14:paraId="762B925C">
      <w:pPr>
        <w:adjustRightInd w:val="0"/>
        <w:snapToGrid w:val="0"/>
        <w:spacing w:line="360" w:lineRule="auto"/>
        <w:ind w:firstLine="480" w:firstLineChars="200"/>
        <w:rPr>
          <w:color w:val="auto"/>
          <w:szCs w:val="21"/>
          <w:highlight w:val="none"/>
        </w:rPr>
      </w:pPr>
      <w:r>
        <w:rPr>
          <w:rFonts w:hint="eastAsia"/>
          <w:color w:val="auto"/>
          <w:szCs w:val="21"/>
          <w:highlight w:val="none"/>
        </w:rPr>
        <w:t>28.3 投标报价的调整方法</w:t>
      </w:r>
    </w:p>
    <w:p w14:paraId="0C1D9DF0">
      <w:pPr>
        <w:spacing w:line="360" w:lineRule="auto"/>
        <w:ind w:firstLine="480" w:firstLineChars="200"/>
        <w:rPr>
          <w:color w:val="auto"/>
          <w:szCs w:val="21"/>
          <w:highlight w:val="none"/>
        </w:rPr>
      </w:pPr>
      <w:r>
        <w:rPr>
          <w:rFonts w:hint="eastAsia"/>
          <w:color w:val="auto"/>
          <w:szCs w:val="21"/>
          <w:highlight w:val="none"/>
        </w:rPr>
        <w:t>28.3.1投标人的投标报价中如出现算术错误，将按以下方法进行调整：</w:t>
      </w:r>
    </w:p>
    <w:p w14:paraId="2DBC9AEB">
      <w:pPr>
        <w:spacing w:line="360" w:lineRule="auto"/>
        <w:ind w:firstLine="480" w:firstLineChars="200"/>
        <w:rPr>
          <w:color w:val="auto"/>
          <w:szCs w:val="21"/>
          <w:highlight w:val="none"/>
        </w:rPr>
      </w:pPr>
      <w:r>
        <w:rPr>
          <w:rFonts w:hint="eastAsia"/>
          <w:color w:val="auto"/>
          <w:szCs w:val="21"/>
          <w:highlight w:val="none"/>
        </w:rPr>
        <w:t>28.3.1.1投标文件中大写金额与小写金额不一致的，以大写金额为准；</w:t>
      </w:r>
    </w:p>
    <w:p w14:paraId="4E773CB7">
      <w:pPr>
        <w:spacing w:line="360" w:lineRule="auto"/>
        <w:ind w:firstLine="480" w:firstLineChars="200"/>
        <w:rPr>
          <w:color w:val="auto"/>
          <w:szCs w:val="21"/>
          <w:highlight w:val="none"/>
        </w:rPr>
      </w:pPr>
      <w:r>
        <w:rPr>
          <w:rFonts w:hint="eastAsia"/>
          <w:color w:val="auto"/>
          <w:szCs w:val="21"/>
          <w:highlight w:val="none"/>
        </w:rPr>
        <w:t>28.3.1.2总价金额与按单价计算的总金额不一致的，以单价计算的总金额为准。除非评标委员会认为</w:t>
      </w:r>
      <w:r>
        <w:rPr>
          <w:color w:val="auto"/>
          <w:szCs w:val="21"/>
          <w:highlight w:val="none"/>
        </w:rPr>
        <w:t>单价</w:t>
      </w:r>
      <w:r>
        <w:rPr>
          <w:rFonts w:hint="eastAsia"/>
          <w:color w:val="auto"/>
          <w:szCs w:val="21"/>
          <w:highlight w:val="none"/>
        </w:rPr>
        <w:t>有明显的</w:t>
      </w:r>
      <w:r>
        <w:rPr>
          <w:color w:val="auto"/>
          <w:szCs w:val="21"/>
          <w:highlight w:val="none"/>
        </w:rPr>
        <w:t>小数点错误</w:t>
      </w:r>
      <w:r>
        <w:rPr>
          <w:rFonts w:hint="eastAsia"/>
          <w:color w:val="auto"/>
          <w:szCs w:val="21"/>
          <w:highlight w:val="none"/>
        </w:rPr>
        <w:t>，此时应以合价金额为准，调整单价；</w:t>
      </w:r>
    </w:p>
    <w:p w14:paraId="0976A6A7">
      <w:pPr>
        <w:spacing w:line="360" w:lineRule="auto"/>
        <w:ind w:firstLine="480" w:firstLineChars="200"/>
        <w:rPr>
          <w:color w:val="auto"/>
          <w:szCs w:val="21"/>
          <w:highlight w:val="none"/>
        </w:rPr>
      </w:pPr>
      <w:r>
        <w:rPr>
          <w:rFonts w:hint="eastAsia"/>
          <w:color w:val="auto"/>
          <w:szCs w:val="21"/>
          <w:highlight w:val="none"/>
        </w:rPr>
        <w:t>28.3.2投标人的投标报价如果出现缺项、漏项或是修改了本招标项目“货物需求及数量一览表”中列明项目的数量情况的，评标委员会应根据具体评标方法和评审标准，按照不利于该投标人的原则进行调整，且投标人不得因此提出任何异议。</w:t>
      </w:r>
    </w:p>
    <w:p w14:paraId="4B77BC54">
      <w:pPr>
        <w:spacing w:line="360" w:lineRule="auto"/>
        <w:ind w:firstLine="480" w:firstLineChars="200"/>
        <w:rPr>
          <w:color w:val="auto"/>
          <w:szCs w:val="21"/>
          <w:highlight w:val="none"/>
        </w:rPr>
      </w:pPr>
      <w:r>
        <w:rPr>
          <w:rFonts w:hint="eastAsia"/>
          <w:color w:val="auto"/>
          <w:szCs w:val="21"/>
          <w:highlight w:val="none"/>
        </w:rPr>
        <w:t>28.3.3按照本节第1条、第2条规定的调整方法确定的调整后报价，须取得投标人同意并确认。如果投标人拒不接受调整方法以及调整后的报价的，其投标将被拒绝。</w:t>
      </w:r>
    </w:p>
    <w:p w14:paraId="3BD88CB6">
      <w:pPr>
        <w:spacing w:line="360" w:lineRule="auto"/>
        <w:ind w:firstLine="480" w:firstLineChars="200"/>
        <w:rPr>
          <w:color w:val="auto"/>
          <w:szCs w:val="21"/>
          <w:highlight w:val="none"/>
        </w:rPr>
      </w:pPr>
      <w:r>
        <w:rPr>
          <w:rFonts w:hint="eastAsia"/>
          <w:color w:val="auto"/>
          <w:szCs w:val="21"/>
          <w:highlight w:val="none"/>
        </w:rPr>
        <w:t>28.3.4如果出现多报或超出本招标项目“货物需求及数量一览表”中列明项目的数量情况的，评标委员会应根据具体评标方法和评审标准，按照不利于该投标人的原则进行调整，且投标人不得因此提出任何异议。</w:t>
      </w:r>
    </w:p>
    <w:p w14:paraId="128499AF">
      <w:pPr>
        <w:spacing w:line="360" w:lineRule="auto"/>
        <w:ind w:firstLine="480" w:firstLineChars="200"/>
        <w:rPr>
          <w:color w:val="auto"/>
          <w:szCs w:val="21"/>
          <w:highlight w:val="none"/>
        </w:rPr>
      </w:pPr>
      <w:r>
        <w:rPr>
          <w:rFonts w:hint="eastAsia"/>
          <w:color w:val="auto"/>
          <w:szCs w:val="21"/>
          <w:highlight w:val="none"/>
        </w:rPr>
        <w:t>28.3.5中标人的投标报价是按照本节第1条、第2条、第3条规定的进行了调整的，其中标价按就低不就高的原则确定。如果投标人拒不接受的，其投标将被拒绝。</w:t>
      </w:r>
    </w:p>
    <w:p w14:paraId="042DE6AD">
      <w:pPr>
        <w:spacing w:line="360" w:lineRule="auto"/>
        <w:ind w:firstLine="480" w:firstLineChars="200"/>
        <w:rPr>
          <w:color w:val="auto"/>
          <w:szCs w:val="21"/>
          <w:highlight w:val="none"/>
        </w:rPr>
      </w:pPr>
      <w:r>
        <w:rPr>
          <w:rFonts w:hint="eastAsia"/>
          <w:color w:val="auto"/>
          <w:szCs w:val="21"/>
          <w:highlight w:val="none"/>
        </w:rPr>
        <w:t>28.3.5.1投标人的投标报价的总价小于调整后的报价，中标价即为投标人的投标报价的总价；投标报价的总价大于调整后的报价，中标价即为调整后的报价。</w:t>
      </w:r>
    </w:p>
    <w:p w14:paraId="419FFD90">
      <w:pPr>
        <w:spacing w:line="360" w:lineRule="auto"/>
        <w:ind w:firstLine="480" w:firstLineChars="200"/>
        <w:rPr>
          <w:color w:val="auto"/>
          <w:szCs w:val="21"/>
          <w:highlight w:val="none"/>
        </w:rPr>
      </w:pPr>
    </w:p>
    <w:p w14:paraId="2A48236D">
      <w:pPr>
        <w:adjustRightInd w:val="0"/>
        <w:snapToGrid w:val="0"/>
        <w:spacing w:line="360" w:lineRule="auto"/>
        <w:jc w:val="center"/>
        <w:rPr>
          <w:b/>
          <w:color w:val="auto"/>
          <w:sz w:val="28"/>
          <w:szCs w:val="28"/>
          <w:highlight w:val="none"/>
        </w:rPr>
      </w:pPr>
      <w:r>
        <w:rPr>
          <w:rFonts w:hint="eastAsia"/>
          <w:b/>
          <w:color w:val="auto"/>
          <w:sz w:val="28"/>
          <w:szCs w:val="28"/>
          <w:highlight w:val="none"/>
        </w:rPr>
        <w:t>商务标定性评审表</w:t>
      </w:r>
    </w:p>
    <w:p w14:paraId="7DD23F5B">
      <w:pPr>
        <w:adjustRightInd w:val="0"/>
        <w:snapToGrid w:val="0"/>
        <w:spacing w:line="360" w:lineRule="auto"/>
        <w:rPr>
          <w:b/>
          <w:color w:val="auto"/>
          <w:szCs w:val="21"/>
          <w:highlight w:val="none"/>
        </w:rPr>
      </w:pPr>
      <w:r>
        <w:rPr>
          <w:rFonts w:hint="eastAsia"/>
          <w:color w:val="auto"/>
          <w:szCs w:val="21"/>
          <w:highlight w:val="none"/>
        </w:rPr>
        <w:t>标段名称：                                               投标单位：</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55"/>
        <w:gridCol w:w="1560"/>
        <w:gridCol w:w="1169"/>
        <w:gridCol w:w="3861"/>
      </w:tblGrid>
      <w:tr w14:paraId="2D50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14:paraId="5B795839">
            <w:pPr>
              <w:adjustRightInd w:val="0"/>
              <w:snapToGrid w:val="0"/>
              <w:jc w:val="center"/>
              <w:rPr>
                <w:rFonts w:ascii="黑体" w:hAnsi="黑体" w:eastAsia="黑体"/>
                <w:color w:val="auto"/>
                <w:szCs w:val="21"/>
                <w:highlight w:val="none"/>
              </w:rPr>
            </w:pPr>
            <w:r>
              <w:rPr>
                <w:rFonts w:hint="eastAsia" w:ascii="黑体" w:hAnsi="黑体" w:eastAsia="黑体"/>
                <w:color w:val="auto"/>
                <w:szCs w:val="21"/>
                <w:highlight w:val="none"/>
              </w:rPr>
              <w:t>序号</w:t>
            </w:r>
          </w:p>
        </w:tc>
        <w:tc>
          <w:tcPr>
            <w:tcW w:w="1555" w:type="dxa"/>
            <w:vAlign w:val="center"/>
          </w:tcPr>
          <w:p w14:paraId="06BE54A9">
            <w:pPr>
              <w:adjustRightInd w:val="0"/>
              <w:snapToGrid w:val="0"/>
              <w:jc w:val="center"/>
              <w:rPr>
                <w:rFonts w:ascii="黑体" w:hAnsi="黑体" w:eastAsia="黑体"/>
                <w:color w:val="auto"/>
                <w:szCs w:val="21"/>
                <w:highlight w:val="none"/>
              </w:rPr>
            </w:pPr>
            <w:r>
              <w:rPr>
                <w:rFonts w:hint="eastAsia" w:ascii="黑体" w:hAnsi="黑体" w:eastAsia="黑体"/>
                <w:color w:val="auto"/>
                <w:szCs w:val="21"/>
                <w:highlight w:val="none"/>
              </w:rPr>
              <w:t>评审项目</w:t>
            </w:r>
          </w:p>
        </w:tc>
        <w:tc>
          <w:tcPr>
            <w:tcW w:w="1560" w:type="dxa"/>
            <w:vAlign w:val="center"/>
          </w:tcPr>
          <w:p w14:paraId="7AAE983A">
            <w:pPr>
              <w:adjustRightInd w:val="0"/>
              <w:snapToGrid w:val="0"/>
              <w:jc w:val="center"/>
              <w:rPr>
                <w:rFonts w:ascii="黑体" w:hAnsi="黑体" w:eastAsia="黑体"/>
                <w:color w:val="auto"/>
                <w:szCs w:val="21"/>
                <w:highlight w:val="none"/>
              </w:rPr>
            </w:pPr>
            <w:r>
              <w:rPr>
                <w:rFonts w:hint="eastAsia" w:ascii="黑体" w:hAnsi="黑体" w:eastAsia="黑体"/>
                <w:color w:val="auto"/>
                <w:szCs w:val="21"/>
                <w:highlight w:val="none"/>
              </w:rPr>
              <w:t>评审内容</w:t>
            </w:r>
          </w:p>
        </w:tc>
        <w:tc>
          <w:tcPr>
            <w:tcW w:w="1169" w:type="dxa"/>
            <w:vAlign w:val="center"/>
          </w:tcPr>
          <w:p w14:paraId="6B05053C">
            <w:pPr>
              <w:adjustRightInd w:val="0"/>
              <w:snapToGrid w:val="0"/>
              <w:jc w:val="center"/>
              <w:rPr>
                <w:rFonts w:ascii="黑体" w:hAnsi="黑体" w:eastAsia="黑体"/>
                <w:color w:val="auto"/>
                <w:szCs w:val="21"/>
                <w:highlight w:val="none"/>
              </w:rPr>
            </w:pPr>
            <w:r>
              <w:rPr>
                <w:rFonts w:hint="eastAsia" w:ascii="黑体" w:hAnsi="黑体" w:eastAsia="黑体"/>
                <w:color w:val="auto"/>
                <w:szCs w:val="21"/>
                <w:highlight w:val="none"/>
              </w:rPr>
              <w:t>优点</w:t>
            </w:r>
          </w:p>
        </w:tc>
        <w:tc>
          <w:tcPr>
            <w:tcW w:w="3861" w:type="dxa"/>
            <w:vAlign w:val="center"/>
          </w:tcPr>
          <w:p w14:paraId="6BD68E1D">
            <w:pPr>
              <w:adjustRightInd w:val="0"/>
              <w:snapToGrid w:val="0"/>
              <w:jc w:val="center"/>
              <w:rPr>
                <w:rFonts w:ascii="黑体" w:hAnsi="黑体" w:eastAsia="黑体"/>
                <w:color w:val="auto"/>
                <w:szCs w:val="21"/>
                <w:highlight w:val="none"/>
              </w:rPr>
            </w:pPr>
            <w:r>
              <w:rPr>
                <w:rFonts w:hint="eastAsia" w:ascii="黑体" w:hAnsi="黑体" w:eastAsia="黑体"/>
                <w:color w:val="auto"/>
                <w:szCs w:val="21"/>
                <w:highlight w:val="none"/>
              </w:rPr>
              <w:t>存在缺陷或签订合同前应注意和澄清事项</w:t>
            </w:r>
          </w:p>
        </w:tc>
      </w:tr>
      <w:tr w14:paraId="23DD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619" w:type="dxa"/>
            <w:vAlign w:val="center"/>
          </w:tcPr>
          <w:p w14:paraId="6A8293E6">
            <w:pPr>
              <w:adjustRightInd w:val="0"/>
              <w:snapToGrid w:val="0"/>
              <w:spacing w:line="360" w:lineRule="auto"/>
              <w:jc w:val="center"/>
              <w:rPr>
                <w:color w:val="auto"/>
                <w:szCs w:val="21"/>
                <w:highlight w:val="none"/>
              </w:rPr>
            </w:pPr>
            <w:bookmarkStart w:id="253" w:name="商务标定性评审表" w:colFirst="0" w:colLast="0"/>
            <w:r>
              <w:rPr>
                <w:color w:val="auto"/>
                <w:sz w:val="21"/>
                <w:highlight w:val="none"/>
              </w:rPr>
              <w:t>1</w:t>
            </w:r>
          </w:p>
        </w:tc>
        <w:tc>
          <w:tcPr>
            <w:tcW w:w="1555" w:type="dxa"/>
            <w:vAlign w:val="center"/>
          </w:tcPr>
          <w:p w14:paraId="3CFB7126">
            <w:pPr>
              <w:adjustRightInd w:val="0"/>
              <w:snapToGrid w:val="0"/>
              <w:spacing w:line="360" w:lineRule="auto"/>
              <w:rPr>
                <w:color w:val="auto"/>
                <w:szCs w:val="21"/>
                <w:highlight w:val="none"/>
              </w:rPr>
            </w:pPr>
            <w:r>
              <w:rPr>
                <w:rFonts w:hint="eastAsia"/>
                <w:color w:val="auto"/>
                <w:sz w:val="21"/>
                <w:highlight w:val="none"/>
              </w:rPr>
              <w:t>本</w:t>
            </w:r>
            <w:r>
              <w:rPr>
                <w:color w:val="auto"/>
                <w:sz w:val="21"/>
                <w:highlight w:val="none"/>
              </w:rPr>
              <w:t>项目商务标不进行评审</w:t>
            </w:r>
          </w:p>
        </w:tc>
        <w:tc>
          <w:tcPr>
            <w:tcW w:w="1560" w:type="dxa"/>
            <w:vAlign w:val="center"/>
          </w:tcPr>
          <w:p w14:paraId="1CB29C04">
            <w:pPr>
              <w:adjustRightInd w:val="0"/>
              <w:snapToGrid w:val="0"/>
              <w:spacing w:line="360" w:lineRule="auto"/>
              <w:rPr>
                <w:color w:val="auto"/>
                <w:szCs w:val="21"/>
                <w:highlight w:val="none"/>
              </w:rPr>
            </w:pPr>
            <w:r>
              <w:rPr>
                <w:rFonts w:hint="eastAsia"/>
                <w:color w:val="auto"/>
                <w:sz w:val="21"/>
                <w:highlight w:val="none"/>
              </w:rPr>
              <w:t>本项目商务标不进行评审</w:t>
            </w:r>
          </w:p>
        </w:tc>
        <w:tc>
          <w:tcPr>
            <w:tcW w:w="1169" w:type="dxa"/>
            <w:vAlign w:val="center"/>
          </w:tcPr>
          <w:p w14:paraId="26502B09">
            <w:pPr>
              <w:adjustRightInd w:val="0"/>
              <w:snapToGrid w:val="0"/>
              <w:spacing w:line="360" w:lineRule="auto"/>
              <w:rPr>
                <w:color w:val="auto"/>
                <w:szCs w:val="21"/>
                <w:highlight w:val="none"/>
              </w:rPr>
            </w:pPr>
          </w:p>
        </w:tc>
        <w:tc>
          <w:tcPr>
            <w:tcW w:w="3861" w:type="dxa"/>
            <w:vAlign w:val="center"/>
          </w:tcPr>
          <w:p w14:paraId="167BE3ED">
            <w:pPr>
              <w:adjustRightInd w:val="0"/>
              <w:snapToGrid w:val="0"/>
              <w:spacing w:line="360" w:lineRule="auto"/>
              <w:jc w:val="center"/>
              <w:rPr>
                <w:color w:val="auto"/>
                <w:szCs w:val="21"/>
                <w:highlight w:val="none"/>
              </w:rPr>
            </w:pPr>
          </w:p>
        </w:tc>
      </w:tr>
      <w:bookmarkEnd w:id="253"/>
      <w:tr w14:paraId="4089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4" w:type="dxa"/>
            <w:gridSpan w:val="5"/>
            <w:vAlign w:val="center"/>
          </w:tcPr>
          <w:p w14:paraId="5200A3D2">
            <w:pPr>
              <w:adjustRightInd w:val="0"/>
              <w:snapToGrid w:val="0"/>
              <w:spacing w:line="360" w:lineRule="auto"/>
              <w:rPr>
                <w:color w:val="auto"/>
                <w:sz w:val="20"/>
                <w:szCs w:val="21"/>
                <w:highlight w:val="none"/>
              </w:rPr>
            </w:pPr>
            <w:r>
              <w:rPr>
                <w:rFonts w:hint="eastAsia"/>
                <w:color w:val="auto"/>
                <w:sz w:val="20"/>
                <w:szCs w:val="21"/>
                <w:highlight w:val="none"/>
              </w:rPr>
              <w:t>综合评价等级：□合格    □不合格</w:t>
            </w:r>
          </w:p>
        </w:tc>
      </w:tr>
    </w:tbl>
    <w:p w14:paraId="5771C3F8">
      <w:pPr>
        <w:adjustRightInd w:val="0"/>
        <w:snapToGrid w:val="0"/>
        <w:spacing w:line="360" w:lineRule="auto"/>
        <w:rPr>
          <w:rFonts w:ascii="黑体" w:eastAsia="黑体"/>
          <w:color w:val="auto"/>
          <w:szCs w:val="21"/>
          <w:highlight w:val="none"/>
        </w:rPr>
      </w:pPr>
      <w:r>
        <w:rPr>
          <w:rFonts w:hint="eastAsia" w:ascii="黑体" w:eastAsia="黑体"/>
          <w:color w:val="auto"/>
          <w:szCs w:val="21"/>
          <w:highlight w:val="none"/>
        </w:rPr>
        <w:t>评标专家：                                  评标日期：    年  月  日</w:t>
      </w:r>
    </w:p>
    <w:p w14:paraId="43551481">
      <w:pPr>
        <w:adjustRightInd w:val="0"/>
        <w:snapToGrid w:val="0"/>
        <w:spacing w:line="360" w:lineRule="auto"/>
        <w:rPr>
          <w:color w:val="auto"/>
          <w:szCs w:val="21"/>
          <w:highlight w:val="none"/>
        </w:rPr>
      </w:pPr>
      <w:r>
        <w:rPr>
          <w:rFonts w:hint="eastAsia"/>
          <w:color w:val="auto"/>
          <w:szCs w:val="21"/>
          <w:highlight w:val="none"/>
        </w:rPr>
        <w:t>备注：</w:t>
      </w:r>
    </w:p>
    <w:p w14:paraId="0A8EFED7">
      <w:pPr>
        <w:adjustRightInd w:val="0"/>
        <w:snapToGrid w:val="0"/>
        <w:spacing w:line="360" w:lineRule="auto"/>
        <w:ind w:firstLine="480" w:firstLineChars="200"/>
        <w:rPr>
          <w:color w:val="auto"/>
          <w:szCs w:val="21"/>
          <w:highlight w:val="none"/>
        </w:rPr>
      </w:pPr>
      <w:r>
        <w:rPr>
          <w:rFonts w:hint="eastAsia"/>
          <w:color w:val="auto"/>
          <w:szCs w:val="21"/>
          <w:highlight w:val="none"/>
        </w:rPr>
        <w:t>1、本表适用于专家独立评审使用；</w:t>
      </w:r>
    </w:p>
    <w:p w14:paraId="5B0F981E">
      <w:pPr>
        <w:adjustRightInd w:val="0"/>
        <w:snapToGrid w:val="0"/>
        <w:spacing w:line="360" w:lineRule="auto"/>
        <w:ind w:firstLine="480" w:firstLineChars="200"/>
        <w:rPr>
          <w:color w:val="auto"/>
          <w:szCs w:val="21"/>
          <w:highlight w:val="none"/>
        </w:rPr>
      </w:pPr>
      <w:r>
        <w:rPr>
          <w:rFonts w:hint="eastAsia"/>
          <w:color w:val="auto"/>
          <w:szCs w:val="21"/>
          <w:highlight w:val="none"/>
        </w:rPr>
        <w:t>2、指出各评审项的优点、存在缺陷或签订合同前应注意和澄清事项；</w:t>
      </w:r>
    </w:p>
    <w:p w14:paraId="5D9F7D42">
      <w:pPr>
        <w:spacing w:line="360" w:lineRule="auto"/>
        <w:ind w:firstLine="480" w:firstLineChars="200"/>
        <w:rPr>
          <w:color w:val="auto"/>
          <w:szCs w:val="21"/>
          <w:highlight w:val="none"/>
        </w:rPr>
      </w:pPr>
      <w:r>
        <w:rPr>
          <w:rFonts w:hint="eastAsia"/>
          <w:color w:val="auto"/>
          <w:szCs w:val="21"/>
          <w:highlight w:val="none"/>
        </w:rPr>
        <w:t>3、综合评价等级仅分为合格或不合格两个等级，不合格仅限于符合招标文件废标、无效标情形以及投标文件违反国家强制性条文标准的情形。</w:t>
      </w:r>
    </w:p>
    <w:p w14:paraId="64E1A389">
      <w:pPr>
        <w:spacing w:line="360" w:lineRule="auto"/>
        <w:ind w:firstLine="480" w:firstLineChars="200"/>
        <w:rPr>
          <w:strike/>
          <w:color w:val="auto"/>
          <w:szCs w:val="21"/>
          <w:highlight w:val="none"/>
        </w:rPr>
      </w:pPr>
    </w:p>
    <w:p w14:paraId="2415D4D3">
      <w:pPr>
        <w:adjustRightInd w:val="0"/>
        <w:snapToGrid w:val="0"/>
        <w:spacing w:line="360" w:lineRule="auto"/>
        <w:jc w:val="center"/>
        <w:rPr>
          <w:b/>
          <w:color w:val="auto"/>
          <w:sz w:val="28"/>
          <w:szCs w:val="28"/>
          <w:highlight w:val="none"/>
        </w:rPr>
      </w:pPr>
      <w:r>
        <w:rPr>
          <w:rFonts w:hint="eastAsia"/>
          <w:b/>
          <w:color w:val="auto"/>
          <w:sz w:val="28"/>
          <w:szCs w:val="28"/>
          <w:highlight w:val="none"/>
        </w:rPr>
        <w:t>技术标定性评审表</w:t>
      </w:r>
    </w:p>
    <w:p w14:paraId="03669263">
      <w:pPr>
        <w:adjustRightInd w:val="0"/>
        <w:snapToGrid w:val="0"/>
        <w:spacing w:line="360" w:lineRule="auto"/>
        <w:rPr>
          <w:b/>
          <w:color w:val="auto"/>
          <w:szCs w:val="21"/>
          <w:highlight w:val="none"/>
        </w:rPr>
      </w:pPr>
      <w:r>
        <w:rPr>
          <w:rFonts w:hint="eastAsia"/>
          <w:color w:val="auto"/>
          <w:szCs w:val="21"/>
          <w:highlight w:val="none"/>
        </w:rPr>
        <w:t>标段名称：                                               投标单位：</w:t>
      </w:r>
    </w:p>
    <w:tbl>
      <w:tblPr>
        <w:tblStyle w:val="39"/>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062"/>
        <w:gridCol w:w="3126"/>
        <w:gridCol w:w="709"/>
        <w:gridCol w:w="2248"/>
      </w:tblGrid>
      <w:tr w14:paraId="14CC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14:paraId="583963FD">
            <w:pPr>
              <w:adjustRightInd w:val="0"/>
              <w:snapToGrid w:val="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序号</w:t>
            </w:r>
          </w:p>
        </w:tc>
        <w:tc>
          <w:tcPr>
            <w:tcW w:w="2062" w:type="dxa"/>
            <w:vAlign w:val="center"/>
          </w:tcPr>
          <w:p w14:paraId="0BFDBFBA">
            <w:pPr>
              <w:adjustRightInd w:val="0"/>
              <w:snapToGrid w:val="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评审项目</w:t>
            </w:r>
          </w:p>
        </w:tc>
        <w:tc>
          <w:tcPr>
            <w:tcW w:w="3126" w:type="dxa"/>
            <w:vAlign w:val="center"/>
          </w:tcPr>
          <w:p w14:paraId="72E3E07D">
            <w:pPr>
              <w:adjustRightInd w:val="0"/>
              <w:snapToGrid w:val="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评审内容</w:t>
            </w:r>
          </w:p>
        </w:tc>
        <w:tc>
          <w:tcPr>
            <w:tcW w:w="709" w:type="dxa"/>
            <w:vAlign w:val="center"/>
          </w:tcPr>
          <w:p w14:paraId="110E7094">
            <w:pPr>
              <w:adjustRightInd w:val="0"/>
              <w:snapToGrid w:val="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优点</w:t>
            </w:r>
          </w:p>
        </w:tc>
        <w:tc>
          <w:tcPr>
            <w:tcW w:w="2248" w:type="dxa"/>
            <w:vAlign w:val="center"/>
          </w:tcPr>
          <w:p w14:paraId="60A854D8">
            <w:pPr>
              <w:adjustRightInd w:val="0"/>
              <w:snapToGrid w:val="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存在缺陷或签订合同前应注意和澄清事项</w:t>
            </w:r>
          </w:p>
        </w:tc>
      </w:tr>
      <w:tr w14:paraId="2BA5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jc w:val="center"/>
        </w:trPr>
        <w:tc>
          <w:tcPr>
            <w:tcW w:w="619" w:type="dxa"/>
            <w:vAlign w:val="center"/>
          </w:tcPr>
          <w:p w14:paraId="0113C1E0">
            <w:pPr>
              <w:adjustRightInd w:val="0"/>
              <w:snapToGrid w:val="0"/>
              <w:spacing w:line="360" w:lineRule="auto"/>
              <w:jc w:val="center"/>
              <w:rPr>
                <w:color w:val="auto"/>
                <w:sz w:val="21"/>
                <w:szCs w:val="21"/>
                <w:highlight w:val="none"/>
              </w:rPr>
            </w:pPr>
            <w:bookmarkStart w:id="254" w:name="技术标定性评审表" w:colFirst="0" w:colLast="0"/>
            <w:r>
              <w:rPr>
                <w:color w:val="auto"/>
                <w:sz w:val="21"/>
                <w:szCs w:val="21"/>
                <w:highlight w:val="none"/>
              </w:rPr>
              <w:t>1</w:t>
            </w:r>
          </w:p>
        </w:tc>
        <w:tc>
          <w:tcPr>
            <w:tcW w:w="2062" w:type="dxa"/>
            <w:vAlign w:val="center"/>
          </w:tcPr>
          <w:p w14:paraId="69EE27D4">
            <w:pPr>
              <w:adjustRightInd w:val="0"/>
              <w:snapToGrid w:val="0"/>
              <w:spacing w:line="360" w:lineRule="auto"/>
              <w:rPr>
                <w:color w:val="auto"/>
                <w:szCs w:val="21"/>
                <w:highlight w:val="none"/>
              </w:rPr>
            </w:pPr>
            <w:r>
              <w:rPr>
                <w:rFonts w:hint="eastAsia"/>
                <w:color w:val="auto"/>
                <w:sz w:val="21"/>
                <w:highlight w:val="none"/>
              </w:rPr>
              <w:t>本</w:t>
            </w:r>
            <w:r>
              <w:rPr>
                <w:color w:val="auto"/>
                <w:sz w:val="21"/>
                <w:highlight w:val="none"/>
              </w:rPr>
              <w:t>项目</w:t>
            </w:r>
            <w:r>
              <w:rPr>
                <w:rFonts w:hint="eastAsia"/>
                <w:color w:val="auto"/>
                <w:sz w:val="21"/>
                <w:highlight w:val="none"/>
              </w:rPr>
              <w:t>不编制</w:t>
            </w:r>
            <w:r>
              <w:rPr>
                <w:color w:val="auto"/>
                <w:sz w:val="21"/>
                <w:highlight w:val="none"/>
              </w:rPr>
              <w:t>技术标</w:t>
            </w:r>
            <w:r>
              <w:rPr>
                <w:rFonts w:hint="eastAsia"/>
                <w:color w:val="auto"/>
                <w:sz w:val="21"/>
                <w:highlight w:val="none"/>
              </w:rPr>
              <w:t>，</w:t>
            </w:r>
            <w:r>
              <w:rPr>
                <w:color w:val="auto"/>
                <w:sz w:val="21"/>
                <w:highlight w:val="none"/>
              </w:rPr>
              <w:t>不进行评审</w:t>
            </w:r>
          </w:p>
        </w:tc>
        <w:tc>
          <w:tcPr>
            <w:tcW w:w="3126" w:type="dxa"/>
            <w:vAlign w:val="center"/>
          </w:tcPr>
          <w:p w14:paraId="3DDCF0F8">
            <w:pPr>
              <w:adjustRightInd w:val="0"/>
              <w:snapToGrid w:val="0"/>
              <w:spacing w:line="360" w:lineRule="auto"/>
              <w:rPr>
                <w:color w:val="auto"/>
                <w:szCs w:val="21"/>
                <w:highlight w:val="none"/>
              </w:rPr>
            </w:pPr>
            <w:r>
              <w:rPr>
                <w:rFonts w:hint="eastAsia"/>
                <w:color w:val="auto"/>
                <w:sz w:val="21"/>
                <w:highlight w:val="none"/>
              </w:rPr>
              <w:t>本</w:t>
            </w:r>
            <w:r>
              <w:rPr>
                <w:color w:val="auto"/>
                <w:sz w:val="21"/>
                <w:highlight w:val="none"/>
              </w:rPr>
              <w:t>项目</w:t>
            </w:r>
            <w:r>
              <w:rPr>
                <w:rFonts w:hint="eastAsia"/>
                <w:color w:val="auto"/>
                <w:sz w:val="21"/>
                <w:highlight w:val="none"/>
              </w:rPr>
              <w:t>不编制</w:t>
            </w:r>
            <w:r>
              <w:rPr>
                <w:color w:val="auto"/>
                <w:sz w:val="21"/>
                <w:highlight w:val="none"/>
              </w:rPr>
              <w:t>技术标</w:t>
            </w:r>
            <w:r>
              <w:rPr>
                <w:rFonts w:hint="eastAsia"/>
                <w:color w:val="auto"/>
                <w:sz w:val="21"/>
                <w:highlight w:val="none"/>
              </w:rPr>
              <w:t>，</w:t>
            </w:r>
            <w:r>
              <w:rPr>
                <w:color w:val="auto"/>
                <w:sz w:val="21"/>
                <w:highlight w:val="none"/>
              </w:rPr>
              <w:t>不进行评审</w:t>
            </w:r>
          </w:p>
        </w:tc>
        <w:tc>
          <w:tcPr>
            <w:tcW w:w="709" w:type="dxa"/>
            <w:vAlign w:val="center"/>
          </w:tcPr>
          <w:p w14:paraId="4F1C43DA">
            <w:pPr>
              <w:adjustRightInd w:val="0"/>
              <w:snapToGrid w:val="0"/>
              <w:spacing w:line="360" w:lineRule="auto"/>
              <w:rPr>
                <w:color w:val="auto"/>
                <w:sz w:val="21"/>
                <w:szCs w:val="21"/>
                <w:highlight w:val="none"/>
              </w:rPr>
            </w:pPr>
          </w:p>
        </w:tc>
        <w:tc>
          <w:tcPr>
            <w:tcW w:w="2248" w:type="dxa"/>
            <w:vAlign w:val="center"/>
          </w:tcPr>
          <w:p w14:paraId="4C10A4DF">
            <w:pPr>
              <w:adjustRightInd w:val="0"/>
              <w:snapToGrid w:val="0"/>
              <w:spacing w:line="360" w:lineRule="auto"/>
              <w:jc w:val="center"/>
              <w:rPr>
                <w:color w:val="auto"/>
                <w:sz w:val="21"/>
                <w:szCs w:val="21"/>
                <w:highlight w:val="none"/>
              </w:rPr>
            </w:pPr>
          </w:p>
        </w:tc>
      </w:tr>
      <w:bookmarkEnd w:id="254"/>
      <w:tr w14:paraId="4C0C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4" w:type="dxa"/>
            <w:gridSpan w:val="5"/>
            <w:vAlign w:val="center"/>
          </w:tcPr>
          <w:p w14:paraId="438F2B5A">
            <w:pPr>
              <w:adjustRightInd w:val="0"/>
              <w:snapToGrid w:val="0"/>
              <w:spacing w:line="360" w:lineRule="auto"/>
              <w:rPr>
                <w:color w:val="auto"/>
                <w:sz w:val="21"/>
                <w:szCs w:val="21"/>
                <w:highlight w:val="none"/>
              </w:rPr>
            </w:pPr>
            <w:r>
              <w:rPr>
                <w:rFonts w:hint="eastAsia"/>
                <w:color w:val="auto"/>
                <w:sz w:val="21"/>
                <w:szCs w:val="21"/>
                <w:highlight w:val="none"/>
              </w:rPr>
              <w:t>综合评价等级：□合格    □不合格</w:t>
            </w:r>
          </w:p>
        </w:tc>
      </w:tr>
    </w:tbl>
    <w:p w14:paraId="7CBD3CE2">
      <w:pPr>
        <w:adjustRightInd w:val="0"/>
        <w:snapToGrid w:val="0"/>
        <w:spacing w:line="360" w:lineRule="auto"/>
        <w:rPr>
          <w:rFonts w:ascii="黑体" w:eastAsia="黑体"/>
          <w:color w:val="auto"/>
          <w:szCs w:val="21"/>
          <w:highlight w:val="none"/>
        </w:rPr>
      </w:pPr>
      <w:r>
        <w:rPr>
          <w:rFonts w:hint="eastAsia" w:ascii="黑体" w:eastAsia="黑体"/>
          <w:color w:val="auto"/>
          <w:szCs w:val="21"/>
          <w:highlight w:val="none"/>
        </w:rPr>
        <w:t>评标专家：                                  评标日期：    年  月  日</w:t>
      </w:r>
    </w:p>
    <w:p w14:paraId="7BFB64A8">
      <w:pPr>
        <w:adjustRightInd w:val="0"/>
        <w:snapToGrid w:val="0"/>
        <w:spacing w:line="360" w:lineRule="auto"/>
        <w:rPr>
          <w:color w:val="auto"/>
          <w:szCs w:val="21"/>
          <w:highlight w:val="none"/>
        </w:rPr>
      </w:pPr>
      <w:r>
        <w:rPr>
          <w:rFonts w:hint="eastAsia"/>
          <w:color w:val="auto"/>
          <w:szCs w:val="21"/>
          <w:highlight w:val="none"/>
        </w:rPr>
        <w:t>备注：</w:t>
      </w:r>
    </w:p>
    <w:p w14:paraId="250E8361">
      <w:pPr>
        <w:adjustRightInd w:val="0"/>
        <w:snapToGrid w:val="0"/>
        <w:spacing w:line="360" w:lineRule="auto"/>
        <w:ind w:firstLine="480" w:firstLineChars="200"/>
        <w:rPr>
          <w:color w:val="auto"/>
          <w:szCs w:val="21"/>
          <w:highlight w:val="none"/>
        </w:rPr>
      </w:pPr>
      <w:r>
        <w:rPr>
          <w:rFonts w:hint="eastAsia"/>
          <w:color w:val="auto"/>
          <w:szCs w:val="21"/>
          <w:highlight w:val="none"/>
        </w:rPr>
        <w:t>1、本表适用于专家独立评审使用；</w:t>
      </w:r>
    </w:p>
    <w:p w14:paraId="64323C1E">
      <w:pPr>
        <w:adjustRightInd w:val="0"/>
        <w:snapToGrid w:val="0"/>
        <w:spacing w:line="360" w:lineRule="auto"/>
        <w:ind w:firstLine="480" w:firstLineChars="200"/>
        <w:rPr>
          <w:color w:val="auto"/>
          <w:szCs w:val="21"/>
          <w:highlight w:val="none"/>
        </w:rPr>
      </w:pPr>
      <w:r>
        <w:rPr>
          <w:rFonts w:hint="eastAsia"/>
          <w:color w:val="auto"/>
          <w:szCs w:val="21"/>
          <w:highlight w:val="none"/>
        </w:rPr>
        <w:t>2、指出各评审项的优点、存在缺陷或签订合同前应注意和澄清事项；</w:t>
      </w:r>
    </w:p>
    <w:p w14:paraId="5F72684E">
      <w:pPr>
        <w:spacing w:line="360" w:lineRule="auto"/>
        <w:ind w:firstLine="480" w:firstLineChars="200"/>
        <w:rPr>
          <w:color w:val="auto"/>
          <w:szCs w:val="21"/>
          <w:highlight w:val="none"/>
        </w:rPr>
      </w:pPr>
      <w:r>
        <w:rPr>
          <w:rFonts w:hint="eastAsia"/>
          <w:color w:val="auto"/>
          <w:szCs w:val="21"/>
          <w:highlight w:val="none"/>
        </w:rPr>
        <w:t>3、综合评价等级仅分为合格或不合格两个等级，不合格仅限于符合招标文件废标、无效标情形以及投标文件违反国家强制性条文标准的情形。</w:t>
      </w:r>
    </w:p>
    <w:p w14:paraId="468EB641">
      <w:pPr>
        <w:spacing w:line="360" w:lineRule="auto"/>
        <w:ind w:firstLine="480" w:firstLineChars="200"/>
        <w:rPr>
          <w:color w:val="auto"/>
          <w:szCs w:val="21"/>
          <w:highlight w:val="none"/>
        </w:rPr>
      </w:pPr>
    </w:p>
    <w:p w14:paraId="36667666">
      <w:pPr>
        <w:pStyle w:val="6"/>
        <w:keepNext w:val="0"/>
        <w:keepLines w:val="0"/>
        <w:widowControl w:val="0"/>
        <w:tabs>
          <w:tab w:val="left" w:pos="720"/>
          <w:tab w:val="left" w:pos="4032"/>
        </w:tabs>
        <w:adjustRightInd w:val="0"/>
        <w:snapToGrid w:val="0"/>
        <w:spacing w:before="0" w:after="0" w:line="360" w:lineRule="auto"/>
        <w:jc w:val="center"/>
        <w:rPr>
          <w:color w:val="auto"/>
          <w:highlight w:val="none"/>
          <w:lang w:val="en-US"/>
        </w:rPr>
      </w:pPr>
      <w:r>
        <w:rPr>
          <w:rFonts w:hint="eastAsia"/>
          <w:color w:val="auto"/>
          <w:highlight w:val="none"/>
          <w:lang w:val="en-US"/>
        </w:rPr>
        <w:t>七、定标</w:t>
      </w:r>
    </w:p>
    <w:p w14:paraId="7B81F35D">
      <w:pPr>
        <w:rPr>
          <w:b/>
          <w:color w:val="auto"/>
          <w:sz w:val="28"/>
          <w:szCs w:val="28"/>
          <w:highlight w:val="none"/>
        </w:rPr>
      </w:pPr>
      <w:r>
        <w:rPr>
          <w:rFonts w:hint="eastAsia"/>
          <w:b/>
          <w:color w:val="auto"/>
          <w:sz w:val="28"/>
          <w:szCs w:val="28"/>
          <w:highlight w:val="none"/>
        </w:rPr>
        <w:t>29.定标方法</w:t>
      </w:r>
    </w:p>
    <w:p w14:paraId="47FD03B1">
      <w:pPr>
        <w:spacing w:line="360" w:lineRule="auto"/>
        <w:ind w:firstLine="480" w:firstLineChars="200"/>
        <w:rPr>
          <w:snapToGrid w:val="0"/>
          <w:color w:val="auto"/>
          <w:szCs w:val="21"/>
          <w:highlight w:val="none"/>
        </w:rPr>
      </w:pPr>
      <w:bookmarkStart w:id="255" w:name="票决定标法"/>
      <w:r>
        <w:rPr>
          <w:rFonts w:hint="eastAsia"/>
          <w:color w:val="auto"/>
          <w:szCs w:val="21"/>
          <w:highlight w:val="none"/>
        </w:rPr>
        <w:t>29.1定标方法包括票决定标法、票决抽签定标法、集体议事法</w:t>
      </w:r>
      <w:r>
        <w:rPr>
          <w:rFonts w:hint="eastAsia"/>
          <w:snapToGrid w:val="0"/>
          <w:color w:val="auto"/>
          <w:szCs w:val="21"/>
          <w:highlight w:val="none"/>
        </w:rPr>
        <w:t>或者经建设主管部门批准的其他方法。</w:t>
      </w:r>
    </w:p>
    <w:p w14:paraId="2E8C32B1">
      <w:pPr>
        <w:spacing w:line="360" w:lineRule="auto"/>
        <w:ind w:firstLine="480" w:firstLineChars="200"/>
        <w:rPr>
          <w:snapToGrid w:val="0"/>
          <w:color w:val="auto"/>
          <w:szCs w:val="21"/>
          <w:highlight w:val="none"/>
        </w:rPr>
      </w:pPr>
      <w:r>
        <w:rPr>
          <w:color w:val="auto"/>
          <w:szCs w:val="21"/>
          <w:highlight w:val="none"/>
        </w:rPr>
        <w:t>29</w:t>
      </w:r>
      <w:r>
        <w:rPr>
          <w:rFonts w:hint="eastAsia"/>
          <w:color w:val="auto"/>
          <w:szCs w:val="21"/>
          <w:highlight w:val="none"/>
        </w:rPr>
        <w:t>.2</w:t>
      </w:r>
      <w:r>
        <w:rPr>
          <w:rFonts w:hint="eastAsia"/>
          <w:snapToGrid w:val="0"/>
          <w:color w:val="auto"/>
          <w:szCs w:val="21"/>
          <w:highlight w:val="none"/>
        </w:rPr>
        <w:t>定标委员会应当根据“投标须知前附表”规定的定标方法，对进入定标环节的投标文件进行评审和比较。招标文件中没有规定的标准和方法不得作为定标的依据。</w:t>
      </w:r>
    </w:p>
    <w:p w14:paraId="7EBDDC5C">
      <w:pPr>
        <w:spacing w:line="360" w:lineRule="auto"/>
        <w:ind w:firstLine="480" w:firstLineChars="200"/>
        <w:rPr>
          <w:snapToGrid w:val="0"/>
          <w:color w:val="auto"/>
          <w:szCs w:val="21"/>
          <w:highlight w:val="none"/>
        </w:rPr>
      </w:pPr>
      <w:r>
        <w:rPr>
          <w:color w:val="auto"/>
          <w:szCs w:val="21"/>
          <w:highlight w:val="none"/>
        </w:rPr>
        <w:t>29</w:t>
      </w:r>
      <w:r>
        <w:rPr>
          <w:rFonts w:hint="eastAsia"/>
          <w:color w:val="auto"/>
          <w:szCs w:val="21"/>
          <w:highlight w:val="none"/>
        </w:rPr>
        <w:t>.3</w:t>
      </w:r>
      <w:r>
        <w:rPr>
          <w:rFonts w:hint="eastAsia"/>
          <w:snapToGrid w:val="0"/>
          <w:color w:val="auto"/>
          <w:szCs w:val="21"/>
          <w:highlight w:val="none"/>
        </w:rPr>
        <w:t>具体定标方法如下：</w:t>
      </w:r>
    </w:p>
    <w:p w14:paraId="1F3AACFF">
      <w:pPr>
        <w:rPr>
          <w:b/>
          <w:color w:val="auto"/>
          <w:sz w:val="28"/>
          <w:szCs w:val="28"/>
          <w:highlight w:val="none"/>
        </w:rPr>
      </w:pPr>
      <w:r>
        <w:rPr>
          <w:rFonts w:hint="eastAsia"/>
          <w:b/>
          <w:color w:val="auto"/>
          <w:sz w:val="28"/>
          <w:szCs w:val="28"/>
          <w:highlight w:val="none"/>
        </w:rPr>
        <w:t>29.3.1票决定标法</w:t>
      </w:r>
    </w:p>
    <w:p w14:paraId="1A1B4C24">
      <w:pPr>
        <w:spacing w:line="360" w:lineRule="auto"/>
        <w:ind w:firstLine="480" w:firstLineChars="200"/>
        <w:rPr>
          <w:snapToGrid w:val="0"/>
          <w:color w:val="auto"/>
          <w:szCs w:val="21"/>
          <w:highlight w:val="none"/>
        </w:rPr>
      </w:pPr>
      <w:bookmarkStart w:id="256" w:name="逐轮票决定标"/>
      <w:r>
        <w:rPr>
          <w:rFonts w:hint="eastAsia"/>
          <w:snapToGrid w:val="0"/>
          <w:color w:val="auto"/>
          <w:szCs w:val="21"/>
          <w:highlight w:val="none"/>
        </w:rPr>
        <w:t>招标人组建定标委员会，定标委员会成员对所有进入定标程序的投标人以前附表确定的方式进行排名，并以这些排名为基础，确定得票最多的投标人为中标人。</w:t>
      </w:r>
    </w:p>
    <w:p w14:paraId="10CA8C98">
      <w:pPr>
        <w:spacing w:line="360" w:lineRule="auto"/>
        <w:ind w:firstLine="480" w:firstLineChars="200"/>
        <w:rPr>
          <w:color w:val="auto"/>
          <w:szCs w:val="21"/>
          <w:highlight w:val="none"/>
        </w:rPr>
      </w:pPr>
      <w:r>
        <w:rPr>
          <w:rFonts w:hint="eastAsia"/>
          <w:color w:val="auto"/>
          <w:szCs w:val="21"/>
          <w:highlight w:val="none"/>
        </w:rPr>
        <w:t>票决方式：</w:t>
      </w:r>
    </w:p>
    <w:p w14:paraId="5B5B60C3">
      <w:pPr>
        <w:adjustRightInd w:val="0"/>
        <w:snapToGrid w:val="0"/>
        <w:spacing w:line="360" w:lineRule="auto"/>
        <w:ind w:firstLine="482" w:firstLineChars="200"/>
        <w:rPr>
          <w:b/>
          <w:color w:val="auto"/>
          <w:szCs w:val="21"/>
          <w:highlight w:val="none"/>
        </w:rPr>
      </w:pPr>
      <w:r>
        <w:rPr>
          <w:rFonts w:hint="eastAsia"/>
          <w:b/>
          <w:color w:val="auto"/>
          <w:szCs w:val="21"/>
          <w:highlight w:val="none"/>
        </w:rPr>
        <w:t>（1）直接票决定标</w:t>
      </w:r>
    </w:p>
    <w:p w14:paraId="0EEEA7BC">
      <w:pPr>
        <w:adjustRightInd w:val="0"/>
        <w:snapToGrid w:val="0"/>
        <w:spacing w:line="360" w:lineRule="auto"/>
        <w:ind w:firstLine="480" w:firstLineChars="200"/>
        <w:rPr>
          <w:color w:val="auto"/>
          <w:szCs w:val="21"/>
          <w:highlight w:val="none"/>
        </w:rPr>
      </w:pPr>
      <w:r>
        <w:rPr>
          <w:rFonts w:hint="eastAsia"/>
          <w:color w:val="auto"/>
          <w:szCs w:val="21"/>
          <w:highlight w:val="none"/>
        </w:rPr>
        <w:t>招标人组建定标委员会，定标委员会成员对所有进入定标程序的投标人根据前附表确定的方式进行投票，根据得票数确定中标人。</w:t>
      </w:r>
    </w:p>
    <w:p w14:paraId="2ECA312E">
      <w:pPr>
        <w:adjustRightInd w:val="0"/>
        <w:snapToGrid w:val="0"/>
        <w:spacing w:line="360" w:lineRule="auto"/>
        <w:ind w:firstLine="472" w:firstLineChars="196"/>
        <w:rPr>
          <w:b/>
          <w:color w:val="auto"/>
          <w:szCs w:val="21"/>
          <w:highlight w:val="none"/>
        </w:rPr>
      </w:pPr>
      <w:r>
        <w:rPr>
          <w:rFonts w:hint="eastAsia"/>
          <w:b/>
          <w:color w:val="auto"/>
          <w:szCs w:val="21"/>
          <w:highlight w:val="none"/>
        </w:rPr>
        <w:t>（2）逐轮票决定标</w:t>
      </w:r>
    </w:p>
    <w:p w14:paraId="2BA1241C">
      <w:pPr>
        <w:adjustRightInd w:val="0"/>
        <w:snapToGrid w:val="0"/>
        <w:spacing w:line="360" w:lineRule="auto"/>
        <w:ind w:firstLine="470" w:firstLineChars="196"/>
        <w:rPr>
          <w:color w:val="auto"/>
          <w:szCs w:val="21"/>
          <w:highlight w:val="none"/>
        </w:rPr>
      </w:pPr>
      <w:r>
        <w:rPr>
          <w:rFonts w:hint="eastAsia"/>
          <w:color w:val="auto"/>
          <w:szCs w:val="21"/>
          <w:highlight w:val="none"/>
        </w:rPr>
        <w:t>招标人组建定标委员会，定标委员会成员对所有进入定标程序的投标人根据前附表确定的方式进行逐轮投票，每轮以得票数多少确定进入下一轮投票的投标人直至确定中标人。</w:t>
      </w:r>
    </w:p>
    <w:p w14:paraId="1D0F6143">
      <w:pPr>
        <w:adjustRightInd w:val="0"/>
        <w:snapToGrid w:val="0"/>
        <w:spacing w:line="360" w:lineRule="auto"/>
        <w:ind w:firstLine="472" w:firstLineChars="196"/>
        <w:rPr>
          <w:b/>
          <w:bCs/>
          <w:color w:val="auto"/>
          <w:szCs w:val="21"/>
          <w:highlight w:val="none"/>
        </w:rPr>
      </w:pPr>
      <w:r>
        <w:rPr>
          <w:rFonts w:hint="eastAsia"/>
          <w:b/>
          <w:bCs/>
          <w:color w:val="auto"/>
          <w:szCs w:val="21"/>
          <w:highlight w:val="none"/>
        </w:rPr>
        <w:t>（3）票决方式：</w:t>
      </w:r>
    </w:p>
    <w:p w14:paraId="13DD7CA0">
      <w:pPr>
        <w:adjustRightInd w:val="0"/>
        <w:snapToGrid w:val="0"/>
        <w:spacing w:line="360" w:lineRule="auto"/>
        <w:ind w:firstLine="470" w:firstLineChars="196"/>
        <w:rPr>
          <w:color w:val="auto"/>
          <w:szCs w:val="21"/>
          <w:highlight w:val="none"/>
        </w:rPr>
      </w:pPr>
      <w:r>
        <w:rPr>
          <w:rFonts w:hint="eastAsia"/>
          <w:color w:val="auto"/>
          <w:szCs w:val="21"/>
          <w:highlight w:val="none"/>
        </w:rPr>
        <w:t>①简单多数法</w:t>
      </w:r>
    </w:p>
    <w:p w14:paraId="3297D946">
      <w:pPr>
        <w:adjustRightInd w:val="0"/>
        <w:snapToGrid w:val="0"/>
        <w:spacing w:line="360" w:lineRule="auto"/>
        <w:ind w:firstLine="470" w:firstLineChars="196"/>
        <w:rPr>
          <w:color w:val="auto"/>
          <w:szCs w:val="21"/>
          <w:highlight w:val="none"/>
        </w:rPr>
      </w:pPr>
      <w:r>
        <w:rPr>
          <w:rFonts w:hint="eastAsia"/>
          <w:color w:val="auto"/>
          <w:szCs w:val="21"/>
          <w:highlight w:val="none"/>
        </w:rPr>
        <w:t>a.投票规则：定标委员会成员按照招标文件规定的推荐人数，在各自的选票上填写相同数量的投标人名称或序号。</w:t>
      </w:r>
    </w:p>
    <w:p w14:paraId="4A932AC4">
      <w:pPr>
        <w:adjustRightInd w:val="0"/>
        <w:snapToGrid w:val="0"/>
        <w:spacing w:line="360" w:lineRule="auto"/>
        <w:ind w:firstLine="480" w:firstLineChars="200"/>
        <w:rPr>
          <w:color w:val="auto"/>
          <w:szCs w:val="21"/>
          <w:highlight w:val="none"/>
        </w:rPr>
      </w:pPr>
      <w:r>
        <w:rPr>
          <w:rFonts w:hint="eastAsia"/>
          <w:color w:val="auto"/>
          <w:szCs w:val="21"/>
          <w:highlight w:val="none"/>
        </w:rPr>
        <w:t>b.计算规则：根据得票数的多少进行排名，推荐得票数最多的为中标人。投票结果中排序出现并列情形的，在不影响票决家数总数的情况下不须再次投票，投票结果中并列排序影响到结果时，以投标须知前附表规定的方法进行确定。</w:t>
      </w:r>
    </w:p>
    <w:p w14:paraId="4B726144">
      <w:pPr>
        <w:adjustRightInd w:val="0"/>
        <w:snapToGrid w:val="0"/>
        <w:spacing w:line="360" w:lineRule="auto"/>
        <w:ind w:firstLine="470" w:firstLineChars="196"/>
        <w:rPr>
          <w:color w:val="auto"/>
          <w:szCs w:val="21"/>
          <w:highlight w:val="none"/>
        </w:rPr>
      </w:pPr>
      <w:r>
        <w:rPr>
          <w:rFonts w:hint="eastAsia"/>
          <w:color w:val="auto"/>
          <w:szCs w:val="21"/>
          <w:highlight w:val="none"/>
        </w:rPr>
        <w:t>②简单多数法（且过半数）</w:t>
      </w:r>
    </w:p>
    <w:p w14:paraId="79602107">
      <w:pPr>
        <w:adjustRightInd w:val="0"/>
        <w:snapToGrid w:val="0"/>
        <w:spacing w:line="360" w:lineRule="auto"/>
        <w:ind w:firstLine="480" w:firstLineChars="200"/>
        <w:rPr>
          <w:color w:val="auto"/>
          <w:szCs w:val="21"/>
          <w:highlight w:val="none"/>
        </w:rPr>
      </w:pPr>
      <w:r>
        <w:rPr>
          <w:rFonts w:hint="eastAsia"/>
          <w:color w:val="auto"/>
          <w:szCs w:val="21"/>
          <w:highlight w:val="none"/>
        </w:rPr>
        <w:t>a.投票规则：定标委员会在进入投票范围的投标人中，以每人投票支持一个投标人的方式，得票最多且过半数的投标人为中标人。</w:t>
      </w:r>
    </w:p>
    <w:p w14:paraId="51203117">
      <w:pPr>
        <w:adjustRightInd w:val="0"/>
        <w:snapToGrid w:val="0"/>
        <w:spacing w:line="360" w:lineRule="auto"/>
        <w:ind w:firstLine="480" w:firstLineChars="200"/>
        <w:rPr>
          <w:color w:val="auto"/>
          <w:szCs w:val="21"/>
          <w:highlight w:val="none"/>
        </w:rPr>
      </w:pPr>
      <w:r>
        <w:rPr>
          <w:rFonts w:hint="eastAsia"/>
          <w:color w:val="auto"/>
          <w:szCs w:val="21"/>
          <w:highlight w:val="none"/>
        </w:rPr>
        <w:t>b.计算规则：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14:paraId="19D6EC3A">
      <w:pPr>
        <w:adjustRightInd w:val="0"/>
        <w:snapToGrid w:val="0"/>
        <w:spacing w:line="360" w:lineRule="auto"/>
        <w:ind w:firstLine="470" w:firstLineChars="196"/>
        <w:rPr>
          <w:color w:val="auto"/>
          <w:szCs w:val="21"/>
          <w:highlight w:val="none"/>
        </w:rPr>
      </w:pPr>
      <w:r>
        <w:rPr>
          <w:rFonts w:hint="eastAsia"/>
          <w:color w:val="auto"/>
          <w:szCs w:val="21"/>
          <w:highlight w:val="none"/>
        </w:rPr>
        <w:t>③对比胜出法</w:t>
      </w:r>
    </w:p>
    <w:p w14:paraId="018AB209">
      <w:pPr>
        <w:adjustRightInd w:val="0"/>
        <w:snapToGrid w:val="0"/>
        <w:spacing w:line="360" w:lineRule="auto"/>
        <w:ind w:firstLine="470" w:firstLineChars="196"/>
        <w:rPr>
          <w:color w:val="auto"/>
          <w:szCs w:val="21"/>
          <w:highlight w:val="none"/>
        </w:rPr>
      </w:pPr>
      <w:r>
        <w:rPr>
          <w:rFonts w:hint="eastAsia"/>
          <w:color w:val="auto"/>
          <w:szCs w:val="21"/>
          <w:highlight w:val="none"/>
        </w:rPr>
        <w:t>a.投票规则：每一张选票，都是所有进入定标程序的投标人的一个排列，该排列明确了先后顺序，即第一名、第二名，...，排列最后的为最后一名。</w:t>
      </w:r>
    </w:p>
    <w:p w14:paraId="6BD813D7">
      <w:pPr>
        <w:adjustRightInd w:val="0"/>
        <w:snapToGrid w:val="0"/>
        <w:spacing w:line="360" w:lineRule="auto"/>
        <w:ind w:firstLine="470" w:firstLineChars="196"/>
        <w:rPr>
          <w:color w:val="auto"/>
          <w:szCs w:val="21"/>
          <w:highlight w:val="none"/>
        </w:rPr>
      </w:pPr>
      <w:r>
        <w:rPr>
          <w:rFonts w:hint="eastAsia"/>
          <w:color w:val="auto"/>
          <w:szCs w:val="21"/>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bookmarkEnd w:id="255"/>
    <w:bookmarkEnd w:id="256"/>
    <w:p w14:paraId="1671E520">
      <w:pPr>
        <w:rPr>
          <w:b/>
          <w:color w:val="auto"/>
          <w:sz w:val="28"/>
          <w:szCs w:val="28"/>
          <w:highlight w:val="none"/>
        </w:rPr>
      </w:pPr>
      <w:bookmarkStart w:id="257" w:name="票决抽签法"/>
      <w:bookmarkStart w:id="258" w:name="资信标要求一览表"/>
      <w:r>
        <w:rPr>
          <w:rFonts w:hint="eastAsia"/>
          <w:b/>
          <w:color w:val="auto"/>
          <w:sz w:val="28"/>
          <w:szCs w:val="28"/>
          <w:highlight w:val="none"/>
        </w:rPr>
        <w:t>29.3.2票决抽签定标法</w:t>
      </w:r>
    </w:p>
    <w:p w14:paraId="090D28F9">
      <w:pPr>
        <w:spacing w:line="360" w:lineRule="auto"/>
        <w:ind w:firstLine="480" w:firstLineChars="200"/>
        <w:rPr>
          <w:snapToGrid w:val="0"/>
          <w:color w:val="auto"/>
          <w:szCs w:val="21"/>
          <w:highlight w:val="none"/>
        </w:rPr>
      </w:pPr>
      <w:r>
        <w:rPr>
          <w:rFonts w:hint="eastAsia"/>
          <w:snapToGrid w:val="0"/>
          <w:color w:val="auto"/>
          <w:szCs w:val="21"/>
          <w:highlight w:val="none"/>
        </w:rPr>
        <w:t>招标人组建定标委员会，定标委员会成员对所有进入定标程序的投标人以前附表确定的方式进行排名，并以这些排名为基础，在得票最多的投标人中选取规定数量的投标人，再通过随机抽签方式确定一名中标人。</w:t>
      </w:r>
    </w:p>
    <w:p w14:paraId="5BAEB9FC">
      <w:pPr>
        <w:spacing w:line="360" w:lineRule="auto"/>
        <w:ind w:firstLine="480" w:firstLineChars="200"/>
        <w:rPr>
          <w:color w:val="auto"/>
          <w:szCs w:val="21"/>
          <w:highlight w:val="none"/>
        </w:rPr>
      </w:pPr>
      <w:r>
        <w:rPr>
          <w:rFonts w:hint="eastAsia"/>
          <w:color w:val="auto"/>
          <w:szCs w:val="21"/>
          <w:highlight w:val="none"/>
        </w:rPr>
        <w:t>抽签原则：</w:t>
      </w:r>
    </w:p>
    <w:p w14:paraId="0E788CCA">
      <w:pPr>
        <w:spacing w:line="360" w:lineRule="auto"/>
        <w:ind w:firstLine="480" w:firstLineChars="200"/>
        <w:rPr>
          <w:color w:val="auto"/>
          <w:szCs w:val="21"/>
          <w:highlight w:val="none"/>
        </w:rPr>
      </w:pPr>
      <w:r>
        <w:rPr>
          <w:rFonts w:hint="eastAsia"/>
          <w:color w:val="auto"/>
          <w:szCs w:val="21"/>
          <w:highlight w:val="none"/>
        </w:rPr>
        <w:t>入围投标人按照其提交投标文件的顺序依次以1、2……20排列抽签序号，由招标人在上述号码中抽出一个号码，该号码对应的投标人即为中标人。中标人有影响中标结果情形的，由招标人在余下的进入抽签环节的投标人中重新抽签确定中标人。中标价以该中标人的投标报价为准。</w:t>
      </w:r>
    </w:p>
    <w:bookmarkEnd w:id="257"/>
    <w:p w14:paraId="63B87C85">
      <w:pPr>
        <w:rPr>
          <w:b/>
          <w:color w:val="auto"/>
          <w:sz w:val="28"/>
          <w:szCs w:val="28"/>
          <w:highlight w:val="none"/>
        </w:rPr>
      </w:pPr>
      <w:bookmarkStart w:id="259" w:name="集体议事法"/>
      <w:r>
        <w:rPr>
          <w:rFonts w:hint="eastAsia"/>
          <w:b/>
          <w:color w:val="auto"/>
          <w:sz w:val="28"/>
          <w:szCs w:val="28"/>
          <w:highlight w:val="none"/>
        </w:rPr>
        <w:t>29.3.3集体议事法</w:t>
      </w:r>
    </w:p>
    <w:p w14:paraId="7F2A3F0E">
      <w:pPr>
        <w:spacing w:line="360" w:lineRule="auto"/>
        <w:ind w:firstLine="480" w:firstLineChars="200"/>
        <w:rPr>
          <w:color w:val="auto"/>
          <w:szCs w:val="21"/>
          <w:highlight w:val="none"/>
        </w:rPr>
      </w:pPr>
      <w:r>
        <w:rPr>
          <w:rFonts w:hint="eastAsia"/>
          <w:color w:val="auto"/>
          <w:szCs w:val="21"/>
          <w:highlight w:val="none"/>
        </w:rPr>
        <w:t>集体议事法，由招标人组建定标委员会进行集体商议，定标委员会成员各自发表意见，由定标委员会组长最终确定中标人。所有参加会议的定标委员会成员的意见应当作书面记录，并由定标委员会成员签字确认。采用集体议事法定标的，定标委员会组长应当由招标人法定代表人或者主要负责人担任。</w:t>
      </w:r>
    </w:p>
    <w:bookmarkEnd w:id="259"/>
    <w:p w14:paraId="47D9D758">
      <w:pPr>
        <w:rPr>
          <w:b/>
          <w:color w:val="auto"/>
          <w:sz w:val="28"/>
          <w:szCs w:val="28"/>
          <w:highlight w:val="none"/>
        </w:rPr>
      </w:pPr>
      <w:r>
        <w:rPr>
          <w:rFonts w:hint="eastAsia"/>
          <w:b/>
          <w:color w:val="auto"/>
          <w:sz w:val="28"/>
          <w:szCs w:val="28"/>
          <w:highlight w:val="none"/>
        </w:rPr>
        <w:t>30.定标程序</w:t>
      </w:r>
    </w:p>
    <w:p w14:paraId="2502F29E">
      <w:pPr>
        <w:spacing w:line="360" w:lineRule="auto"/>
        <w:ind w:firstLine="480" w:firstLineChars="200"/>
        <w:rPr>
          <w:color w:val="auto"/>
          <w:szCs w:val="21"/>
          <w:highlight w:val="none"/>
        </w:rPr>
      </w:pPr>
      <w:r>
        <w:rPr>
          <w:rFonts w:hint="eastAsia"/>
          <w:color w:val="auto"/>
          <w:szCs w:val="21"/>
          <w:highlight w:val="none"/>
        </w:rPr>
        <w:t>30.1 定标委员会由招标人依法组建。定标委员会由7人及以上单数成员组成。定标委员会成员应在定标当日由招标人从2倍以上备选人员名单中随机抽取确定。定标委员会组成后，应推举一人为定标委员会主任，主持当次定标会议并依据招标文件进行定标的各个议程。定标委员会成员不得与投标人有直接利益关系，对招标工程定标结果负有责任。</w:t>
      </w:r>
    </w:p>
    <w:p w14:paraId="73CF1BBD">
      <w:pPr>
        <w:spacing w:line="360" w:lineRule="auto"/>
        <w:ind w:firstLine="480" w:firstLineChars="200"/>
        <w:rPr>
          <w:color w:val="auto"/>
          <w:szCs w:val="21"/>
          <w:highlight w:val="none"/>
        </w:rPr>
      </w:pPr>
      <w:r>
        <w:rPr>
          <w:rFonts w:hint="eastAsia"/>
          <w:color w:val="auto"/>
          <w:szCs w:val="21"/>
          <w:highlight w:val="none"/>
        </w:rPr>
        <w:t>30.2招标人应同时组建3人以上的监督小组，对定标全过程进行监督。</w:t>
      </w:r>
    </w:p>
    <w:p w14:paraId="7E2955ED">
      <w:pPr>
        <w:spacing w:line="360" w:lineRule="auto"/>
        <w:ind w:firstLine="480" w:firstLineChars="200"/>
        <w:rPr>
          <w:color w:val="auto"/>
          <w:szCs w:val="21"/>
          <w:highlight w:val="none"/>
        </w:rPr>
      </w:pPr>
      <w:r>
        <w:rPr>
          <w:rFonts w:hint="eastAsia"/>
          <w:color w:val="auto"/>
          <w:szCs w:val="21"/>
          <w:highlight w:val="none"/>
        </w:rPr>
        <w:t>30.3招标人应自收到评标结果后十个工作日内召开定标会。</w:t>
      </w:r>
    </w:p>
    <w:p w14:paraId="4853E389">
      <w:pPr>
        <w:spacing w:line="360" w:lineRule="auto"/>
        <w:ind w:firstLine="480" w:firstLineChars="200"/>
        <w:rPr>
          <w:color w:val="auto"/>
          <w:szCs w:val="21"/>
          <w:highlight w:val="none"/>
        </w:rPr>
      </w:pPr>
      <w:r>
        <w:rPr>
          <w:rFonts w:hint="eastAsia"/>
          <w:color w:val="auto"/>
          <w:szCs w:val="21"/>
          <w:highlight w:val="none"/>
        </w:rPr>
        <w:t>30.4定标委员会成员在定标会议中提交选票（须说明推荐理由），并签名确认，定标过程公开、公平、公正。定标委员会按有关规定及招标文件约定的定标方法确定中标人。</w:t>
      </w:r>
    </w:p>
    <w:p w14:paraId="041C85F5">
      <w:pPr>
        <w:spacing w:line="360" w:lineRule="auto"/>
        <w:ind w:firstLine="480" w:firstLineChars="200"/>
        <w:rPr>
          <w:color w:val="auto"/>
          <w:szCs w:val="21"/>
          <w:highlight w:val="none"/>
        </w:rPr>
      </w:pPr>
      <w:r>
        <w:rPr>
          <w:rFonts w:hint="eastAsia"/>
          <w:color w:val="auto"/>
          <w:szCs w:val="21"/>
          <w:highlight w:val="none"/>
        </w:rPr>
        <w:t>30.5招标人应在定标结束后将定标记录、定标报告归档，并同时公示定标结果和中标结果。定标记录应包括定标委员会会议过程、正式成员名单。定标报告应包括定标委员会的产生过程、定标程序及定标结果等内容。</w:t>
      </w:r>
    </w:p>
    <w:p w14:paraId="1856EB81">
      <w:pPr>
        <w:adjustRightInd w:val="0"/>
        <w:snapToGrid w:val="0"/>
        <w:spacing w:line="360" w:lineRule="auto"/>
        <w:ind w:firstLine="480" w:firstLineChars="200"/>
        <w:rPr>
          <w:color w:val="auto"/>
          <w:highlight w:val="none"/>
        </w:rPr>
      </w:pPr>
      <w:r>
        <w:rPr>
          <w:rFonts w:hint="eastAsia"/>
          <w:color w:val="auto"/>
          <w:highlight w:val="none"/>
        </w:rPr>
        <w:t>30.6招标人应当事先制定定标工作规则，对不同类别项目择优竞价结合方式、竞价方法、择优要素予以明确，并报招标人内设（或上级）的纪检监察机构（或督查机构）备案。定标时必须严格遵守定标工作规则，不得临时改变规则。</w:t>
      </w:r>
    </w:p>
    <w:p w14:paraId="0B078833">
      <w:pPr>
        <w:adjustRightInd w:val="0"/>
        <w:snapToGrid w:val="0"/>
        <w:spacing w:line="360" w:lineRule="auto"/>
        <w:ind w:firstLine="480" w:firstLineChars="200"/>
        <w:rPr>
          <w:color w:val="auto"/>
          <w:highlight w:val="none"/>
        </w:rPr>
      </w:pPr>
      <w:r>
        <w:rPr>
          <w:rFonts w:hint="eastAsia"/>
          <w:color w:val="auto"/>
          <w:highlight w:val="none"/>
        </w:rPr>
        <w:t>30.7在招标公告发布前，招标人应当结合项目实际，根据定标工作规则，制定项目定标方案，并报招标人内设（或上级）的纪检监察机构（或督查机构）备案。项目定标方案应当对清标内容、定标操作细则、择优要素及优先级别等内容予以明确。</w:t>
      </w:r>
    </w:p>
    <w:p w14:paraId="0AFB221C">
      <w:pPr>
        <w:spacing w:line="360" w:lineRule="auto"/>
        <w:ind w:firstLine="480" w:firstLineChars="200"/>
        <w:rPr>
          <w:color w:val="auto"/>
          <w:highlight w:val="none"/>
        </w:rPr>
      </w:pPr>
      <w:r>
        <w:rPr>
          <w:rFonts w:hint="eastAsia"/>
          <w:color w:val="auto"/>
          <w:highlight w:val="none"/>
        </w:rPr>
        <w:t>30.8</w:t>
      </w:r>
      <w:r>
        <w:rPr>
          <w:rFonts w:hint="eastAsia"/>
          <w:color w:val="auto"/>
          <w:szCs w:val="21"/>
          <w:highlight w:val="none"/>
        </w:rPr>
        <w:t>招标人应当向定标委员会提供定标方案、清标报告作为定标辅助材料。定标结束后，定标方案、清标报告及定标委员投票结果等定标过程资料应当留存备查。</w:t>
      </w:r>
    </w:p>
    <w:p w14:paraId="212349CA">
      <w:pPr>
        <w:rPr>
          <w:b/>
          <w:color w:val="auto"/>
          <w:sz w:val="28"/>
          <w:szCs w:val="28"/>
          <w:highlight w:val="none"/>
        </w:rPr>
      </w:pPr>
      <w:r>
        <w:rPr>
          <w:rFonts w:hint="eastAsia"/>
          <w:b/>
          <w:color w:val="auto"/>
          <w:sz w:val="28"/>
          <w:szCs w:val="28"/>
          <w:highlight w:val="none"/>
        </w:rPr>
        <w:t>31.定标其它规定</w:t>
      </w:r>
    </w:p>
    <w:p w14:paraId="2B9112D0">
      <w:pPr>
        <w:spacing w:line="360" w:lineRule="auto"/>
        <w:ind w:firstLine="480" w:firstLineChars="200"/>
        <w:rPr>
          <w:color w:val="auto"/>
          <w:szCs w:val="21"/>
          <w:highlight w:val="none"/>
        </w:rPr>
      </w:pPr>
      <w:r>
        <w:rPr>
          <w:rFonts w:hint="eastAsia"/>
          <w:color w:val="auto"/>
          <w:szCs w:val="21"/>
          <w:highlight w:val="none"/>
        </w:rPr>
        <w:t>31.1定标工作规则：招标人应当事先制定定标工作规则，对不同类别项目择优竞价结合方式、竞价方法、择优要素予以明确，并报招标人内设（或上级）的纪检监察机构（或督查机构）备案。定标时必须严格遵守定标工作规则，不得临时改变规则。</w:t>
      </w:r>
    </w:p>
    <w:p w14:paraId="4E398E9E">
      <w:pPr>
        <w:spacing w:line="360" w:lineRule="auto"/>
        <w:ind w:firstLine="480" w:firstLineChars="200"/>
        <w:rPr>
          <w:color w:val="auto"/>
          <w:szCs w:val="21"/>
          <w:highlight w:val="none"/>
        </w:rPr>
      </w:pPr>
      <w:r>
        <w:rPr>
          <w:rFonts w:hint="eastAsia"/>
          <w:color w:val="auto"/>
          <w:szCs w:val="21"/>
          <w:highlight w:val="none"/>
        </w:rPr>
        <w:t>31.2定标方案：在招标公告发布前，招标人应当结合项目实际，根据定标工作规则，制定项目定标方案，并报招标人内设（或上级）的纪检监察机构（或督查机构）备案。</w:t>
      </w:r>
    </w:p>
    <w:p w14:paraId="758D377C">
      <w:pPr>
        <w:spacing w:line="360" w:lineRule="auto"/>
        <w:ind w:firstLine="480" w:firstLineChars="200"/>
        <w:rPr>
          <w:color w:val="auto"/>
          <w:szCs w:val="21"/>
          <w:highlight w:val="none"/>
        </w:rPr>
      </w:pPr>
      <w:r>
        <w:rPr>
          <w:rFonts w:hint="eastAsia"/>
          <w:color w:val="auto"/>
          <w:szCs w:val="21"/>
          <w:highlight w:val="none"/>
        </w:rPr>
        <w:t>项目定标方案应当对清标内容、定标操作细则、择优要素及优先级别等内容予以明确。</w:t>
      </w:r>
    </w:p>
    <w:p w14:paraId="658D4CE7">
      <w:pPr>
        <w:spacing w:line="360" w:lineRule="auto"/>
        <w:ind w:firstLine="480" w:firstLineChars="200"/>
        <w:rPr>
          <w:color w:val="auto"/>
          <w:szCs w:val="21"/>
          <w:highlight w:val="none"/>
        </w:rPr>
      </w:pPr>
      <w:r>
        <w:rPr>
          <w:rFonts w:hint="eastAsia"/>
          <w:color w:val="auto"/>
          <w:szCs w:val="21"/>
          <w:highlight w:val="none"/>
        </w:rPr>
        <w:t>31.3择优与竞价相结合：招标人在定标过程中，应当坚持择优与竞价相结合，择优为主。限制采用直接抽签方式进行定标。</w:t>
      </w:r>
    </w:p>
    <w:p w14:paraId="68816D32">
      <w:pPr>
        <w:spacing w:line="360" w:lineRule="auto"/>
        <w:ind w:firstLine="480" w:firstLineChars="200"/>
        <w:rPr>
          <w:color w:val="auto"/>
          <w:szCs w:val="21"/>
          <w:highlight w:val="none"/>
        </w:rPr>
      </w:pPr>
      <w:r>
        <w:rPr>
          <w:rFonts w:hint="eastAsia"/>
          <w:color w:val="auto"/>
          <w:szCs w:val="21"/>
          <w:highlight w:val="none"/>
        </w:rPr>
        <w:t>在定标环节，定标委员会应当遵循如下原则：先择优后竞价；</w:t>
      </w:r>
    </w:p>
    <w:p w14:paraId="0549D816">
      <w:pPr>
        <w:spacing w:line="360" w:lineRule="auto"/>
        <w:ind w:firstLine="480" w:firstLineChars="200"/>
        <w:rPr>
          <w:color w:val="auto"/>
          <w:szCs w:val="21"/>
          <w:highlight w:val="none"/>
        </w:rPr>
      </w:pPr>
      <w:r>
        <w:rPr>
          <w:rFonts w:hint="eastAsia"/>
          <w:color w:val="auto"/>
          <w:szCs w:val="21"/>
          <w:highlight w:val="none"/>
        </w:rPr>
        <w:t>31.4择优因素选择：定标环节的择优因素主要考虑企业资质、企业规模、科技创新能力、同类工程经验（业绩）及履约评价、企业及其人员的廉政记录、企业人员信用等因素。同等条件下，招标人可以优先考虑投标人服务便利度、合同稳定性、质量安全保障性、劳资纠纷可控度等因素。</w:t>
      </w:r>
    </w:p>
    <w:p w14:paraId="64701593">
      <w:pPr>
        <w:spacing w:line="360" w:lineRule="auto"/>
        <w:ind w:firstLine="480" w:firstLineChars="200"/>
        <w:rPr>
          <w:b/>
          <w:snapToGrid w:val="0"/>
          <w:color w:val="auto"/>
          <w:szCs w:val="21"/>
          <w:highlight w:val="none"/>
        </w:rPr>
      </w:pPr>
      <w:r>
        <w:rPr>
          <w:rFonts w:hint="eastAsia"/>
          <w:color w:val="auto"/>
          <w:szCs w:val="21"/>
          <w:highlight w:val="none"/>
        </w:rPr>
        <w:t>招标人可以根据项目实际情况增加择优因素，也可以综合考虑择优因素或按择优因素的重要性，对投标人进行逐级淘汰。</w:t>
      </w:r>
    </w:p>
    <w:p w14:paraId="6DFD7629">
      <w:pPr>
        <w:spacing w:line="360" w:lineRule="auto"/>
        <w:ind w:firstLine="480" w:firstLineChars="200"/>
        <w:rPr>
          <w:color w:val="auto"/>
          <w:szCs w:val="21"/>
          <w:highlight w:val="none"/>
        </w:rPr>
      </w:pPr>
      <w:r>
        <w:rPr>
          <w:rFonts w:hint="eastAsia"/>
          <w:color w:val="auto"/>
          <w:szCs w:val="21"/>
          <w:highlight w:val="none"/>
        </w:rPr>
        <w:t>31.5进入最终定标程序的投标人少于三名的，招标人应重新组织招标。采用票决抽签法定标的工程，重新招标时，评标委员会推荐进入定标程序的投标人为两名或两名以下的，可不进行票决程序，直接进入抽签定标程序。</w:t>
      </w:r>
    </w:p>
    <w:p w14:paraId="0D2C9146">
      <w:pPr>
        <w:ind w:firstLine="480" w:firstLineChars="200"/>
        <w:rPr>
          <w:color w:val="auto"/>
          <w:szCs w:val="21"/>
          <w:highlight w:val="none"/>
        </w:rPr>
      </w:pPr>
      <w:r>
        <w:rPr>
          <w:rFonts w:hint="eastAsia"/>
          <w:color w:val="auto"/>
          <w:szCs w:val="21"/>
          <w:highlight w:val="none"/>
        </w:rPr>
        <w:t>31.6定标后有下列情形之一的，招标人可以从评审合格的其他投标人中采用原招标文件规定的定标方法，由原定标委员会确定中标人。原采用票决抽签定标法的项目，票决进入抽签环节的其他投标人数量不足3名的，应当票决补足：</w:t>
      </w:r>
    </w:p>
    <w:p w14:paraId="6B3F9F46">
      <w:pPr>
        <w:spacing w:line="360" w:lineRule="auto"/>
        <w:ind w:firstLine="480" w:firstLineChars="200"/>
        <w:rPr>
          <w:color w:val="auto"/>
          <w:szCs w:val="21"/>
          <w:highlight w:val="none"/>
        </w:rPr>
      </w:pPr>
      <w:r>
        <w:rPr>
          <w:rFonts w:hint="eastAsia"/>
          <w:color w:val="auto"/>
          <w:szCs w:val="21"/>
          <w:highlight w:val="none"/>
        </w:rPr>
        <w:t>31.6.1中标人放弃中标资格或者拒不签订合同的；</w:t>
      </w:r>
    </w:p>
    <w:p w14:paraId="22C59EF2">
      <w:pPr>
        <w:spacing w:line="360" w:lineRule="auto"/>
        <w:ind w:firstLine="480" w:firstLineChars="200"/>
        <w:rPr>
          <w:color w:val="auto"/>
          <w:szCs w:val="21"/>
          <w:highlight w:val="none"/>
        </w:rPr>
      </w:pPr>
      <w:r>
        <w:rPr>
          <w:rFonts w:hint="eastAsia"/>
          <w:color w:val="auto"/>
          <w:szCs w:val="21"/>
          <w:highlight w:val="none"/>
        </w:rPr>
        <w:t>31.6.2中标人不按照招标文件要求提交履约担保的；</w:t>
      </w:r>
    </w:p>
    <w:p w14:paraId="213482DC">
      <w:pPr>
        <w:spacing w:line="360" w:lineRule="auto"/>
        <w:ind w:firstLine="480" w:firstLineChars="200"/>
        <w:rPr>
          <w:b/>
          <w:snapToGrid w:val="0"/>
          <w:color w:val="auto"/>
          <w:szCs w:val="21"/>
          <w:highlight w:val="none"/>
        </w:rPr>
      </w:pPr>
      <w:r>
        <w:rPr>
          <w:rFonts w:hint="eastAsia"/>
          <w:color w:val="auto"/>
          <w:szCs w:val="21"/>
          <w:highlight w:val="none"/>
        </w:rPr>
        <w:t>31.6.3被查实存在影响中标结果违法行为的。</w:t>
      </w:r>
    </w:p>
    <w:p w14:paraId="4FB4D509">
      <w:pPr>
        <w:rPr>
          <w:b/>
          <w:color w:val="auto"/>
          <w:sz w:val="28"/>
          <w:szCs w:val="28"/>
          <w:highlight w:val="none"/>
        </w:rPr>
      </w:pPr>
      <w:r>
        <w:rPr>
          <w:rFonts w:hint="eastAsia"/>
          <w:b/>
          <w:color w:val="auto"/>
          <w:sz w:val="28"/>
          <w:szCs w:val="28"/>
          <w:highlight w:val="none"/>
        </w:rPr>
        <w:t>32.资信标表格</w:t>
      </w:r>
    </w:p>
    <w:p w14:paraId="6465D929">
      <w:pPr>
        <w:adjustRightInd w:val="0"/>
        <w:snapToGrid w:val="0"/>
        <w:spacing w:line="360" w:lineRule="auto"/>
        <w:ind w:firstLine="480" w:firstLineChars="200"/>
        <w:rPr>
          <w:color w:val="auto"/>
          <w:szCs w:val="21"/>
          <w:highlight w:val="none"/>
        </w:rPr>
      </w:pPr>
      <w:r>
        <w:rPr>
          <w:rFonts w:hint="eastAsia"/>
          <w:color w:val="auto"/>
          <w:szCs w:val="21"/>
          <w:highlight w:val="none"/>
        </w:rPr>
        <w:t>32.1招标人可以结合项目实际要求投标人提供资信标作为定标参考因素之一。</w:t>
      </w:r>
    </w:p>
    <w:p w14:paraId="4A437255">
      <w:pPr>
        <w:adjustRightInd w:val="0"/>
        <w:snapToGrid w:val="0"/>
        <w:spacing w:line="360" w:lineRule="auto"/>
        <w:jc w:val="center"/>
        <w:rPr>
          <w:b/>
          <w:color w:val="auto"/>
          <w:sz w:val="28"/>
          <w:szCs w:val="28"/>
          <w:highlight w:val="none"/>
        </w:rPr>
      </w:pPr>
      <w:r>
        <w:rPr>
          <w:rFonts w:hint="eastAsia"/>
          <w:b/>
          <w:color w:val="auto"/>
          <w:sz w:val="28"/>
          <w:szCs w:val="28"/>
          <w:highlight w:val="none"/>
        </w:rPr>
        <w:t>资信标要求一览表（如有）</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989"/>
        <w:gridCol w:w="4113"/>
      </w:tblGrid>
      <w:tr w14:paraId="3B62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0CBD2E7A">
            <w:pPr>
              <w:adjustRightInd w:val="0"/>
              <w:snapToGrid w:val="0"/>
              <w:spacing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序号</w:t>
            </w:r>
          </w:p>
        </w:tc>
        <w:tc>
          <w:tcPr>
            <w:tcW w:w="2989" w:type="dxa"/>
            <w:tcBorders>
              <w:top w:val="single" w:color="auto" w:sz="4" w:space="0"/>
              <w:left w:val="single" w:color="auto" w:sz="4" w:space="0"/>
              <w:bottom w:val="single" w:color="auto" w:sz="4" w:space="0"/>
              <w:right w:val="single" w:color="auto" w:sz="4" w:space="0"/>
            </w:tcBorders>
            <w:vAlign w:val="center"/>
          </w:tcPr>
          <w:p w14:paraId="1BE0306A">
            <w:pPr>
              <w:adjustRightInd w:val="0"/>
              <w:snapToGrid w:val="0"/>
              <w:spacing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资信要素名称</w:t>
            </w:r>
          </w:p>
        </w:tc>
        <w:tc>
          <w:tcPr>
            <w:tcW w:w="4113" w:type="dxa"/>
            <w:tcBorders>
              <w:top w:val="single" w:color="auto" w:sz="4" w:space="0"/>
              <w:left w:val="single" w:color="auto" w:sz="4" w:space="0"/>
              <w:bottom w:val="single" w:color="auto" w:sz="4" w:space="0"/>
              <w:right w:val="single" w:color="auto" w:sz="4" w:space="0"/>
            </w:tcBorders>
            <w:vAlign w:val="center"/>
          </w:tcPr>
          <w:p w14:paraId="71367837">
            <w:pPr>
              <w:adjustRightInd w:val="0"/>
              <w:snapToGrid w:val="0"/>
              <w:spacing w:line="360" w:lineRule="auto"/>
              <w:jc w:val="center"/>
              <w:rPr>
                <w:rFonts w:ascii="黑体" w:hAnsi="黑体" w:eastAsia="黑体"/>
                <w:color w:val="auto"/>
                <w:szCs w:val="21"/>
                <w:highlight w:val="none"/>
              </w:rPr>
            </w:pPr>
            <w:r>
              <w:rPr>
                <w:rFonts w:hint="eastAsia" w:ascii="黑体" w:hAnsi="黑体" w:eastAsia="黑体"/>
                <w:color w:val="auto"/>
                <w:szCs w:val="21"/>
                <w:highlight w:val="none"/>
              </w:rPr>
              <w:t>有关要求或说明</w:t>
            </w:r>
          </w:p>
        </w:tc>
      </w:tr>
      <w:tr w14:paraId="661E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6ADA58CE">
            <w:pPr>
              <w:jc w:val="center"/>
              <w:textAlignment w:val="center"/>
              <w:rPr>
                <w:color w:val="auto"/>
                <w:highlight w:val="none"/>
              </w:rPr>
            </w:pPr>
            <w:r>
              <w:rPr>
                <w:rFonts w:hint="eastAsia"/>
                <w:color w:val="auto"/>
                <w:sz w:val="22"/>
                <w:szCs w:val="22"/>
                <w:highlight w:val="none"/>
                <w:lang w:bidi="ar"/>
              </w:rPr>
              <w:t>1</w:t>
            </w:r>
          </w:p>
        </w:tc>
        <w:tc>
          <w:tcPr>
            <w:tcW w:w="2989" w:type="dxa"/>
            <w:tcBorders>
              <w:top w:val="single" w:color="auto" w:sz="4" w:space="0"/>
              <w:left w:val="single" w:color="auto" w:sz="4" w:space="0"/>
              <w:bottom w:val="single" w:color="auto" w:sz="4" w:space="0"/>
              <w:right w:val="single" w:color="auto" w:sz="4" w:space="0"/>
            </w:tcBorders>
            <w:vAlign w:val="center"/>
          </w:tcPr>
          <w:p w14:paraId="5E546755">
            <w:pPr>
              <w:adjustRightInd w:val="0"/>
              <w:snapToGrid w:val="0"/>
              <w:spacing w:line="360" w:lineRule="auto"/>
              <w:rPr>
                <w:color w:val="auto"/>
                <w:highlight w:val="none"/>
              </w:rPr>
            </w:pPr>
            <w:r>
              <w:rPr>
                <w:color w:val="auto"/>
                <w:highlight w:val="none"/>
              </w:rPr>
              <w:t>投标人综合实力情况（不评审）</w:t>
            </w:r>
          </w:p>
        </w:tc>
        <w:tc>
          <w:tcPr>
            <w:tcW w:w="4113" w:type="dxa"/>
            <w:tcBorders>
              <w:top w:val="single" w:color="auto" w:sz="4" w:space="0"/>
              <w:left w:val="single" w:color="auto" w:sz="4" w:space="0"/>
              <w:bottom w:val="single" w:color="auto" w:sz="4" w:space="0"/>
              <w:right w:val="single" w:color="auto" w:sz="4" w:space="0"/>
            </w:tcBorders>
            <w:vAlign w:val="center"/>
          </w:tcPr>
          <w:p w14:paraId="272D73ED">
            <w:pPr>
              <w:adjustRightInd w:val="0"/>
              <w:snapToGrid w:val="0"/>
              <w:spacing w:line="360" w:lineRule="auto"/>
              <w:rPr>
                <w:color w:val="auto"/>
                <w:highlight w:val="none"/>
              </w:rPr>
            </w:pPr>
            <w:r>
              <w:rPr>
                <w:color w:val="auto"/>
                <w:highlight w:val="none"/>
              </w:rPr>
              <w:t>主要包括投标人的注册资金、经营范围、经营性质、注册地等(提供有效的企业注册资金、经营范围、经营性质、注册地的证明文件原件扫描件或截图；</w:t>
            </w:r>
          </w:p>
        </w:tc>
      </w:tr>
      <w:tr w14:paraId="4795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224C8ED7">
            <w:pPr>
              <w:jc w:val="center"/>
              <w:textAlignment w:val="center"/>
              <w:rPr>
                <w:color w:val="auto"/>
                <w:highlight w:val="none"/>
              </w:rPr>
            </w:pPr>
            <w:r>
              <w:rPr>
                <w:rFonts w:hint="eastAsia"/>
                <w:color w:val="auto"/>
                <w:sz w:val="22"/>
                <w:szCs w:val="22"/>
                <w:highlight w:val="none"/>
                <w:lang w:bidi="ar"/>
              </w:rPr>
              <w:t>2</w:t>
            </w:r>
          </w:p>
        </w:tc>
        <w:tc>
          <w:tcPr>
            <w:tcW w:w="2989" w:type="dxa"/>
            <w:tcBorders>
              <w:top w:val="single" w:color="auto" w:sz="4" w:space="0"/>
              <w:left w:val="single" w:color="auto" w:sz="4" w:space="0"/>
              <w:bottom w:val="single" w:color="auto" w:sz="4" w:space="0"/>
              <w:right w:val="single" w:color="auto" w:sz="4" w:space="0"/>
            </w:tcBorders>
            <w:vAlign w:val="center"/>
          </w:tcPr>
          <w:p w14:paraId="33312E72">
            <w:pPr>
              <w:adjustRightInd w:val="0"/>
              <w:snapToGrid w:val="0"/>
              <w:spacing w:line="360" w:lineRule="auto"/>
              <w:rPr>
                <w:color w:val="auto"/>
                <w:highlight w:val="none"/>
              </w:rPr>
            </w:pPr>
            <w:r>
              <w:rPr>
                <w:color w:val="auto"/>
                <w:highlight w:val="none"/>
              </w:rPr>
              <w:t>投标人财务情况（不评审）</w:t>
            </w:r>
          </w:p>
        </w:tc>
        <w:tc>
          <w:tcPr>
            <w:tcW w:w="4113" w:type="dxa"/>
            <w:tcBorders>
              <w:top w:val="single" w:color="auto" w:sz="4" w:space="0"/>
              <w:left w:val="single" w:color="auto" w:sz="4" w:space="0"/>
              <w:bottom w:val="single" w:color="auto" w:sz="4" w:space="0"/>
              <w:right w:val="single" w:color="auto" w:sz="4" w:space="0"/>
            </w:tcBorders>
            <w:vAlign w:val="center"/>
          </w:tcPr>
          <w:p w14:paraId="03D71C24">
            <w:pPr>
              <w:adjustRightInd w:val="0"/>
              <w:snapToGrid w:val="0"/>
              <w:spacing w:line="360" w:lineRule="auto"/>
              <w:rPr>
                <w:color w:val="auto"/>
                <w:highlight w:val="none"/>
              </w:rPr>
            </w:pPr>
            <w:r>
              <w:rPr>
                <w:color w:val="auto"/>
                <w:highlight w:val="none"/>
              </w:rPr>
              <w:t>（1）提供201</w:t>
            </w:r>
            <w:r>
              <w:rPr>
                <w:rFonts w:hint="eastAsia"/>
                <w:color w:val="auto"/>
                <w:highlight w:val="none"/>
              </w:rPr>
              <w:t>9</w:t>
            </w:r>
            <w:r>
              <w:rPr>
                <w:color w:val="auto"/>
                <w:highlight w:val="none"/>
              </w:rPr>
              <w:t>年度、20</w:t>
            </w:r>
            <w:r>
              <w:rPr>
                <w:rFonts w:hint="eastAsia"/>
                <w:color w:val="auto"/>
                <w:highlight w:val="none"/>
              </w:rPr>
              <w:t>20</w:t>
            </w:r>
            <w:r>
              <w:rPr>
                <w:color w:val="auto"/>
                <w:highlight w:val="none"/>
              </w:rPr>
              <w:t>年度、202</w:t>
            </w:r>
            <w:r>
              <w:rPr>
                <w:rFonts w:hint="eastAsia"/>
                <w:color w:val="auto"/>
                <w:highlight w:val="none"/>
              </w:rPr>
              <w:t>1</w:t>
            </w:r>
            <w:r>
              <w:rPr>
                <w:color w:val="auto"/>
                <w:highlight w:val="none"/>
              </w:rPr>
              <w:t>年度经注册会计</w:t>
            </w:r>
            <w:r>
              <w:rPr>
                <w:rFonts w:hint="eastAsia"/>
                <w:color w:val="auto"/>
                <w:highlight w:val="none"/>
              </w:rPr>
              <w:t>师</w:t>
            </w:r>
            <w:r>
              <w:rPr>
                <w:color w:val="auto"/>
                <w:highlight w:val="none"/>
              </w:rPr>
              <w:t>事务所审计的财务审计报告（原件扫描件）。</w:t>
            </w:r>
          </w:p>
        </w:tc>
      </w:tr>
      <w:tr w14:paraId="45F4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70E6FF70">
            <w:pPr>
              <w:jc w:val="center"/>
              <w:textAlignment w:val="center"/>
              <w:rPr>
                <w:color w:val="auto"/>
                <w:highlight w:val="none"/>
              </w:rPr>
            </w:pPr>
            <w:r>
              <w:rPr>
                <w:rFonts w:hint="eastAsia"/>
                <w:color w:val="auto"/>
                <w:sz w:val="22"/>
                <w:szCs w:val="22"/>
                <w:highlight w:val="none"/>
                <w:lang w:bidi="ar"/>
              </w:rPr>
              <w:t>3</w:t>
            </w:r>
          </w:p>
        </w:tc>
        <w:tc>
          <w:tcPr>
            <w:tcW w:w="2989" w:type="dxa"/>
            <w:tcBorders>
              <w:top w:val="single" w:color="auto" w:sz="4" w:space="0"/>
              <w:left w:val="single" w:color="auto" w:sz="4" w:space="0"/>
              <w:bottom w:val="single" w:color="auto" w:sz="4" w:space="0"/>
              <w:right w:val="single" w:color="auto" w:sz="4" w:space="0"/>
            </w:tcBorders>
            <w:vAlign w:val="center"/>
          </w:tcPr>
          <w:p w14:paraId="76ED64AC">
            <w:pPr>
              <w:adjustRightInd w:val="0"/>
              <w:snapToGrid w:val="0"/>
              <w:spacing w:line="360" w:lineRule="auto"/>
              <w:rPr>
                <w:color w:val="auto"/>
                <w:highlight w:val="none"/>
              </w:rPr>
            </w:pPr>
            <w:r>
              <w:rPr>
                <w:color w:val="auto"/>
                <w:highlight w:val="none"/>
              </w:rPr>
              <w:t>投标人同类业绩情况（不评审）</w:t>
            </w:r>
          </w:p>
        </w:tc>
        <w:tc>
          <w:tcPr>
            <w:tcW w:w="4113" w:type="dxa"/>
            <w:tcBorders>
              <w:top w:val="single" w:color="auto" w:sz="4" w:space="0"/>
              <w:left w:val="single" w:color="auto" w:sz="4" w:space="0"/>
              <w:bottom w:val="single" w:color="auto" w:sz="4" w:space="0"/>
              <w:right w:val="single" w:color="auto" w:sz="4" w:space="0"/>
            </w:tcBorders>
            <w:vAlign w:val="center"/>
          </w:tcPr>
          <w:p w14:paraId="1A233B41">
            <w:pPr>
              <w:adjustRightInd w:val="0"/>
              <w:snapToGrid w:val="0"/>
              <w:spacing w:line="360" w:lineRule="auto"/>
              <w:rPr>
                <w:color w:val="auto"/>
                <w:highlight w:val="none"/>
              </w:rPr>
            </w:pPr>
            <w:r>
              <w:rPr>
                <w:rFonts w:hint="eastAsia"/>
                <w:color w:val="auto"/>
                <w:highlight w:val="none"/>
              </w:rPr>
              <w:t>提供投标人</w:t>
            </w:r>
            <w:r>
              <w:rPr>
                <w:color w:val="auto"/>
                <w:highlight w:val="none"/>
              </w:rPr>
              <w:t>独立承担的近5年（从招标工程的招标公告第一次发布之日起倒推）</w:t>
            </w:r>
            <w:r>
              <w:rPr>
                <w:rFonts w:hint="eastAsia"/>
                <w:color w:val="auto"/>
                <w:highlight w:val="none"/>
              </w:rPr>
              <w:t>自认为最具代表性</w:t>
            </w:r>
            <w:r>
              <w:rPr>
                <w:color w:val="auto"/>
                <w:highlight w:val="none"/>
              </w:rPr>
              <w:t>同类</w:t>
            </w:r>
            <w:r>
              <w:rPr>
                <w:rFonts w:hint="eastAsia"/>
                <w:color w:val="auto"/>
                <w:highlight w:val="none"/>
              </w:rPr>
              <w:t>工程项目</w:t>
            </w:r>
            <w:r>
              <w:rPr>
                <w:color w:val="auto"/>
                <w:highlight w:val="none"/>
              </w:rPr>
              <w:t>业绩情况。（提供不超过5项，如超5项则按提供资料前5项统计）。</w:t>
            </w:r>
          </w:p>
          <w:p w14:paraId="6264B429">
            <w:pPr>
              <w:adjustRightInd w:val="0"/>
              <w:snapToGrid w:val="0"/>
              <w:spacing w:line="360" w:lineRule="auto"/>
              <w:rPr>
                <w:color w:val="auto"/>
                <w:highlight w:val="none"/>
              </w:rPr>
            </w:pPr>
            <w:r>
              <w:rPr>
                <w:color w:val="auto"/>
                <w:highlight w:val="none"/>
              </w:rPr>
              <w:t>注</w:t>
            </w:r>
            <w:r>
              <w:rPr>
                <w:rFonts w:hint="eastAsia"/>
                <w:color w:val="auto"/>
                <w:highlight w:val="none"/>
              </w:rPr>
              <w:t>1</w:t>
            </w:r>
            <w:r>
              <w:rPr>
                <w:color w:val="auto"/>
                <w:highlight w:val="none"/>
              </w:rPr>
              <w:t>：业绩证明文件须提供合同关键页，业绩以合同签订时间为准（合同中必须清晰反映以下内容：项目</w:t>
            </w:r>
            <w:r>
              <w:rPr>
                <w:rFonts w:hint="eastAsia"/>
                <w:color w:val="auto"/>
                <w:highlight w:val="none"/>
              </w:rPr>
              <w:t>名称</w:t>
            </w:r>
            <w:r>
              <w:rPr>
                <w:color w:val="auto"/>
                <w:highlight w:val="none"/>
              </w:rPr>
              <w:t>、合同金额、签订时间等相关页，如合同无法体现上述内容或无法清晰反映要求内容的，因此造成的后果由投标人自行承担。</w:t>
            </w:r>
            <w:r>
              <w:rPr>
                <w:rFonts w:hint="eastAsia"/>
                <w:color w:val="auto"/>
                <w:highlight w:val="none"/>
              </w:rPr>
              <w:t>原件备查。</w:t>
            </w:r>
          </w:p>
          <w:p w14:paraId="601E6692">
            <w:pPr>
              <w:pStyle w:val="2"/>
              <w:ind w:firstLine="0" w:firstLineChars="0"/>
              <w:rPr>
                <w:color w:val="auto"/>
                <w:highlight w:val="none"/>
              </w:rPr>
            </w:pPr>
            <w:r>
              <w:rPr>
                <w:rFonts w:hint="eastAsia"/>
                <w:color w:val="auto"/>
                <w:highlight w:val="none"/>
              </w:rPr>
              <w:t>注2：优先提供投标人所拍摄视频获奖的业绩。</w:t>
            </w:r>
          </w:p>
        </w:tc>
      </w:tr>
      <w:tr w14:paraId="30DF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1EF50D28">
            <w:pPr>
              <w:jc w:val="center"/>
              <w:textAlignment w:val="center"/>
              <w:rPr>
                <w:color w:val="auto"/>
                <w:highlight w:val="none"/>
              </w:rPr>
            </w:pPr>
            <w:r>
              <w:rPr>
                <w:rFonts w:hint="eastAsia"/>
                <w:color w:val="auto"/>
                <w:sz w:val="22"/>
                <w:szCs w:val="22"/>
                <w:highlight w:val="none"/>
                <w:lang w:bidi="ar"/>
              </w:rPr>
              <w:t>4</w:t>
            </w:r>
          </w:p>
        </w:tc>
        <w:tc>
          <w:tcPr>
            <w:tcW w:w="2989" w:type="dxa"/>
            <w:tcBorders>
              <w:top w:val="single" w:color="auto" w:sz="4" w:space="0"/>
              <w:left w:val="single" w:color="auto" w:sz="4" w:space="0"/>
              <w:bottom w:val="single" w:color="auto" w:sz="4" w:space="0"/>
              <w:right w:val="single" w:color="auto" w:sz="4" w:space="0"/>
            </w:tcBorders>
            <w:vAlign w:val="center"/>
          </w:tcPr>
          <w:p w14:paraId="7F01E831">
            <w:pPr>
              <w:adjustRightInd w:val="0"/>
              <w:snapToGrid w:val="0"/>
              <w:spacing w:line="360" w:lineRule="auto"/>
              <w:jc w:val="center"/>
              <w:rPr>
                <w:color w:val="auto"/>
                <w:highlight w:val="none"/>
              </w:rPr>
            </w:pPr>
            <w:r>
              <w:rPr>
                <w:color w:val="auto"/>
                <w:highlight w:val="none"/>
              </w:rPr>
              <w:t>投标人拟派项目负责人业绩情况（不评审）</w:t>
            </w:r>
          </w:p>
        </w:tc>
        <w:tc>
          <w:tcPr>
            <w:tcW w:w="4113" w:type="dxa"/>
            <w:tcBorders>
              <w:top w:val="single" w:color="auto" w:sz="4" w:space="0"/>
              <w:left w:val="single" w:color="auto" w:sz="4" w:space="0"/>
              <w:bottom w:val="single" w:color="auto" w:sz="4" w:space="0"/>
              <w:right w:val="single" w:color="auto" w:sz="4" w:space="0"/>
            </w:tcBorders>
            <w:vAlign w:val="center"/>
          </w:tcPr>
          <w:p w14:paraId="56DA5D5E">
            <w:pPr>
              <w:adjustRightInd w:val="0"/>
              <w:snapToGrid w:val="0"/>
              <w:spacing w:line="360" w:lineRule="auto"/>
              <w:rPr>
                <w:color w:val="auto"/>
                <w:highlight w:val="none"/>
              </w:rPr>
            </w:pPr>
            <w:r>
              <w:rPr>
                <w:rFonts w:hint="eastAsia"/>
                <w:color w:val="auto"/>
                <w:highlight w:val="none"/>
              </w:rPr>
              <w:t>提供投标人</w:t>
            </w:r>
            <w:r>
              <w:rPr>
                <w:color w:val="auto"/>
                <w:highlight w:val="none"/>
              </w:rPr>
              <w:t>项目负责人承担近5年的（从招标工程的招标公告第一次发布之日起倒推）</w:t>
            </w:r>
            <w:r>
              <w:rPr>
                <w:rFonts w:hint="eastAsia"/>
                <w:color w:val="auto"/>
                <w:highlight w:val="none"/>
              </w:rPr>
              <w:t>自认为最具代表性</w:t>
            </w:r>
            <w:r>
              <w:rPr>
                <w:color w:val="auto"/>
                <w:highlight w:val="none"/>
              </w:rPr>
              <w:t>同类工程项目业绩情况。（提供不超过</w:t>
            </w:r>
            <w:r>
              <w:rPr>
                <w:rFonts w:hint="eastAsia"/>
                <w:color w:val="auto"/>
                <w:highlight w:val="none"/>
              </w:rPr>
              <w:t>3</w:t>
            </w:r>
            <w:r>
              <w:rPr>
                <w:color w:val="auto"/>
                <w:highlight w:val="none"/>
              </w:rPr>
              <w:t>项，如超</w:t>
            </w:r>
            <w:r>
              <w:rPr>
                <w:rFonts w:hint="eastAsia"/>
                <w:color w:val="auto"/>
                <w:highlight w:val="none"/>
              </w:rPr>
              <w:t>3</w:t>
            </w:r>
            <w:r>
              <w:rPr>
                <w:color w:val="auto"/>
                <w:highlight w:val="none"/>
              </w:rPr>
              <w:t>项则按提供资料前</w:t>
            </w:r>
            <w:r>
              <w:rPr>
                <w:rFonts w:hint="eastAsia"/>
                <w:color w:val="auto"/>
                <w:highlight w:val="none"/>
              </w:rPr>
              <w:t>3</w:t>
            </w:r>
            <w:r>
              <w:rPr>
                <w:color w:val="auto"/>
                <w:highlight w:val="none"/>
              </w:rPr>
              <w:t>项统计）。</w:t>
            </w:r>
          </w:p>
          <w:p w14:paraId="2927D93B">
            <w:pPr>
              <w:adjustRightInd w:val="0"/>
              <w:snapToGrid w:val="0"/>
              <w:spacing w:line="360" w:lineRule="auto"/>
              <w:rPr>
                <w:color w:val="auto"/>
                <w:highlight w:val="none"/>
              </w:rPr>
            </w:pPr>
            <w:r>
              <w:rPr>
                <w:color w:val="auto"/>
                <w:highlight w:val="none"/>
              </w:rPr>
              <w:cr/>
            </w:r>
            <w:r>
              <w:rPr>
                <w:color w:val="auto"/>
                <w:highlight w:val="none"/>
              </w:rPr>
              <w:t>注：业绩证明文件须提供合同关键页，业绩以合同签订时间为准（合同中必须清晰反映以下内容：项目</w:t>
            </w:r>
            <w:r>
              <w:rPr>
                <w:rFonts w:hint="eastAsia"/>
                <w:color w:val="auto"/>
                <w:highlight w:val="none"/>
              </w:rPr>
              <w:t>名称</w:t>
            </w:r>
            <w:r>
              <w:rPr>
                <w:color w:val="auto"/>
                <w:highlight w:val="none"/>
              </w:rPr>
              <w:t>、合同金额、签订时间、项目负责人姓名等相关页，如合同无法体现上述内容或无法清晰反映要求内容的，因此造成的后果由投标人自行承担。</w:t>
            </w:r>
            <w:r>
              <w:rPr>
                <w:rFonts w:hint="eastAsia"/>
                <w:color w:val="auto"/>
                <w:highlight w:val="none"/>
              </w:rPr>
              <w:t>原件备查。</w:t>
            </w:r>
          </w:p>
        </w:tc>
      </w:tr>
      <w:tr w14:paraId="2870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6AB834F3">
            <w:pPr>
              <w:jc w:val="center"/>
              <w:textAlignment w:val="center"/>
              <w:rPr>
                <w:color w:val="auto"/>
                <w:highlight w:val="none"/>
              </w:rPr>
            </w:pPr>
            <w:r>
              <w:rPr>
                <w:rFonts w:hint="eastAsia"/>
                <w:color w:val="auto"/>
                <w:sz w:val="22"/>
                <w:szCs w:val="22"/>
                <w:highlight w:val="none"/>
                <w:lang w:bidi="ar"/>
              </w:rPr>
              <w:t>5</w:t>
            </w:r>
          </w:p>
        </w:tc>
        <w:tc>
          <w:tcPr>
            <w:tcW w:w="2989" w:type="dxa"/>
            <w:tcBorders>
              <w:top w:val="single" w:color="auto" w:sz="4" w:space="0"/>
              <w:left w:val="single" w:color="auto" w:sz="4" w:space="0"/>
              <w:bottom w:val="single" w:color="auto" w:sz="4" w:space="0"/>
              <w:right w:val="single" w:color="auto" w:sz="4" w:space="0"/>
            </w:tcBorders>
            <w:vAlign w:val="center"/>
          </w:tcPr>
          <w:p w14:paraId="1E522BA6">
            <w:pPr>
              <w:adjustRightInd w:val="0"/>
              <w:snapToGrid w:val="0"/>
              <w:spacing w:line="360" w:lineRule="auto"/>
              <w:rPr>
                <w:color w:val="auto"/>
                <w:highlight w:val="none"/>
              </w:rPr>
            </w:pPr>
            <w:r>
              <w:rPr>
                <w:color w:val="auto"/>
                <w:highlight w:val="none"/>
              </w:rPr>
              <w:t>近三年（2019、2020</w:t>
            </w:r>
            <w:r>
              <w:rPr>
                <w:rFonts w:hint="eastAsia"/>
                <w:color w:val="auto"/>
                <w:highlight w:val="none"/>
              </w:rPr>
              <w:t>、2021</w:t>
            </w:r>
            <w:r>
              <w:rPr>
                <w:color w:val="auto"/>
                <w:highlight w:val="none"/>
              </w:rPr>
              <w:t>年）履约评价情况（不评审）</w:t>
            </w:r>
          </w:p>
        </w:tc>
        <w:tc>
          <w:tcPr>
            <w:tcW w:w="4113" w:type="dxa"/>
            <w:tcBorders>
              <w:top w:val="single" w:color="auto" w:sz="4" w:space="0"/>
              <w:left w:val="single" w:color="auto" w:sz="4" w:space="0"/>
              <w:bottom w:val="single" w:color="auto" w:sz="4" w:space="0"/>
              <w:right w:val="single" w:color="auto" w:sz="4" w:space="0"/>
            </w:tcBorders>
            <w:vAlign w:val="center"/>
          </w:tcPr>
          <w:p w14:paraId="62D43568">
            <w:pPr>
              <w:adjustRightInd w:val="0"/>
              <w:snapToGrid w:val="0"/>
              <w:spacing w:line="360" w:lineRule="auto"/>
              <w:rPr>
                <w:color w:val="auto"/>
                <w:highlight w:val="none"/>
              </w:rPr>
            </w:pPr>
            <w:r>
              <w:rPr>
                <w:color w:val="auto"/>
                <w:highlight w:val="none"/>
              </w:rPr>
              <w:t>提供投标人近</w:t>
            </w:r>
            <w:r>
              <w:rPr>
                <w:rFonts w:hint="eastAsia"/>
                <w:color w:val="auto"/>
                <w:highlight w:val="none"/>
              </w:rPr>
              <w:t>3</w:t>
            </w:r>
            <w:r>
              <w:rPr>
                <w:color w:val="auto"/>
                <w:highlight w:val="none"/>
              </w:rPr>
              <w:t>年（从招标公告发布之日起倒推，以履约评价时间为准）最具代表性的同类工程的履约评价情况。</w:t>
            </w:r>
          </w:p>
          <w:p w14:paraId="729CCAF7">
            <w:pPr>
              <w:adjustRightInd w:val="0"/>
              <w:snapToGrid w:val="0"/>
              <w:spacing w:line="360" w:lineRule="auto"/>
              <w:rPr>
                <w:color w:val="auto"/>
                <w:highlight w:val="none"/>
              </w:rPr>
            </w:pPr>
            <w:r>
              <w:rPr>
                <w:color w:val="auto"/>
                <w:highlight w:val="none"/>
              </w:rPr>
              <w:cr/>
            </w:r>
            <w:r>
              <w:rPr>
                <w:color w:val="auto"/>
                <w:highlight w:val="none"/>
              </w:rPr>
              <w:cr/>
            </w:r>
            <w:r>
              <w:rPr>
                <w:color w:val="auto"/>
                <w:highlight w:val="none"/>
              </w:rPr>
              <w:t>注：</w:t>
            </w:r>
            <w:r>
              <w:rPr>
                <w:color w:val="auto"/>
                <w:highlight w:val="none"/>
              </w:rPr>
              <w:cr/>
            </w:r>
            <w:r>
              <w:rPr>
                <w:color w:val="auto"/>
                <w:highlight w:val="none"/>
              </w:rPr>
              <w:cr/>
            </w:r>
            <w:r>
              <w:rPr>
                <w:color w:val="auto"/>
                <w:highlight w:val="none"/>
              </w:rPr>
              <w:t>1、提供近</w:t>
            </w:r>
            <w:r>
              <w:rPr>
                <w:rFonts w:hint="eastAsia"/>
                <w:color w:val="auto"/>
                <w:highlight w:val="none"/>
              </w:rPr>
              <w:t>三</w:t>
            </w:r>
            <w:r>
              <w:rPr>
                <w:color w:val="auto"/>
                <w:highlight w:val="none"/>
              </w:rPr>
              <w:t>年获得</w:t>
            </w:r>
            <w:r>
              <w:rPr>
                <w:rFonts w:hint="eastAsia"/>
                <w:color w:val="auto"/>
                <w:highlight w:val="none"/>
              </w:rPr>
              <w:t>业主</w:t>
            </w:r>
            <w:r>
              <w:rPr>
                <w:color w:val="auto"/>
                <w:highlight w:val="none"/>
              </w:rPr>
              <w:t>单位履约评价原件扫描件，需附列表。</w:t>
            </w:r>
            <w:r>
              <w:rPr>
                <w:color w:val="auto"/>
                <w:highlight w:val="none"/>
              </w:rPr>
              <w:cr/>
            </w:r>
            <w:r>
              <w:rPr>
                <w:color w:val="auto"/>
                <w:highlight w:val="none"/>
              </w:rPr>
              <w:cr/>
            </w:r>
            <w:r>
              <w:rPr>
                <w:color w:val="auto"/>
                <w:highlight w:val="none"/>
              </w:rPr>
              <w:t>2、提供履约评价不超过5项，超过只计取列表前5项。</w:t>
            </w:r>
          </w:p>
        </w:tc>
      </w:tr>
      <w:tr w14:paraId="2C92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240936F9">
            <w:pPr>
              <w:jc w:val="center"/>
              <w:textAlignment w:val="center"/>
              <w:rPr>
                <w:color w:val="auto"/>
                <w:highlight w:val="none"/>
              </w:rPr>
            </w:pPr>
            <w:r>
              <w:rPr>
                <w:rFonts w:hint="eastAsia"/>
                <w:color w:val="auto"/>
                <w:highlight w:val="none"/>
              </w:rPr>
              <w:t>6</w:t>
            </w:r>
          </w:p>
        </w:tc>
        <w:tc>
          <w:tcPr>
            <w:tcW w:w="2989" w:type="dxa"/>
            <w:tcBorders>
              <w:top w:val="single" w:color="auto" w:sz="4" w:space="0"/>
              <w:left w:val="single" w:color="auto" w:sz="4" w:space="0"/>
              <w:bottom w:val="single" w:color="auto" w:sz="4" w:space="0"/>
              <w:right w:val="single" w:color="auto" w:sz="4" w:space="0"/>
            </w:tcBorders>
            <w:vAlign w:val="center"/>
          </w:tcPr>
          <w:p w14:paraId="745534D8">
            <w:pPr>
              <w:adjustRightInd w:val="0"/>
              <w:snapToGrid w:val="0"/>
              <w:spacing w:line="360" w:lineRule="auto"/>
              <w:rPr>
                <w:color w:val="auto"/>
                <w:highlight w:val="none"/>
              </w:rPr>
            </w:pPr>
            <w:r>
              <w:rPr>
                <w:color w:val="auto"/>
                <w:highlight w:val="none"/>
              </w:rPr>
              <w:t>投标人获奖情况（不评审）</w:t>
            </w:r>
          </w:p>
        </w:tc>
        <w:tc>
          <w:tcPr>
            <w:tcW w:w="4113" w:type="dxa"/>
            <w:tcBorders>
              <w:top w:val="single" w:color="auto" w:sz="4" w:space="0"/>
              <w:left w:val="single" w:color="auto" w:sz="4" w:space="0"/>
              <w:bottom w:val="single" w:color="auto" w:sz="4" w:space="0"/>
              <w:right w:val="single" w:color="auto" w:sz="4" w:space="0"/>
            </w:tcBorders>
            <w:vAlign w:val="center"/>
          </w:tcPr>
          <w:p w14:paraId="7E0AA087">
            <w:pPr>
              <w:adjustRightInd w:val="0"/>
              <w:snapToGrid w:val="0"/>
              <w:spacing w:line="360" w:lineRule="auto"/>
              <w:rPr>
                <w:color w:val="auto"/>
                <w:highlight w:val="none"/>
              </w:rPr>
            </w:pPr>
            <w:r>
              <w:rPr>
                <w:rFonts w:hint="eastAsia"/>
                <w:color w:val="auto"/>
                <w:highlight w:val="none"/>
              </w:rPr>
              <w:t>提供近五年投标人自认为最具代表性的获得工程类奖项不超过</w:t>
            </w:r>
            <w:r>
              <w:rPr>
                <w:color w:val="auto"/>
                <w:highlight w:val="none"/>
              </w:rPr>
              <w:t>5项。提供获奖证书和获奖证明材料（若有）等扫描件，原件备查。</w:t>
            </w:r>
            <w:r>
              <w:rPr>
                <w:color w:val="auto"/>
                <w:highlight w:val="none"/>
              </w:rPr>
              <w:cr/>
            </w:r>
            <w:r>
              <w:rPr>
                <w:color w:val="auto"/>
                <w:highlight w:val="none"/>
              </w:rPr>
              <w:t>（注1：证明材料为：①获奖证书（应包含但不限于项目名称、企业主体、获奖时间等）</w:t>
            </w:r>
            <w:r>
              <w:rPr>
                <w:rFonts w:hint="eastAsia"/>
                <w:color w:val="auto"/>
                <w:highlight w:val="none"/>
              </w:rPr>
              <w:t>②服务协议</w:t>
            </w:r>
            <w:r>
              <w:rPr>
                <w:color w:val="auto"/>
                <w:highlight w:val="none"/>
              </w:rPr>
              <w:t>；注2:近五年以招标公告发布的时间倒推计算</w:t>
            </w:r>
            <w:r>
              <w:rPr>
                <w:rFonts w:hint="eastAsia"/>
                <w:color w:val="auto"/>
                <w:highlight w:val="none"/>
              </w:rPr>
              <w:t>；注3：获得工程类奖项途径包括但不限于投标人拍摄的视频用以申报获得。优先提供国家级奖项，如鲁班奖、大禹奖、詹天佑奖等。</w:t>
            </w:r>
          </w:p>
          <w:p w14:paraId="5DF8CA26">
            <w:pPr>
              <w:pStyle w:val="2"/>
              <w:ind w:firstLine="0" w:firstLineChars="0"/>
              <w:rPr>
                <w:color w:val="auto"/>
                <w:highlight w:val="none"/>
              </w:rPr>
            </w:pPr>
            <w:r>
              <w:rPr>
                <w:color w:val="auto"/>
                <w:highlight w:val="none"/>
              </w:rPr>
              <w:t>若提供证明材料不齐全或模糊不清，获奖情况将不予认可</w:t>
            </w:r>
            <w:r>
              <w:rPr>
                <w:rFonts w:hint="eastAsia"/>
                <w:color w:val="auto"/>
                <w:highlight w:val="none"/>
              </w:rPr>
              <w:t>；</w:t>
            </w:r>
          </w:p>
        </w:tc>
      </w:tr>
      <w:tr w14:paraId="5EE8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35BDF498">
            <w:pPr>
              <w:jc w:val="center"/>
              <w:textAlignment w:val="center"/>
              <w:rPr>
                <w:color w:val="auto"/>
                <w:sz w:val="20"/>
                <w:szCs w:val="21"/>
                <w:highlight w:val="none"/>
              </w:rPr>
            </w:pPr>
            <w:r>
              <w:rPr>
                <w:rFonts w:hint="eastAsia"/>
                <w:color w:val="auto"/>
                <w:sz w:val="22"/>
                <w:szCs w:val="22"/>
                <w:highlight w:val="none"/>
                <w:lang w:bidi="ar"/>
              </w:rPr>
              <w:t>7</w:t>
            </w:r>
          </w:p>
        </w:tc>
        <w:tc>
          <w:tcPr>
            <w:tcW w:w="2989" w:type="dxa"/>
            <w:tcBorders>
              <w:top w:val="single" w:color="auto" w:sz="4" w:space="0"/>
              <w:left w:val="single" w:color="auto" w:sz="4" w:space="0"/>
              <w:bottom w:val="single" w:color="auto" w:sz="4" w:space="0"/>
              <w:right w:val="single" w:color="auto" w:sz="4" w:space="0"/>
            </w:tcBorders>
            <w:vAlign w:val="center"/>
          </w:tcPr>
          <w:p w14:paraId="167105F6">
            <w:pPr>
              <w:adjustRightInd w:val="0"/>
              <w:snapToGrid w:val="0"/>
              <w:spacing w:line="360" w:lineRule="auto"/>
              <w:rPr>
                <w:color w:val="auto"/>
                <w:highlight w:val="none"/>
              </w:rPr>
            </w:pPr>
            <w:r>
              <w:rPr>
                <w:color w:val="auto"/>
                <w:highlight w:val="none"/>
              </w:rPr>
              <w:t>企业信用信息（不评审</w:t>
            </w:r>
            <w:r>
              <w:rPr>
                <w:rFonts w:hint="eastAsia"/>
                <w:color w:val="auto"/>
                <w:highlight w:val="none"/>
              </w:rPr>
              <w:t>）</w:t>
            </w:r>
          </w:p>
        </w:tc>
        <w:tc>
          <w:tcPr>
            <w:tcW w:w="4113" w:type="dxa"/>
            <w:tcBorders>
              <w:top w:val="single" w:color="auto" w:sz="4" w:space="0"/>
              <w:left w:val="single" w:color="auto" w:sz="4" w:space="0"/>
              <w:bottom w:val="single" w:color="auto" w:sz="4" w:space="0"/>
              <w:right w:val="single" w:color="auto" w:sz="4" w:space="0"/>
            </w:tcBorders>
            <w:vAlign w:val="center"/>
          </w:tcPr>
          <w:p w14:paraId="16D512F9">
            <w:pPr>
              <w:adjustRightInd w:val="0"/>
              <w:snapToGrid w:val="0"/>
              <w:spacing w:line="360" w:lineRule="auto"/>
              <w:rPr>
                <w:color w:val="auto"/>
                <w:highlight w:val="none"/>
              </w:rPr>
            </w:pPr>
            <w:r>
              <w:rPr>
                <w:color w:val="auto"/>
                <w:highlight w:val="none"/>
              </w:rPr>
              <w:t>以国家工商总局“国家企业信用信息公示系统”官方网站查询结果为准。</w:t>
            </w:r>
          </w:p>
        </w:tc>
      </w:tr>
      <w:tr w14:paraId="256C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op w:val="single" w:color="auto" w:sz="4" w:space="0"/>
              <w:left w:val="single" w:color="auto" w:sz="4" w:space="0"/>
              <w:bottom w:val="single" w:color="auto" w:sz="4" w:space="0"/>
              <w:right w:val="single" w:color="auto" w:sz="4" w:space="0"/>
            </w:tcBorders>
            <w:vAlign w:val="center"/>
          </w:tcPr>
          <w:p w14:paraId="05B5B730">
            <w:pPr>
              <w:jc w:val="center"/>
              <w:textAlignment w:val="center"/>
              <w:rPr>
                <w:color w:val="auto"/>
                <w:sz w:val="22"/>
                <w:szCs w:val="22"/>
                <w:highlight w:val="none"/>
                <w:lang w:bidi="ar"/>
              </w:rPr>
            </w:pPr>
            <w:r>
              <w:rPr>
                <w:rFonts w:hint="eastAsia"/>
                <w:color w:val="auto"/>
                <w:sz w:val="22"/>
                <w:szCs w:val="22"/>
                <w:highlight w:val="none"/>
                <w:lang w:bidi="ar"/>
              </w:rPr>
              <w:t>8</w:t>
            </w:r>
          </w:p>
        </w:tc>
        <w:tc>
          <w:tcPr>
            <w:tcW w:w="2989" w:type="dxa"/>
            <w:tcBorders>
              <w:top w:val="single" w:color="auto" w:sz="4" w:space="0"/>
              <w:left w:val="single" w:color="auto" w:sz="4" w:space="0"/>
              <w:bottom w:val="single" w:color="auto" w:sz="4" w:space="0"/>
              <w:right w:val="single" w:color="auto" w:sz="4" w:space="0"/>
            </w:tcBorders>
            <w:vAlign w:val="center"/>
          </w:tcPr>
          <w:p w14:paraId="16588153">
            <w:pPr>
              <w:adjustRightInd w:val="0"/>
              <w:snapToGrid w:val="0"/>
              <w:spacing w:line="360" w:lineRule="auto"/>
              <w:rPr>
                <w:color w:val="auto"/>
                <w:highlight w:val="none"/>
              </w:rPr>
            </w:pPr>
            <w:r>
              <w:rPr>
                <w:rFonts w:hint="eastAsia"/>
                <w:color w:val="auto"/>
                <w:highlight w:val="none"/>
              </w:rPr>
              <w:t>投标人认为其他补充的信息（不评审）</w:t>
            </w:r>
          </w:p>
        </w:tc>
        <w:tc>
          <w:tcPr>
            <w:tcW w:w="4113" w:type="dxa"/>
            <w:tcBorders>
              <w:top w:val="single" w:color="auto" w:sz="4" w:space="0"/>
              <w:left w:val="single" w:color="auto" w:sz="4" w:space="0"/>
              <w:bottom w:val="single" w:color="auto" w:sz="4" w:space="0"/>
              <w:right w:val="single" w:color="auto" w:sz="4" w:space="0"/>
            </w:tcBorders>
            <w:vAlign w:val="center"/>
          </w:tcPr>
          <w:p w14:paraId="0918A49F">
            <w:pPr>
              <w:adjustRightInd w:val="0"/>
              <w:snapToGrid w:val="0"/>
              <w:spacing w:line="360" w:lineRule="auto"/>
              <w:rPr>
                <w:color w:val="auto"/>
                <w:highlight w:val="none"/>
              </w:rPr>
            </w:pPr>
            <w:r>
              <w:rPr>
                <w:rFonts w:hint="eastAsia"/>
                <w:color w:val="auto"/>
                <w:highlight w:val="none"/>
              </w:rPr>
              <w:t>投标人认为其他补充的信息（不评审）</w:t>
            </w:r>
          </w:p>
        </w:tc>
      </w:tr>
    </w:tbl>
    <w:p w14:paraId="4C4B2B6A">
      <w:pPr>
        <w:adjustRightInd w:val="0"/>
        <w:snapToGrid w:val="0"/>
        <w:spacing w:line="360" w:lineRule="auto"/>
        <w:jc w:val="center"/>
        <w:rPr>
          <w:b/>
          <w:color w:val="auto"/>
          <w:sz w:val="28"/>
          <w:szCs w:val="28"/>
          <w:highlight w:val="none"/>
        </w:rPr>
      </w:pPr>
    </w:p>
    <w:p w14:paraId="608C77E6">
      <w:pPr>
        <w:adjustRightInd w:val="0"/>
        <w:snapToGrid w:val="0"/>
        <w:spacing w:line="360" w:lineRule="auto"/>
        <w:rPr>
          <w:color w:val="auto"/>
          <w:highlight w:val="none"/>
        </w:rPr>
      </w:pPr>
      <w:r>
        <w:rPr>
          <w:rFonts w:hint="eastAsia"/>
          <w:color w:val="auto"/>
          <w:szCs w:val="21"/>
          <w:highlight w:val="none"/>
        </w:rPr>
        <w:t>备注：资信要素不进行评审，真实性通过公示予以监督。</w:t>
      </w:r>
    </w:p>
    <w:bookmarkEnd w:id="258"/>
    <w:p w14:paraId="25277FD8">
      <w:pPr>
        <w:pStyle w:val="6"/>
        <w:keepNext w:val="0"/>
        <w:keepLines w:val="0"/>
        <w:widowControl w:val="0"/>
        <w:tabs>
          <w:tab w:val="left" w:pos="720"/>
          <w:tab w:val="left" w:pos="4032"/>
        </w:tabs>
        <w:adjustRightInd w:val="0"/>
        <w:snapToGrid w:val="0"/>
        <w:spacing w:before="0" w:after="0" w:line="360" w:lineRule="auto"/>
        <w:jc w:val="center"/>
        <w:rPr>
          <w:color w:val="auto"/>
          <w:highlight w:val="none"/>
          <w:lang w:val="en-US"/>
        </w:rPr>
      </w:pPr>
      <w:r>
        <w:rPr>
          <w:rFonts w:hint="eastAsia"/>
          <w:color w:val="auto"/>
          <w:highlight w:val="none"/>
          <w:lang w:val="en-US"/>
        </w:rPr>
        <w:t>八、中标通知书</w:t>
      </w:r>
    </w:p>
    <w:p w14:paraId="67445CBA">
      <w:pPr>
        <w:rPr>
          <w:b/>
          <w:color w:val="auto"/>
          <w:sz w:val="28"/>
          <w:szCs w:val="28"/>
          <w:highlight w:val="none"/>
        </w:rPr>
      </w:pPr>
      <w:r>
        <w:rPr>
          <w:rFonts w:hint="eastAsia"/>
          <w:b/>
          <w:color w:val="auto"/>
          <w:sz w:val="28"/>
          <w:szCs w:val="28"/>
          <w:highlight w:val="none"/>
        </w:rPr>
        <w:t>33.</w:t>
      </w:r>
      <w:r>
        <w:rPr>
          <w:b/>
          <w:color w:val="auto"/>
          <w:sz w:val="28"/>
          <w:szCs w:val="28"/>
          <w:highlight w:val="none"/>
        </w:rPr>
        <w:t xml:space="preserve"> </w:t>
      </w:r>
      <w:r>
        <w:rPr>
          <w:rFonts w:hint="eastAsia"/>
          <w:b/>
          <w:color w:val="auto"/>
          <w:sz w:val="28"/>
          <w:szCs w:val="28"/>
          <w:highlight w:val="none"/>
        </w:rPr>
        <w:t>中标通知书</w:t>
      </w:r>
    </w:p>
    <w:p w14:paraId="397B98FC">
      <w:pPr>
        <w:adjustRightInd w:val="0"/>
        <w:snapToGrid w:val="0"/>
        <w:spacing w:line="360" w:lineRule="auto"/>
        <w:ind w:firstLine="480" w:firstLineChars="200"/>
        <w:rPr>
          <w:color w:val="auto"/>
          <w:szCs w:val="21"/>
          <w:highlight w:val="none"/>
        </w:rPr>
      </w:pPr>
      <w:r>
        <w:rPr>
          <w:rFonts w:hint="eastAsia"/>
          <w:color w:val="auto"/>
          <w:szCs w:val="21"/>
          <w:highlight w:val="none"/>
        </w:rPr>
        <w:t>33.1</w:t>
      </w:r>
      <w:r>
        <w:rPr>
          <w:color w:val="auto"/>
          <w:szCs w:val="21"/>
          <w:highlight w:val="none"/>
        </w:rPr>
        <w:t>在规定的公示期内未收到对中标结果的异议的，招标人将按法律法规规定的时间内向中标人发出中标通知书。如接到有关投诉的，招标人将可能暂停发出中标通知书。</w:t>
      </w:r>
    </w:p>
    <w:p w14:paraId="4ABF8B4C">
      <w:pPr>
        <w:adjustRightInd w:val="0"/>
        <w:snapToGrid w:val="0"/>
        <w:spacing w:line="360" w:lineRule="auto"/>
        <w:ind w:firstLine="480" w:firstLineChars="200"/>
        <w:rPr>
          <w:color w:val="auto"/>
          <w:szCs w:val="21"/>
          <w:highlight w:val="none"/>
        </w:rPr>
      </w:pPr>
      <w:r>
        <w:rPr>
          <w:rFonts w:hint="eastAsia"/>
          <w:color w:val="auto"/>
          <w:szCs w:val="21"/>
          <w:highlight w:val="none"/>
        </w:rPr>
        <w:t>33.2</w:t>
      </w:r>
      <w:r>
        <w:rPr>
          <w:color w:val="auto"/>
          <w:szCs w:val="21"/>
          <w:highlight w:val="none"/>
        </w:rPr>
        <w:t>招标人在发出中标通知书之前因正当理由，经行政监督部门批准并经</w:t>
      </w:r>
      <w:r>
        <w:rPr>
          <w:rFonts w:hint="eastAsia"/>
          <w:color w:val="auto"/>
          <w:szCs w:val="21"/>
          <w:highlight w:val="none"/>
        </w:rPr>
        <w:t>相关网站</w:t>
      </w:r>
      <w:r>
        <w:rPr>
          <w:color w:val="auto"/>
          <w:szCs w:val="21"/>
          <w:highlight w:val="none"/>
        </w:rPr>
        <w:t>公示3个工作日后，招标人有权接受或拒绝投标、宣布投标程序无效或拒绝所有投标。对受影响的投标人不承担任何责任。</w:t>
      </w:r>
    </w:p>
    <w:p w14:paraId="5B0FE04F">
      <w:pPr>
        <w:adjustRightInd w:val="0"/>
        <w:snapToGrid w:val="0"/>
        <w:spacing w:line="360" w:lineRule="auto"/>
        <w:ind w:firstLine="480" w:firstLineChars="200"/>
        <w:rPr>
          <w:color w:val="auto"/>
          <w:highlight w:val="none"/>
        </w:rPr>
      </w:pPr>
      <w:r>
        <w:rPr>
          <w:rFonts w:hint="eastAsia"/>
          <w:color w:val="auto"/>
          <w:szCs w:val="21"/>
          <w:highlight w:val="none"/>
        </w:rPr>
        <w:t>33.3</w:t>
      </w:r>
      <w:r>
        <w:rPr>
          <w:color w:val="auto"/>
          <w:szCs w:val="21"/>
          <w:highlight w:val="none"/>
        </w:rPr>
        <w:t>中标人应在收到中标通知书后15天内，向招标人提交可实施的施工组织设计，招标人应当会同监理单位对施工组织设计进行审核。</w:t>
      </w:r>
    </w:p>
    <w:p w14:paraId="7E250F52">
      <w:pPr>
        <w:adjustRightInd w:val="0"/>
        <w:snapToGrid w:val="0"/>
        <w:spacing w:line="360" w:lineRule="auto"/>
        <w:rPr>
          <w:color w:val="auto"/>
          <w:highlight w:val="none"/>
        </w:rPr>
      </w:pPr>
    </w:p>
    <w:p w14:paraId="74931402">
      <w:pPr>
        <w:pStyle w:val="6"/>
        <w:keepNext w:val="0"/>
        <w:keepLines w:val="0"/>
        <w:widowControl w:val="0"/>
        <w:tabs>
          <w:tab w:val="left" w:pos="720"/>
          <w:tab w:val="left" w:pos="4032"/>
        </w:tabs>
        <w:adjustRightInd w:val="0"/>
        <w:snapToGrid w:val="0"/>
        <w:spacing w:before="0" w:after="0" w:line="360" w:lineRule="auto"/>
        <w:jc w:val="center"/>
        <w:rPr>
          <w:color w:val="auto"/>
          <w:highlight w:val="none"/>
          <w:lang w:val="en-US"/>
        </w:rPr>
      </w:pPr>
      <w:r>
        <w:rPr>
          <w:rFonts w:hint="eastAsia"/>
          <w:color w:val="auto"/>
          <w:highlight w:val="none"/>
          <w:lang w:val="en-US"/>
        </w:rPr>
        <w:t>九、合同的授予</w:t>
      </w:r>
    </w:p>
    <w:p w14:paraId="640F27E2">
      <w:pPr>
        <w:rPr>
          <w:b/>
          <w:color w:val="auto"/>
          <w:sz w:val="28"/>
          <w:szCs w:val="28"/>
          <w:highlight w:val="none"/>
        </w:rPr>
      </w:pPr>
      <w:r>
        <w:rPr>
          <w:rFonts w:hint="eastAsia"/>
          <w:b/>
          <w:color w:val="auto"/>
          <w:sz w:val="28"/>
          <w:szCs w:val="28"/>
          <w:highlight w:val="none"/>
        </w:rPr>
        <w:t>34.合同授予标准</w:t>
      </w:r>
    </w:p>
    <w:p w14:paraId="5300EAA3">
      <w:pPr>
        <w:adjustRightInd w:val="0"/>
        <w:snapToGrid w:val="0"/>
        <w:spacing w:line="360" w:lineRule="auto"/>
        <w:ind w:firstLine="480" w:firstLineChars="200"/>
        <w:rPr>
          <w:color w:val="auto"/>
          <w:szCs w:val="21"/>
          <w:highlight w:val="none"/>
        </w:rPr>
      </w:pPr>
      <w:r>
        <w:rPr>
          <w:rFonts w:hint="eastAsia"/>
          <w:color w:val="auto"/>
          <w:szCs w:val="21"/>
          <w:highlight w:val="none"/>
        </w:rPr>
        <w:t>34.1本工程的施工合同将授予按招标文件规定所确定的中标人。</w:t>
      </w:r>
    </w:p>
    <w:p w14:paraId="28D4CA76">
      <w:pPr>
        <w:rPr>
          <w:b/>
          <w:color w:val="auto"/>
          <w:sz w:val="28"/>
          <w:szCs w:val="28"/>
          <w:highlight w:val="none"/>
        </w:rPr>
      </w:pPr>
      <w:r>
        <w:rPr>
          <w:rFonts w:hint="eastAsia"/>
          <w:b/>
          <w:color w:val="auto"/>
          <w:sz w:val="28"/>
          <w:szCs w:val="28"/>
          <w:highlight w:val="none"/>
        </w:rPr>
        <w:t>35.合同协议书的签订</w:t>
      </w:r>
    </w:p>
    <w:p w14:paraId="2150BA98">
      <w:pPr>
        <w:adjustRightInd w:val="0"/>
        <w:snapToGrid w:val="0"/>
        <w:spacing w:line="360" w:lineRule="auto"/>
        <w:ind w:firstLine="480" w:firstLineChars="200"/>
        <w:rPr>
          <w:color w:val="auto"/>
          <w:szCs w:val="21"/>
          <w:highlight w:val="none"/>
        </w:rPr>
      </w:pPr>
      <w:r>
        <w:rPr>
          <w:rFonts w:hint="eastAsia"/>
          <w:color w:val="auto"/>
          <w:szCs w:val="21"/>
          <w:highlight w:val="none"/>
        </w:rPr>
        <w:t>35.1招标人与中标人将于招标文件规定的时限内，根据招标文件和中标人的投标文件签订建设工程施工合同，合同价为中标人的投标报价（因计算错误，评标委员会修正中标价的除外）。</w:t>
      </w:r>
    </w:p>
    <w:p w14:paraId="07017E66">
      <w:pPr>
        <w:adjustRightInd w:val="0"/>
        <w:snapToGrid w:val="0"/>
        <w:spacing w:line="360" w:lineRule="auto"/>
        <w:ind w:firstLine="480" w:firstLineChars="200"/>
        <w:rPr>
          <w:color w:val="auto"/>
          <w:szCs w:val="21"/>
          <w:highlight w:val="none"/>
        </w:rPr>
      </w:pPr>
      <w:r>
        <w:rPr>
          <w:rFonts w:hint="eastAsia"/>
          <w:color w:val="auto"/>
          <w:szCs w:val="21"/>
          <w:highlight w:val="none"/>
        </w:rPr>
        <w:t>35.2招标人与中标人签订的施工合同必须遵守本招标文件的合同条件，并且不得更改合同条件。</w:t>
      </w:r>
    </w:p>
    <w:p w14:paraId="7197C5B9">
      <w:pPr>
        <w:adjustRightInd w:val="0"/>
        <w:snapToGrid w:val="0"/>
        <w:spacing w:line="360" w:lineRule="auto"/>
        <w:ind w:firstLine="480" w:firstLineChars="200"/>
        <w:rPr>
          <w:color w:val="auto"/>
          <w:szCs w:val="21"/>
          <w:highlight w:val="none"/>
        </w:rPr>
      </w:pPr>
      <w:r>
        <w:rPr>
          <w:rFonts w:hint="eastAsia"/>
          <w:color w:val="auto"/>
          <w:szCs w:val="21"/>
          <w:highlight w:val="none"/>
        </w:rPr>
        <w:t>35.3中标人不按招标文件规定与招标人签订合同，招标人有权废除中标，并没收其投标保证金或投标保函，给招标人造成的损失超过投标担保数额的，还应当对超过部分予以赔偿，同时依法承担相应法律责任。</w:t>
      </w:r>
    </w:p>
    <w:p w14:paraId="6D045433">
      <w:pPr>
        <w:adjustRightInd w:val="0"/>
        <w:snapToGrid w:val="0"/>
        <w:spacing w:line="360" w:lineRule="auto"/>
        <w:ind w:firstLine="480" w:firstLineChars="200"/>
        <w:rPr>
          <w:color w:val="auto"/>
          <w:szCs w:val="21"/>
          <w:highlight w:val="none"/>
        </w:rPr>
      </w:pPr>
      <w:r>
        <w:rPr>
          <w:rFonts w:hint="eastAsia"/>
          <w:color w:val="auto"/>
          <w:szCs w:val="21"/>
          <w:highlight w:val="none"/>
        </w:rPr>
        <w:t>35.4中标人应当按照合同约定履行义务，完成中标工程施工，不得将中标工程转让（转包）给他人施工。</w:t>
      </w:r>
    </w:p>
    <w:p w14:paraId="626DB804">
      <w:pPr>
        <w:rPr>
          <w:b/>
          <w:color w:val="auto"/>
          <w:sz w:val="28"/>
          <w:szCs w:val="28"/>
          <w:highlight w:val="none"/>
        </w:rPr>
      </w:pPr>
      <w:r>
        <w:rPr>
          <w:rFonts w:hint="eastAsia"/>
          <w:b/>
          <w:color w:val="auto"/>
          <w:sz w:val="28"/>
          <w:szCs w:val="28"/>
          <w:highlight w:val="none"/>
        </w:rPr>
        <w:t>36.工程担保</w:t>
      </w:r>
    </w:p>
    <w:p w14:paraId="2C315443">
      <w:pPr>
        <w:adjustRightInd w:val="0"/>
        <w:snapToGrid w:val="0"/>
        <w:spacing w:line="360" w:lineRule="auto"/>
        <w:ind w:firstLine="480" w:firstLineChars="200"/>
        <w:rPr>
          <w:color w:val="auto"/>
          <w:szCs w:val="21"/>
          <w:highlight w:val="none"/>
        </w:rPr>
      </w:pPr>
      <w:r>
        <w:rPr>
          <w:rFonts w:hint="eastAsia"/>
          <w:color w:val="auto"/>
          <w:szCs w:val="21"/>
          <w:highlight w:val="none"/>
        </w:rPr>
        <w:t>36.1中标人应</w:t>
      </w:r>
      <w:r>
        <w:rPr>
          <w:rFonts w:hint="eastAsia" w:cs="Courier New"/>
          <w:color w:val="auto"/>
          <w:szCs w:val="21"/>
          <w:highlight w:val="none"/>
        </w:rPr>
        <w:t>在签订工程承包合同时，</w:t>
      </w:r>
      <w:r>
        <w:rPr>
          <w:rFonts w:hint="eastAsia"/>
          <w:color w:val="auto"/>
          <w:szCs w:val="21"/>
          <w:highlight w:val="none"/>
        </w:rPr>
        <w:t>按招标文件规定的时间、出具单位及规定的金额向招标人提交履约担保，履约担保可参照使用本招标文件附表提供的格式。履约担保为</w:t>
      </w:r>
      <w:r>
        <w:rPr>
          <w:rFonts w:hint="eastAsia" w:cs="Courier New"/>
          <w:color w:val="auto"/>
          <w:szCs w:val="21"/>
          <w:highlight w:val="none"/>
        </w:rPr>
        <w:t>中标价与招标控制价或投标报价上限（无招标控制价招标的）的差额，且不高于中标价的1</w:t>
      </w:r>
      <w:r>
        <w:rPr>
          <w:rFonts w:cs="Courier New"/>
          <w:color w:val="auto"/>
          <w:szCs w:val="21"/>
          <w:highlight w:val="none"/>
        </w:rPr>
        <w:t>0</w:t>
      </w:r>
      <w:r>
        <w:rPr>
          <w:rFonts w:hint="eastAsia" w:cs="Courier New"/>
          <w:color w:val="auto"/>
          <w:szCs w:val="21"/>
          <w:highlight w:val="none"/>
        </w:rPr>
        <w:t>%。</w:t>
      </w:r>
    </w:p>
    <w:p w14:paraId="16CEE812">
      <w:pPr>
        <w:adjustRightInd w:val="0"/>
        <w:snapToGrid w:val="0"/>
        <w:spacing w:line="360" w:lineRule="auto"/>
        <w:ind w:firstLine="480" w:firstLineChars="200"/>
        <w:rPr>
          <w:color w:val="auto"/>
          <w:szCs w:val="21"/>
          <w:highlight w:val="none"/>
        </w:rPr>
      </w:pPr>
      <w:r>
        <w:rPr>
          <w:rFonts w:hint="eastAsia"/>
          <w:color w:val="auto"/>
          <w:szCs w:val="21"/>
          <w:highlight w:val="none"/>
        </w:rPr>
        <w:t>36.2招标人应在中标人提交履约担保的同时向中标人提供与履约担保数额等额的工程款支付担保。</w:t>
      </w:r>
    </w:p>
    <w:p w14:paraId="085CACAD">
      <w:pPr>
        <w:adjustRightInd w:val="0"/>
        <w:snapToGrid w:val="0"/>
        <w:spacing w:line="360" w:lineRule="auto"/>
        <w:ind w:firstLine="480" w:firstLineChars="200"/>
        <w:rPr>
          <w:color w:val="auto"/>
          <w:szCs w:val="21"/>
          <w:highlight w:val="none"/>
        </w:rPr>
      </w:pPr>
      <w:r>
        <w:rPr>
          <w:rFonts w:hint="eastAsia"/>
          <w:color w:val="auto"/>
          <w:szCs w:val="21"/>
          <w:highlight w:val="none"/>
        </w:rPr>
        <w:t>36.3中标人不按招标文件规定提交履约担保的，招标人有权取消其中标资格，并没收其投标保证金，给招标人造成的损失超过投标保证金数额的，中标人应当对超过部分予以赔偿。</w:t>
      </w:r>
    </w:p>
    <w:p w14:paraId="206B190D">
      <w:pPr>
        <w:adjustRightInd w:val="0"/>
        <w:snapToGrid w:val="0"/>
        <w:spacing w:line="360" w:lineRule="auto"/>
        <w:ind w:firstLine="480" w:firstLineChars="200"/>
        <w:rPr>
          <w:color w:val="auto"/>
          <w:szCs w:val="21"/>
          <w:highlight w:val="none"/>
        </w:rPr>
      </w:pPr>
      <w:r>
        <w:rPr>
          <w:rFonts w:hint="eastAsia"/>
          <w:color w:val="auto"/>
          <w:szCs w:val="21"/>
          <w:highlight w:val="none"/>
        </w:rPr>
        <w:t>36.</w:t>
      </w:r>
      <w:r>
        <w:rPr>
          <w:color w:val="auto"/>
          <w:szCs w:val="21"/>
          <w:highlight w:val="none"/>
        </w:rPr>
        <w:t>4</w:t>
      </w:r>
      <w:r>
        <w:rPr>
          <w:rFonts w:hint="eastAsia"/>
          <w:color w:val="auto"/>
          <w:szCs w:val="21"/>
          <w:highlight w:val="none"/>
        </w:rPr>
        <w:t>承包商履约担保和业主支付担保都必须采用经对方认可的银行保函、保证保险、专业工程担保公司担保等。双方均不得在工程担保有效期内解除担保。</w:t>
      </w:r>
    </w:p>
    <w:p w14:paraId="4C1955F7">
      <w:pPr>
        <w:spacing w:line="360" w:lineRule="auto"/>
        <w:rPr>
          <w:color w:val="auto"/>
          <w:szCs w:val="21"/>
          <w:highlight w:val="none"/>
        </w:rPr>
      </w:pPr>
      <w:r>
        <w:rPr>
          <w:color w:val="auto"/>
          <w:szCs w:val="21"/>
          <w:highlight w:val="none"/>
        </w:rPr>
        <w:br w:type="page"/>
      </w:r>
    </w:p>
    <w:p w14:paraId="65BE36E0">
      <w:pPr>
        <w:adjustRightInd w:val="0"/>
        <w:snapToGrid w:val="0"/>
        <w:spacing w:line="360" w:lineRule="auto"/>
        <w:jc w:val="center"/>
        <w:outlineLvl w:val="0"/>
        <w:rPr>
          <w:b/>
          <w:color w:val="auto"/>
          <w:sz w:val="52"/>
          <w:szCs w:val="52"/>
          <w:highlight w:val="none"/>
        </w:rPr>
      </w:pPr>
      <w:bookmarkStart w:id="260" w:name="_Toc14347"/>
      <w:r>
        <w:rPr>
          <w:rFonts w:hint="eastAsia"/>
          <w:b/>
          <w:color w:val="auto"/>
          <w:sz w:val="52"/>
          <w:szCs w:val="52"/>
          <w:highlight w:val="none"/>
        </w:rPr>
        <w:t>第三章  招标人对招标文件及合同范本的补充/修改</w:t>
      </w:r>
    </w:p>
    <w:p w14:paraId="3761723D">
      <w:pPr>
        <w:topLinePunct/>
        <w:adjustRightInd w:val="0"/>
        <w:snapToGrid w:val="0"/>
        <w:spacing w:line="360" w:lineRule="auto"/>
        <w:ind w:firstLine="440" w:firstLineChars="200"/>
        <w:rPr>
          <w:color w:val="auto"/>
          <w:sz w:val="22"/>
          <w:szCs w:val="22"/>
          <w:highlight w:val="none"/>
        </w:rPr>
      </w:pPr>
    </w:p>
    <w:p w14:paraId="624C393B">
      <w:pPr>
        <w:topLinePunct/>
        <w:adjustRightInd w:val="0"/>
        <w:snapToGrid w:val="0"/>
        <w:spacing w:line="360" w:lineRule="auto"/>
        <w:ind w:firstLine="480" w:firstLineChars="200"/>
        <w:rPr>
          <w:color w:val="auto"/>
          <w:szCs w:val="21"/>
          <w:highlight w:val="none"/>
        </w:rPr>
      </w:pPr>
      <w:r>
        <w:rPr>
          <w:rFonts w:hint="eastAsia"/>
          <w:color w:val="auto"/>
          <w:szCs w:val="21"/>
          <w:highlight w:val="none"/>
        </w:rPr>
        <w:t>招标人可根据工程实际情况，对本范本进行补充或修改，但有关补充或修改内容不得违法违规，且必须逐一列举在以下栏目中。请投标人认真阅读并遵照执行：</w:t>
      </w:r>
    </w:p>
    <w:p w14:paraId="0D9A7E8D">
      <w:pPr>
        <w:topLinePunct/>
        <w:adjustRightInd w:val="0"/>
        <w:snapToGrid w:val="0"/>
        <w:spacing w:line="360" w:lineRule="auto"/>
        <w:ind w:firstLine="480" w:firstLineChars="200"/>
        <w:rPr>
          <w:color w:val="auto"/>
          <w:szCs w:val="21"/>
          <w:highlight w:val="none"/>
        </w:rPr>
      </w:pPr>
    </w:p>
    <w:p w14:paraId="7C1B1E5A">
      <w:pPr>
        <w:pStyle w:val="92"/>
        <w:widowControl w:val="0"/>
        <w:numPr>
          <w:ilvl w:val="0"/>
          <w:numId w:val="1"/>
        </w:numPr>
        <w:adjustRightInd w:val="0"/>
        <w:snapToGrid w:val="0"/>
        <w:spacing w:after="200" w:line="360" w:lineRule="auto"/>
        <w:rPr>
          <w:color w:val="auto"/>
          <w:szCs w:val="21"/>
          <w:highlight w:val="none"/>
        </w:rPr>
      </w:pPr>
      <w:r>
        <w:rPr>
          <w:rFonts w:hint="eastAsia"/>
          <w:color w:val="auto"/>
          <w:szCs w:val="21"/>
          <w:highlight w:val="none"/>
        </w:rPr>
        <w:t>本项目不要求投标人提供《行贿犯罪档案查询告知函》。在确定中标候选人后，由招标人在中国裁判文书网(http://wenshu.court.gov.cn/)查询，此过程中，中标候选人必须无条件予以协助及配合。若查询结果为中标候选人存在违法记录等情况，招标人有权取消其中标资格并重新定标或重新招标。</w:t>
      </w:r>
    </w:p>
    <w:p w14:paraId="12AC2417">
      <w:pPr>
        <w:pStyle w:val="92"/>
        <w:widowControl w:val="0"/>
        <w:numPr>
          <w:ilvl w:val="0"/>
          <w:numId w:val="1"/>
        </w:numPr>
        <w:adjustRightInd w:val="0"/>
        <w:snapToGrid w:val="0"/>
        <w:spacing w:after="200" w:line="360" w:lineRule="auto"/>
        <w:rPr>
          <w:color w:val="auto"/>
          <w:szCs w:val="21"/>
          <w:highlight w:val="none"/>
        </w:rPr>
      </w:pPr>
      <w:r>
        <w:rPr>
          <w:rFonts w:hint="eastAsia"/>
          <w:color w:val="auto"/>
          <w:szCs w:val="21"/>
          <w:highlight w:val="none"/>
        </w:rPr>
        <w:t>关于投标报价</w:t>
      </w:r>
    </w:p>
    <w:p w14:paraId="2BD1B4EA">
      <w:pPr>
        <w:pStyle w:val="92"/>
        <w:widowControl w:val="0"/>
        <w:adjustRightInd w:val="0"/>
        <w:snapToGrid w:val="0"/>
        <w:spacing w:after="200" w:line="360" w:lineRule="auto"/>
        <w:ind w:left="420" w:firstLine="0" w:firstLineChars="0"/>
        <w:rPr>
          <w:color w:val="auto"/>
          <w:szCs w:val="21"/>
          <w:highlight w:val="none"/>
        </w:rPr>
      </w:pPr>
      <w:r>
        <w:rPr>
          <w:rFonts w:hint="eastAsia"/>
          <w:color w:val="auto"/>
          <w:szCs w:val="21"/>
          <w:highlight w:val="none"/>
        </w:rPr>
        <w:t xml:space="preserve">报价方式：■自主报价  </w:t>
      </w:r>
    </w:p>
    <w:p w14:paraId="46DEA346">
      <w:pPr>
        <w:adjustRightInd w:val="0"/>
        <w:snapToGrid w:val="0"/>
        <w:spacing w:after="200" w:line="360" w:lineRule="auto"/>
        <w:ind w:firstLine="480" w:firstLineChars="200"/>
        <w:rPr>
          <w:color w:val="auto"/>
          <w:szCs w:val="21"/>
          <w:highlight w:val="none"/>
        </w:rPr>
      </w:pPr>
      <w:r>
        <w:rPr>
          <w:rFonts w:hint="eastAsia"/>
          <w:color w:val="auto"/>
          <w:szCs w:val="21"/>
          <w:highlight w:val="none"/>
        </w:rPr>
        <w:t>本项目投标报价上限暂定为人民币</w:t>
      </w:r>
      <w:r>
        <w:rPr>
          <w:rFonts w:hint="eastAsia"/>
          <w:b/>
          <w:color w:val="auto"/>
          <w:szCs w:val="21"/>
          <w:highlight w:val="none"/>
        </w:rPr>
        <w:t>39.48</w:t>
      </w:r>
      <w:r>
        <w:rPr>
          <w:rFonts w:hint="eastAsia"/>
          <w:color w:val="auto"/>
          <w:szCs w:val="21"/>
          <w:highlight w:val="none"/>
        </w:rPr>
        <w:t>万元，本项目采用自主报价，合同总价包干，下浮率范围为≥</w:t>
      </w:r>
      <w:r>
        <w:rPr>
          <w:color w:val="auto"/>
          <w:szCs w:val="21"/>
          <w:highlight w:val="none"/>
        </w:rPr>
        <w:t>0%，投标人仅报相对招标估价折算下浮率和投标报价。</w:t>
      </w:r>
      <w:r>
        <w:rPr>
          <w:rFonts w:hint="eastAsia"/>
          <w:color w:val="auto"/>
          <w:szCs w:val="21"/>
          <w:highlight w:val="none"/>
        </w:rPr>
        <w:t>未按要求报价的，开标阶段其投标文件不予受理。最终结算价以造价站最终审定价格为准。</w:t>
      </w:r>
    </w:p>
    <w:p w14:paraId="74AD72C1">
      <w:pPr>
        <w:pStyle w:val="92"/>
        <w:widowControl w:val="0"/>
        <w:numPr>
          <w:ilvl w:val="0"/>
          <w:numId w:val="1"/>
        </w:numPr>
        <w:adjustRightInd w:val="0"/>
        <w:snapToGrid w:val="0"/>
        <w:spacing w:after="200" w:line="360" w:lineRule="auto"/>
        <w:rPr>
          <w:color w:val="auto"/>
          <w:szCs w:val="21"/>
          <w:highlight w:val="none"/>
        </w:rPr>
      </w:pPr>
      <w:r>
        <w:rPr>
          <w:rFonts w:hint="eastAsia"/>
          <w:color w:val="auto"/>
          <w:szCs w:val="21"/>
          <w:highlight w:val="none"/>
        </w:rPr>
        <w:t>定标委员会组成人员：</w:t>
      </w:r>
    </w:p>
    <w:p w14:paraId="07983710">
      <w:pPr>
        <w:pStyle w:val="92"/>
        <w:widowControl w:val="0"/>
        <w:tabs>
          <w:tab w:val="left" w:pos="0"/>
        </w:tabs>
        <w:adjustRightInd w:val="0"/>
        <w:snapToGrid w:val="0"/>
        <w:spacing w:after="200" w:line="360" w:lineRule="auto"/>
        <w:ind w:firstLine="480"/>
        <w:rPr>
          <w:color w:val="auto"/>
          <w:szCs w:val="21"/>
          <w:highlight w:val="none"/>
        </w:rPr>
      </w:pPr>
      <w:r>
        <w:rPr>
          <w:rFonts w:hint="eastAsia"/>
          <w:color w:val="auto"/>
          <w:szCs w:val="21"/>
          <w:highlight w:val="none"/>
        </w:rPr>
        <w:t>本项目定标委员会由建设单位（深圳市南山区水务局）抽取定标专家和代建单位定标专家共同组建，其中建设单位（深圳市南山区水务局）抽取专家4人，代建单位抽取专家3人。</w:t>
      </w:r>
    </w:p>
    <w:p w14:paraId="1867471F">
      <w:pPr>
        <w:pStyle w:val="92"/>
        <w:widowControl w:val="0"/>
        <w:tabs>
          <w:tab w:val="left" w:pos="0"/>
        </w:tabs>
        <w:adjustRightInd w:val="0"/>
        <w:snapToGrid w:val="0"/>
        <w:spacing w:after="200" w:line="360" w:lineRule="auto"/>
        <w:ind w:firstLine="480"/>
        <w:rPr>
          <w:color w:val="auto"/>
          <w:szCs w:val="21"/>
          <w:highlight w:val="none"/>
        </w:rPr>
      </w:pPr>
      <w:r>
        <w:rPr>
          <w:rFonts w:hint="eastAsia"/>
          <w:color w:val="auto"/>
          <w:szCs w:val="21"/>
          <w:highlight w:val="none"/>
        </w:rPr>
        <w:t>监督小组由建设单位（深圳市南山区水务局）委派1名成员和代建单位委派2名成员共同组建3名成员，监督小组对定标全过程进行监督，按相关规定参与定标会监督工作。</w:t>
      </w:r>
    </w:p>
    <w:p w14:paraId="70413940">
      <w:pPr>
        <w:pStyle w:val="92"/>
        <w:widowControl w:val="0"/>
        <w:numPr>
          <w:ilvl w:val="0"/>
          <w:numId w:val="1"/>
        </w:numPr>
        <w:adjustRightInd w:val="0"/>
        <w:snapToGrid w:val="0"/>
        <w:spacing w:after="200" w:line="360" w:lineRule="auto"/>
        <w:rPr>
          <w:color w:val="auto"/>
          <w:szCs w:val="21"/>
          <w:highlight w:val="none"/>
        </w:rPr>
      </w:pPr>
      <w:r>
        <w:rPr>
          <w:rFonts w:hint="eastAsia"/>
          <w:color w:val="auto"/>
          <w:szCs w:val="21"/>
          <w:highlight w:val="none"/>
        </w:rPr>
        <w:t>中标候选人在中标公示期间应提供投标所需相关资料原件备查。</w:t>
      </w:r>
    </w:p>
    <w:p w14:paraId="4A2C662A">
      <w:pPr>
        <w:pStyle w:val="92"/>
        <w:widowControl w:val="0"/>
        <w:numPr>
          <w:ilvl w:val="0"/>
          <w:numId w:val="1"/>
        </w:numPr>
        <w:adjustRightInd w:val="0"/>
        <w:snapToGrid w:val="0"/>
        <w:spacing w:after="200" w:line="360" w:lineRule="auto"/>
        <w:rPr>
          <w:color w:val="auto"/>
          <w:szCs w:val="21"/>
          <w:highlight w:val="none"/>
        </w:rPr>
      </w:pPr>
      <w:r>
        <w:rPr>
          <w:rFonts w:hint="eastAsia"/>
          <w:color w:val="auto"/>
          <w:szCs w:val="21"/>
          <w:highlight w:val="none"/>
        </w:rPr>
        <w:t>由于项目行政审批等原因导致的投资、规模等条件发生变化（增减工程）及项目无法实施，中标人必须无条件接受，且不得向招标人索赔任何费用。</w:t>
      </w:r>
    </w:p>
    <w:p w14:paraId="64ABA8E0">
      <w:pPr>
        <w:pStyle w:val="92"/>
        <w:widowControl w:val="0"/>
        <w:numPr>
          <w:ilvl w:val="0"/>
          <w:numId w:val="1"/>
        </w:numPr>
        <w:adjustRightInd w:val="0"/>
        <w:snapToGrid w:val="0"/>
        <w:spacing w:after="200" w:line="360" w:lineRule="auto"/>
        <w:rPr>
          <w:color w:val="auto"/>
          <w:szCs w:val="21"/>
          <w:highlight w:val="none"/>
        </w:rPr>
      </w:pPr>
      <w:r>
        <w:rPr>
          <w:rFonts w:hint="eastAsia"/>
          <w:color w:val="auto"/>
          <w:szCs w:val="21"/>
          <w:highlight w:val="none"/>
        </w:rPr>
        <w:t>中标单位需在合同签订前提供详细的工期计划，经招标人同意后列入合同条款。</w:t>
      </w:r>
    </w:p>
    <w:p w14:paraId="34F27A0A">
      <w:pPr>
        <w:pStyle w:val="92"/>
        <w:widowControl w:val="0"/>
        <w:numPr>
          <w:ilvl w:val="0"/>
          <w:numId w:val="1"/>
        </w:numPr>
        <w:adjustRightInd w:val="0"/>
        <w:snapToGrid w:val="0"/>
        <w:spacing w:after="200" w:line="360" w:lineRule="auto"/>
        <w:rPr>
          <w:color w:val="auto"/>
          <w:szCs w:val="21"/>
          <w:highlight w:val="none"/>
        </w:rPr>
      </w:pPr>
      <w:r>
        <w:rPr>
          <w:rFonts w:hint="eastAsia"/>
          <w:color w:val="auto"/>
          <w:szCs w:val="21"/>
          <w:highlight w:val="none"/>
        </w:rPr>
        <w:t>本工程的视频成果文件效果，需达到招标人及建设单位要求的宣传要求，并作为履约评价考核的重要影响因素之一。</w:t>
      </w:r>
    </w:p>
    <w:p w14:paraId="6732991C">
      <w:pPr>
        <w:pStyle w:val="92"/>
        <w:widowControl w:val="0"/>
        <w:numPr>
          <w:ilvl w:val="0"/>
          <w:numId w:val="1"/>
        </w:numPr>
        <w:adjustRightInd w:val="0"/>
        <w:snapToGrid w:val="0"/>
        <w:spacing w:after="200" w:line="360" w:lineRule="auto"/>
        <w:rPr>
          <w:color w:val="auto"/>
          <w:szCs w:val="21"/>
          <w:highlight w:val="none"/>
        </w:rPr>
      </w:pPr>
      <w:r>
        <w:rPr>
          <w:rFonts w:hint="eastAsia"/>
          <w:color w:val="auto"/>
          <w:szCs w:val="21"/>
          <w:highlight w:val="none"/>
        </w:rPr>
        <w:t>本标段需要中标人支付、垫付的相关费用：</w:t>
      </w:r>
    </w:p>
    <w:p w14:paraId="4C1DA2DA">
      <w:pPr>
        <w:adjustRightInd w:val="0"/>
        <w:snapToGrid w:val="0"/>
        <w:spacing w:after="200" w:line="360" w:lineRule="auto"/>
        <w:ind w:firstLine="720" w:firstLineChars="300"/>
        <w:rPr>
          <w:color w:val="auto"/>
          <w:szCs w:val="21"/>
          <w:highlight w:val="none"/>
        </w:rPr>
      </w:pPr>
      <w:r>
        <w:rPr>
          <w:rFonts w:hint="eastAsia"/>
          <w:color w:val="auto"/>
          <w:szCs w:val="21"/>
          <w:highlight w:val="none"/>
        </w:rPr>
        <w:t>本项目的定标专家费和交通费、餐费等（前述列举的费用均无发票）由中标人支付，投标人投标报价时应考虑上述服务费用，招标人不再另行支付。定标专家费、交通费、餐费等由招标代理机构工作人员先行垫支，中标人应在中标公示结束后3天内，并在签发中标通知书之前支付给招标代理机构工作人员。</w:t>
      </w:r>
    </w:p>
    <w:p w14:paraId="187FC55C">
      <w:pPr>
        <w:pStyle w:val="92"/>
        <w:widowControl w:val="0"/>
        <w:numPr>
          <w:ilvl w:val="0"/>
          <w:numId w:val="1"/>
        </w:numPr>
        <w:adjustRightInd w:val="0"/>
        <w:snapToGrid w:val="0"/>
        <w:spacing w:after="200" w:line="360" w:lineRule="auto"/>
        <w:rPr>
          <w:color w:val="auto"/>
          <w:szCs w:val="21"/>
          <w:highlight w:val="none"/>
        </w:rPr>
      </w:pPr>
      <w:r>
        <w:rPr>
          <w:rFonts w:hint="eastAsia"/>
          <w:color w:val="auto"/>
          <w:szCs w:val="21"/>
          <w:highlight w:val="none"/>
        </w:rPr>
        <w:t>本项目不进行评标，招标文件中评标相关内容均不适用。无评标专家推荐环节。</w:t>
      </w:r>
    </w:p>
    <w:p w14:paraId="7296BE8D">
      <w:pPr>
        <w:pStyle w:val="92"/>
        <w:widowControl w:val="0"/>
        <w:numPr>
          <w:ilvl w:val="0"/>
          <w:numId w:val="1"/>
        </w:numPr>
        <w:adjustRightInd w:val="0"/>
        <w:snapToGrid w:val="0"/>
        <w:spacing w:after="200" w:line="360" w:lineRule="auto"/>
        <w:rPr>
          <w:color w:val="auto"/>
          <w:szCs w:val="21"/>
          <w:highlight w:val="none"/>
        </w:rPr>
      </w:pPr>
      <w:r>
        <w:rPr>
          <w:rFonts w:hint="eastAsia"/>
          <w:color w:val="auto"/>
          <w:szCs w:val="21"/>
          <w:highlight w:val="none"/>
        </w:rPr>
        <w:t>本项目定标择优要素为：（1）投标人同类工程业绩情况；（2）拟派项目负责人业绩情况；（3）投标人获奖情况；（4）投标人履约评价情况；（5）企业综合实力等。</w:t>
      </w:r>
    </w:p>
    <w:p w14:paraId="2AF7F9F4">
      <w:pPr>
        <w:widowControl w:val="0"/>
        <w:topLinePunct/>
        <w:adjustRightInd w:val="0"/>
        <w:snapToGrid w:val="0"/>
        <w:spacing w:line="360" w:lineRule="auto"/>
        <w:ind w:firstLine="480" w:firstLineChars="200"/>
        <w:jc w:val="both"/>
        <w:rPr>
          <w:color w:val="auto"/>
          <w:szCs w:val="21"/>
          <w:highlight w:val="none"/>
        </w:rPr>
      </w:pPr>
      <w:r>
        <w:rPr>
          <w:rFonts w:hint="eastAsia"/>
          <w:color w:val="auto"/>
          <w:szCs w:val="21"/>
          <w:highlight w:val="none"/>
        </w:rPr>
        <w:t>同等条件下，招标人可以优先考虑投标人服务便利度、合同稳定性、质量安全保障性等因素。</w:t>
      </w:r>
    </w:p>
    <w:p w14:paraId="48EC7B09">
      <w:pPr>
        <w:pStyle w:val="92"/>
        <w:widowControl w:val="0"/>
        <w:numPr>
          <w:ilvl w:val="0"/>
          <w:numId w:val="1"/>
        </w:numPr>
        <w:adjustRightInd w:val="0"/>
        <w:snapToGrid w:val="0"/>
        <w:spacing w:after="200" w:line="360" w:lineRule="auto"/>
        <w:rPr>
          <w:color w:val="auto"/>
          <w:szCs w:val="21"/>
          <w:highlight w:val="none"/>
        </w:rPr>
      </w:pPr>
      <w:r>
        <w:rPr>
          <w:rFonts w:hint="eastAsia"/>
          <w:color w:val="auto"/>
          <w:szCs w:val="21"/>
          <w:highlight w:val="none"/>
        </w:rPr>
        <w:t>本项目建设单位为：深圳市南山区水务局，联系人：李悦，联系电话：</w:t>
      </w:r>
      <w:r>
        <w:rPr>
          <w:rFonts w:hint="eastAsia"/>
          <w:color w:val="auto"/>
          <w:szCs w:val="21"/>
          <w:highlight w:val="none"/>
          <w:lang w:val="en-US" w:eastAsia="zh-CN"/>
        </w:rPr>
        <w:t>26411153</w:t>
      </w:r>
      <w:r>
        <w:rPr>
          <w:rFonts w:hint="eastAsia"/>
          <w:color w:val="auto"/>
          <w:szCs w:val="21"/>
          <w:highlight w:val="none"/>
        </w:rPr>
        <w:t>。</w:t>
      </w:r>
    </w:p>
    <w:p w14:paraId="675A7948">
      <w:pPr>
        <w:pStyle w:val="92"/>
        <w:widowControl w:val="0"/>
        <w:numPr>
          <w:ilvl w:val="0"/>
          <w:numId w:val="1"/>
        </w:numPr>
        <w:adjustRightInd w:val="0"/>
        <w:snapToGrid w:val="0"/>
        <w:spacing w:after="200" w:line="360" w:lineRule="auto"/>
        <w:rPr>
          <w:color w:val="auto"/>
          <w:szCs w:val="21"/>
          <w:highlight w:val="none"/>
        </w:rPr>
      </w:pPr>
      <w:r>
        <w:rPr>
          <w:rFonts w:hint="eastAsia"/>
          <w:color w:val="auto"/>
          <w:szCs w:val="21"/>
          <w:highlight w:val="none"/>
        </w:rPr>
        <w:t>本项目不要求投标担保和履约担保，不提供支付担保。</w:t>
      </w:r>
    </w:p>
    <w:p w14:paraId="707479DE">
      <w:pPr>
        <w:pStyle w:val="92"/>
        <w:widowControl w:val="0"/>
        <w:numPr>
          <w:ilvl w:val="0"/>
          <w:numId w:val="1"/>
        </w:numPr>
        <w:adjustRightInd w:val="0"/>
        <w:snapToGrid w:val="0"/>
        <w:spacing w:after="200" w:line="360" w:lineRule="auto"/>
        <w:rPr>
          <w:color w:val="auto"/>
          <w:szCs w:val="21"/>
          <w:highlight w:val="none"/>
        </w:rPr>
      </w:pPr>
      <w:r>
        <w:rPr>
          <w:color w:val="auto"/>
          <w:szCs w:val="21"/>
          <w:highlight w:val="none"/>
        </w:rPr>
        <w:t>中标单位需在合同签订前提供详细的工期计划，经招标人同意后列入合同条款。</w:t>
      </w:r>
    </w:p>
    <w:p w14:paraId="74059413">
      <w:pPr>
        <w:pStyle w:val="92"/>
        <w:widowControl w:val="0"/>
        <w:numPr>
          <w:ilvl w:val="0"/>
          <w:numId w:val="1"/>
        </w:numPr>
        <w:adjustRightInd w:val="0"/>
        <w:snapToGrid w:val="0"/>
        <w:spacing w:after="200" w:line="360" w:lineRule="auto"/>
        <w:rPr>
          <w:color w:val="auto"/>
          <w:szCs w:val="21"/>
          <w:highlight w:val="none"/>
        </w:rPr>
      </w:pPr>
      <w:r>
        <w:rPr>
          <w:rFonts w:hint="eastAsia"/>
          <w:color w:val="auto"/>
          <w:szCs w:val="21"/>
          <w:highlight w:val="none"/>
        </w:rPr>
        <w:t>为响应（深建市场[2016]5号）深圳市住房和建设局关于印发《建设工程招标文件定性评审要素设置规则》的通知，本招标文件资信标不做评审（评价或评级），但要求投标人认真响应资信要素各项内容。资信要素编制要求：投标人按资信标要求一览表顺序自行提供证明材料。</w:t>
      </w:r>
    </w:p>
    <w:p w14:paraId="489728D0">
      <w:pPr>
        <w:pStyle w:val="92"/>
        <w:widowControl w:val="0"/>
        <w:numPr>
          <w:ilvl w:val="0"/>
          <w:numId w:val="1"/>
        </w:numPr>
        <w:adjustRightInd w:val="0"/>
        <w:snapToGrid w:val="0"/>
        <w:spacing w:after="200" w:line="360" w:lineRule="auto"/>
        <w:rPr>
          <w:color w:val="auto"/>
          <w:szCs w:val="21"/>
          <w:highlight w:val="none"/>
        </w:rPr>
      </w:pPr>
      <w:r>
        <w:rPr>
          <w:rFonts w:hint="eastAsia"/>
          <w:color w:val="auto"/>
          <w:szCs w:val="21"/>
          <w:highlight w:val="none"/>
        </w:rPr>
        <w:t>为提高工作效率，方便招标人整理汇总各投标人资信信息，投标人在根据《资信标要求一览表》编制业绩文件时，应参照下述相关格式编制表格及提供有关证明资料，并建议投标人用红色框或红色箭头在证明材料中标注关键信息。未按要求提供的，招标人可不予统计资信信息。投标人应遵循诚实信用原则，存在弄虚作假或隐瞒违规事实参与投标的行为，一经查实，将按相关规定处理。</w:t>
      </w:r>
    </w:p>
    <w:p w14:paraId="6F9BD9DB">
      <w:pPr>
        <w:pStyle w:val="92"/>
        <w:widowControl w:val="0"/>
        <w:adjustRightInd w:val="0"/>
        <w:snapToGrid w:val="0"/>
        <w:spacing w:after="200" w:line="360" w:lineRule="auto"/>
        <w:ind w:left="420" w:firstLine="0" w:firstLineChars="0"/>
        <w:jc w:val="center"/>
        <w:rPr>
          <w:b/>
          <w:color w:val="auto"/>
          <w:sz w:val="36"/>
          <w:szCs w:val="21"/>
          <w:highlight w:val="none"/>
        </w:rPr>
      </w:pPr>
      <w:r>
        <w:rPr>
          <w:rFonts w:hint="eastAsia"/>
          <w:b/>
          <w:color w:val="auto"/>
          <w:sz w:val="36"/>
          <w:szCs w:val="21"/>
          <w:highlight w:val="none"/>
        </w:rPr>
        <w:t>投标人资信标情况汇总表</w:t>
      </w:r>
    </w:p>
    <w:tbl>
      <w:tblPr>
        <w:tblStyle w:val="39"/>
        <w:tblW w:w="4658"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41"/>
        <w:gridCol w:w="90"/>
        <w:gridCol w:w="1407"/>
        <w:gridCol w:w="152"/>
        <w:gridCol w:w="597"/>
        <w:gridCol w:w="810"/>
        <w:gridCol w:w="445"/>
        <w:gridCol w:w="315"/>
        <w:gridCol w:w="306"/>
        <w:gridCol w:w="282"/>
        <w:gridCol w:w="592"/>
        <w:gridCol w:w="142"/>
        <w:gridCol w:w="765"/>
        <w:gridCol w:w="220"/>
        <w:gridCol w:w="173"/>
        <w:gridCol w:w="469"/>
        <w:gridCol w:w="428"/>
        <w:gridCol w:w="820"/>
      </w:tblGrid>
      <w:tr w14:paraId="6CEC24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7" w:hRule="atLeast"/>
        </w:trPr>
        <w:tc>
          <w:tcPr>
            <w:tcW w:w="5000" w:type="pct"/>
            <w:gridSpan w:val="18"/>
          </w:tcPr>
          <w:p w14:paraId="58DA92FD">
            <w:pPr>
              <w:pStyle w:val="97"/>
              <w:adjustRightInd w:val="0"/>
              <w:snapToGrid w:val="0"/>
              <w:spacing w:after="200"/>
              <w:ind w:firstLine="495" w:firstLineChars="235"/>
              <w:jc w:val="center"/>
              <w:rPr>
                <w:rFonts w:ascii="宋体" w:hAnsi="宋体"/>
                <w:b/>
                <w:snapToGrid w:val="0"/>
                <w:color w:val="auto"/>
                <w:szCs w:val="21"/>
                <w:highlight w:val="none"/>
              </w:rPr>
            </w:pPr>
            <w:r>
              <w:rPr>
                <w:rFonts w:hint="eastAsia" w:ascii="宋体" w:hAnsi="宋体"/>
                <w:b/>
                <w:snapToGrid w:val="0"/>
                <w:color w:val="auto"/>
                <w:szCs w:val="21"/>
                <w:highlight w:val="none"/>
              </w:rPr>
              <w:t>投标人综合实力情况</w:t>
            </w:r>
          </w:p>
        </w:tc>
      </w:tr>
      <w:tr w14:paraId="02C16B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7" w:hRule="atLeast"/>
        </w:trPr>
        <w:tc>
          <w:tcPr>
            <w:tcW w:w="1235" w:type="pct"/>
            <w:gridSpan w:val="3"/>
            <w:vAlign w:val="center"/>
          </w:tcPr>
          <w:p w14:paraId="1D863C84">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投标人企业名称</w:t>
            </w:r>
          </w:p>
        </w:tc>
        <w:tc>
          <w:tcPr>
            <w:tcW w:w="1340" w:type="pct"/>
            <w:gridSpan w:val="5"/>
            <w:vAlign w:val="center"/>
          </w:tcPr>
          <w:p w14:paraId="26731D1D">
            <w:pPr>
              <w:pStyle w:val="97"/>
              <w:adjustRightInd w:val="0"/>
              <w:snapToGrid w:val="0"/>
              <w:spacing w:after="200"/>
              <w:ind w:firstLine="493" w:firstLineChars="235"/>
              <w:jc w:val="center"/>
              <w:rPr>
                <w:rFonts w:ascii="宋体" w:hAnsi="宋体"/>
                <w:snapToGrid w:val="0"/>
                <w:color w:val="auto"/>
                <w:szCs w:val="21"/>
                <w:highlight w:val="none"/>
              </w:rPr>
            </w:pPr>
          </w:p>
        </w:tc>
        <w:tc>
          <w:tcPr>
            <w:tcW w:w="1433" w:type="pct"/>
            <w:gridSpan w:val="7"/>
            <w:vAlign w:val="center"/>
          </w:tcPr>
          <w:p w14:paraId="5C59E6D2">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法定代表人</w:t>
            </w:r>
            <w:r>
              <w:rPr>
                <w:rFonts w:ascii="宋体" w:hAnsi="宋体"/>
                <w:snapToGrid w:val="0"/>
                <w:color w:val="auto"/>
                <w:szCs w:val="21"/>
                <w:highlight w:val="none"/>
              </w:rPr>
              <w:t>姓名</w:t>
            </w:r>
          </w:p>
        </w:tc>
        <w:tc>
          <w:tcPr>
            <w:tcW w:w="990" w:type="pct"/>
            <w:gridSpan w:val="3"/>
            <w:vAlign w:val="center"/>
          </w:tcPr>
          <w:p w14:paraId="1286CD49">
            <w:pPr>
              <w:pStyle w:val="97"/>
              <w:adjustRightInd w:val="0"/>
              <w:snapToGrid w:val="0"/>
              <w:spacing w:after="200"/>
              <w:ind w:firstLine="493" w:firstLineChars="235"/>
              <w:jc w:val="center"/>
              <w:rPr>
                <w:rFonts w:ascii="宋体" w:hAnsi="宋体"/>
                <w:snapToGrid w:val="0"/>
                <w:color w:val="auto"/>
                <w:szCs w:val="21"/>
                <w:highlight w:val="none"/>
              </w:rPr>
            </w:pPr>
          </w:p>
        </w:tc>
      </w:tr>
      <w:tr w14:paraId="66A205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35" w:hRule="atLeast"/>
        </w:trPr>
        <w:tc>
          <w:tcPr>
            <w:tcW w:w="1235" w:type="pct"/>
            <w:gridSpan w:val="3"/>
            <w:vAlign w:val="center"/>
          </w:tcPr>
          <w:p w14:paraId="1C0C8537">
            <w:pPr>
              <w:pStyle w:val="97"/>
              <w:adjustRightInd w:val="0"/>
              <w:snapToGrid w:val="0"/>
              <w:spacing w:after="200"/>
              <w:jc w:val="center"/>
              <w:rPr>
                <w:rFonts w:ascii="宋体" w:hAnsi="宋体" w:cs="Courier New"/>
                <w:bCs/>
                <w:snapToGrid w:val="0"/>
                <w:color w:val="auto"/>
                <w:szCs w:val="21"/>
                <w:highlight w:val="none"/>
              </w:rPr>
            </w:pPr>
            <w:r>
              <w:rPr>
                <w:rFonts w:hint="eastAsia" w:ascii="宋体" w:hAnsi="宋体" w:cs="Courier New"/>
                <w:bCs/>
                <w:snapToGrid w:val="0"/>
                <w:color w:val="auto"/>
                <w:szCs w:val="21"/>
                <w:highlight w:val="none"/>
              </w:rPr>
              <w:t>企业注册地</w:t>
            </w:r>
          </w:p>
        </w:tc>
        <w:tc>
          <w:tcPr>
            <w:tcW w:w="1340" w:type="pct"/>
            <w:gridSpan w:val="5"/>
            <w:vAlign w:val="center"/>
          </w:tcPr>
          <w:p w14:paraId="14A635B9">
            <w:pPr>
              <w:pStyle w:val="97"/>
              <w:adjustRightInd w:val="0"/>
              <w:snapToGrid w:val="0"/>
              <w:spacing w:after="200"/>
              <w:ind w:firstLine="493" w:firstLineChars="235"/>
              <w:jc w:val="center"/>
              <w:rPr>
                <w:rFonts w:ascii="宋体" w:hAnsi="宋体"/>
                <w:snapToGrid w:val="0"/>
                <w:color w:val="auto"/>
                <w:szCs w:val="21"/>
                <w:highlight w:val="none"/>
              </w:rPr>
            </w:pPr>
          </w:p>
        </w:tc>
        <w:tc>
          <w:tcPr>
            <w:tcW w:w="1433" w:type="pct"/>
            <w:gridSpan w:val="7"/>
            <w:vAlign w:val="center"/>
          </w:tcPr>
          <w:p w14:paraId="4A9521AC">
            <w:pPr>
              <w:pStyle w:val="97"/>
              <w:adjustRightInd w:val="0"/>
              <w:snapToGrid w:val="0"/>
              <w:spacing w:after="200"/>
              <w:jc w:val="center"/>
              <w:rPr>
                <w:rFonts w:ascii="宋体" w:hAnsi="宋体" w:cs="Courier New"/>
                <w:bCs/>
                <w:snapToGrid w:val="0"/>
                <w:color w:val="auto"/>
                <w:szCs w:val="21"/>
                <w:highlight w:val="none"/>
              </w:rPr>
            </w:pPr>
            <w:r>
              <w:rPr>
                <w:rFonts w:hint="eastAsia" w:ascii="宋体" w:hAnsi="宋体" w:cs="Courier New"/>
                <w:bCs/>
                <w:snapToGrid w:val="0"/>
                <w:color w:val="auto"/>
                <w:szCs w:val="21"/>
                <w:highlight w:val="none"/>
              </w:rPr>
              <w:t>固定办公场所</w:t>
            </w:r>
          </w:p>
          <w:p w14:paraId="2483C7B9">
            <w:pPr>
              <w:pStyle w:val="97"/>
              <w:adjustRightInd w:val="0"/>
              <w:snapToGrid w:val="0"/>
              <w:spacing w:after="200"/>
              <w:jc w:val="center"/>
              <w:rPr>
                <w:rFonts w:ascii="宋体" w:hAnsi="宋体" w:cs="Courier New"/>
                <w:bCs/>
                <w:snapToGrid w:val="0"/>
                <w:color w:val="auto"/>
                <w:szCs w:val="21"/>
                <w:highlight w:val="none"/>
              </w:rPr>
            </w:pPr>
            <w:r>
              <w:rPr>
                <w:rFonts w:hint="eastAsia" w:ascii="宋体" w:hAnsi="宋体" w:cs="Courier New"/>
                <w:bCs/>
                <w:snapToGrid w:val="0"/>
                <w:color w:val="auto"/>
                <w:szCs w:val="21"/>
                <w:highlight w:val="none"/>
              </w:rPr>
              <w:t>（深圳市内）</w:t>
            </w:r>
          </w:p>
        </w:tc>
        <w:tc>
          <w:tcPr>
            <w:tcW w:w="990" w:type="pct"/>
            <w:gridSpan w:val="3"/>
            <w:vAlign w:val="center"/>
          </w:tcPr>
          <w:p w14:paraId="4038A467">
            <w:pPr>
              <w:pStyle w:val="97"/>
              <w:adjustRightInd w:val="0"/>
              <w:snapToGrid w:val="0"/>
              <w:spacing w:after="200"/>
              <w:ind w:firstLine="493" w:firstLineChars="235"/>
              <w:jc w:val="center"/>
              <w:rPr>
                <w:rFonts w:ascii="宋体" w:hAnsi="宋体"/>
                <w:snapToGrid w:val="0"/>
                <w:color w:val="auto"/>
                <w:szCs w:val="21"/>
                <w:highlight w:val="none"/>
              </w:rPr>
            </w:pPr>
          </w:p>
        </w:tc>
      </w:tr>
      <w:tr w14:paraId="651885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35" w:hRule="atLeast"/>
        </w:trPr>
        <w:tc>
          <w:tcPr>
            <w:tcW w:w="1235" w:type="pct"/>
            <w:gridSpan w:val="3"/>
            <w:vAlign w:val="center"/>
          </w:tcPr>
          <w:p w14:paraId="6AF23B3E">
            <w:pPr>
              <w:pStyle w:val="97"/>
              <w:adjustRightInd w:val="0"/>
              <w:snapToGrid w:val="0"/>
              <w:spacing w:after="200"/>
              <w:jc w:val="center"/>
              <w:rPr>
                <w:rFonts w:ascii="宋体" w:hAnsi="宋体" w:cs="Courier New"/>
                <w:bCs/>
                <w:snapToGrid w:val="0"/>
                <w:color w:val="auto"/>
                <w:szCs w:val="21"/>
                <w:highlight w:val="none"/>
              </w:rPr>
            </w:pPr>
            <w:r>
              <w:rPr>
                <w:rFonts w:hint="eastAsia" w:ascii="宋体" w:hAnsi="宋体" w:cs="Courier New"/>
                <w:bCs/>
                <w:snapToGrid w:val="0"/>
                <w:color w:val="auto"/>
                <w:szCs w:val="21"/>
                <w:highlight w:val="none"/>
              </w:rPr>
              <w:t>企业注册资金</w:t>
            </w:r>
          </w:p>
        </w:tc>
        <w:tc>
          <w:tcPr>
            <w:tcW w:w="1340" w:type="pct"/>
            <w:gridSpan w:val="5"/>
            <w:vAlign w:val="center"/>
          </w:tcPr>
          <w:p w14:paraId="2FB1C3BE">
            <w:pPr>
              <w:pStyle w:val="97"/>
              <w:adjustRightInd w:val="0"/>
              <w:snapToGrid w:val="0"/>
              <w:spacing w:after="200"/>
              <w:jc w:val="center"/>
              <w:rPr>
                <w:rFonts w:ascii="宋体" w:hAnsi="宋体" w:cs="Courier New"/>
                <w:bCs/>
                <w:snapToGrid w:val="0"/>
                <w:color w:val="auto"/>
                <w:szCs w:val="21"/>
                <w:highlight w:val="none"/>
              </w:rPr>
            </w:pPr>
          </w:p>
        </w:tc>
        <w:tc>
          <w:tcPr>
            <w:tcW w:w="1433" w:type="pct"/>
            <w:gridSpan w:val="7"/>
            <w:vAlign w:val="center"/>
          </w:tcPr>
          <w:p w14:paraId="7133DFD0">
            <w:pPr>
              <w:pStyle w:val="97"/>
              <w:adjustRightInd w:val="0"/>
              <w:snapToGrid w:val="0"/>
              <w:spacing w:after="200"/>
              <w:jc w:val="center"/>
              <w:rPr>
                <w:rFonts w:ascii="宋体" w:hAnsi="宋体" w:cs="Courier New"/>
                <w:bCs/>
                <w:snapToGrid w:val="0"/>
                <w:color w:val="auto"/>
                <w:szCs w:val="21"/>
                <w:highlight w:val="none"/>
              </w:rPr>
            </w:pPr>
            <w:r>
              <w:rPr>
                <w:rFonts w:hint="eastAsia" w:ascii="宋体" w:hAnsi="宋体" w:cs="Courier New"/>
                <w:bCs/>
                <w:snapToGrid w:val="0"/>
                <w:color w:val="auto"/>
                <w:szCs w:val="21"/>
                <w:highlight w:val="none"/>
              </w:rPr>
              <w:t>企业经营性质</w:t>
            </w:r>
          </w:p>
        </w:tc>
        <w:tc>
          <w:tcPr>
            <w:tcW w:w="990" w:type="pct"/>
            <w:gridSpan w:val="3"/>
            <w:vAlign w:val="center"/>
          </w:tcPr>
          <w:p w14:paraId="19D30AF8">
            <w:pPr>
              <w:pStyle w:val="97"/>
              <w:adjustRightInd w:val="0"/>
              <w:snapToGrid w:val="0"/>
              <w:spacing w:after="200"/>
              <w:jc w:val="center"/>
              <w:rPr>
                <w:rFonts w:ascii="宋体" w:hAnsi="宋体" w:cs="Courier New"/>
                <w:bCs/>
                <w:snapToGrid w:val="0"/>
                <w:color w:val="auto"/>
                <w:szCs w:val="21"/>
                <w:highlight w:val="none"/>
              </w:rPr>
            </w:pPr>
          </w:p>
        </w:tc>
      </w:tr>
      <w:tr w14:paraId="025012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35" w:hRule="atLeast"/>
        </w:trPr>
        <w:tc>
          <w:tcPr>
            <w:tcW w:w="1235" w:type="pct"/>
            <w:gridSpan w:val="3"/>
            <w:vAlign w:val="center"/>
          </w:tcPr>
          <w:p w14:paraId="1F4C5CDA">
            <w:pPr>
              <w:pStyle w:val="97"/>
              <w:adjustRightInd w:val="0"/>
              <w:snapToGrid w:val="0"/>
              <w:spacing w:after="200"/>
              <w:jc w:val="center"/>
              <w:rPr>
                <w:rFonts w:ascii="宋体" w:hAnsi="宋体" w:cs="Courier New"/>
                <w:bCs/>
                <w:snapToGrid w:val="0"/>
                <w:color w:val="auto"/>
                <w:szCs w:val="21"/>
                <w:highlight w:val="none"/>
              </w:rPr>
            </w:pPr>
            <w:r>
              <w:rPr>
                <w:rFonts w:ascii="宋体" w:hAnsi="宋体" w:cs="Courier New"/>
                <w:bCs/>
                <w:snapToGrid w:val="0"/>
                <w:color w:val="auto"/>
                <w:szCs w:val="21"/>
                <w:highlight w:val="none"/>
              </w:rPr>
              <w:t>企业经营范围</w:t>
            </w:r>
          </w:p>
        </w:tc>
        <w:tc>
          <w:tcPr>
            <w:tcW w:w="3764" w:type="pct"/>
            <w:gridSpan w:val="15"/>
            <w:vAlign w:val="center"/>
          </w:tcPr>
          <w:p w14:paraId="4FD6E8CD">
            <w:pPr>
              <w:pStyle w:val="97"/>
              <w:adjustRightInd w:val="0"/>
              <w:snapToGrid w:val="0"/>
              <w:spacing w:after="200"/>
              <w:jc w:val="center"/>
              <w:rPr>
                <w:rFonts w:ascii="宋体" w:hAnsi="宋体" w:cs="Courier New"/>
                <w:bCs/>
                <w:snapToGrid w:val="0"/>
                <w:color w:val="auto"/>
                <w:szCs w:val="21"/>
                <w:highlight w:val="none"/>
              </w:rPr>
            </w:pPr>
          </w:p>
        </w:tc>
      </w:tr>
      <w:tr w14:paraId="1FC2DD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5000" w:type="pct"/>
            <w:gridSpan w:val="18"/>
            <w:tcBorders>
              <w:top w:val="single" w:color="auto" w:sz="2" w:space="0"/>
              <w:left w:val="single" w:color="auto" w:sz="4" w:space="0"/>
              <w:bottom w:val="single" w:color="auto" w:sz="2" w:space="0"/>
              <w:right w:val="single" w:color="auto" w:sz="4" w:space="0"/>
            </w:tcBorders>
            <w:vAlign w:val="center"/>
          </w:tcPr>
          <w:p w14:paraId="0B3F8A42">
            <w:pPr>
              <w:pStyle w:val="97"/>
              <w:adjustRightInd w:val="0"/>
              <w:snapToGrid w:val="0"/>
              <w:ind w:left="211" w:hanging="211" w:hangingChars="100"/>
              <w:jc w:val="center"/>
              <w:rPr>
                <w:rFonts w:ascii="宋体" w:hAnsi="宋体" w:cs="Courier New"/>
                <w:b/>
                <w:color w:val="auto"/>
                <w:szCs w:val="21"/>
                <w:highlight w:val="none"/>
              </w:rPr>
            </w:pPr>
            <w:r>
              <w:rPr>
                <w:rFonts w:ascii="宋体" w:hAnsi="宋体" w:cs="Courier New"/>
                <w:b/>
                <w:color w:val="auto"/>
                <w:szCs w:val="21"/>
                <w:highlight w:val="none"/>
              </w:rPr>
              <w:t>投标人财务情况</w:t>
            </w:r>
          </w:p>
        </w:tc>
      </w:tr>
      <w:tr w14:paraId="0CD7A9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323" w:type="pct"/>
            <w:gridSpan w:val="4"/>
            <w:tcBorders>
              <w:top w:val="single" w:color="auto" w:sz="2" w:space="0"/>
              <w:left w:val="single" w:color="auto" w:sz="4" w:space="0"/>
              <w:bottom w:val="single" w:color="auto" w:sz="2" w:space="0"/>
              <w:right w:val="single" w:color="auto" w:sz="4" w:space="0"/>
            </w:tcBorders>
            <w:vAlign w:val="center"/>
          </w:tcPr>
          <w:p w14:paraId="67057BD6">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财务情况</w:t>
            </w:r>
          </w:p>
        </w:tc>
        <w:tc>
          <w:tcPr>
            <w:tcW w:w="1429" w:type="pct"/>
            <w:gridSpan w:val="5"/>
            <w:tcBorders>
              <w:top w:val="single" w:color="auto" w:sz="2" w:space="0"/>
              <w:left w:val="single" w:color="auto" w:sz="4" w:space="0"/>
              <w:bottom w:val="single" w:color="auto" w:sz="2" w:space="0"/>
              <w:right w:val="single" w:color="auto" w:sz="4" w:space="0"/>
            </w:tcBorders>
            <w:vAlign w:val="center"/>
          </w:tcPr>
          <w:p w14:paraId="7AAB8855">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2019年度</w:t>
            </w:r>
          </w:p>
          <w:p w14:paraId="023C971D">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（万元）</w:t>
            </w:r>
          </w:p>
        </w:tc>
        <w:tc>
          <w:tcPr>
            <w:tcW w:w="1156" w:type="pct"/>
            <w:gridSpan w:val="5"/>
            <w:tcBorders>
              <w:top w:val="single" w:color="auto" w:sz="2" w:space="0"/>
              <w:left w:val="single" w:color="auto" w:sz="4" w:space="0"/>
              <w:bottom w:val="single" w:color="auto" w:sz="2" w:space="0"/>
              <w:right w:val="single" w:color="auto" w:sz="4" w:space="0"/>
            </w:tcBorders>
            <w:vAlign w:val="center"/>
          </w:tcPr>
          <w:p w14:paraId="60E42BD3">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2020年度</w:t>
            </w:r>
          </w:p>
          <w:p w14:paraId="4FEB3F36">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（万元）</w:t>
            </w:r>
          </w:p>
        </w:tc>
        <w:tc>
          <w:tcPr>
            <w:tcW w:w="1090" w:type="pct"/>
            <w:gridSpan w:val="4"/>
            <w:tcBorders>
              <w:top w:val="single" w:color="auto" w:sz="2" w:space="0"/>
              <w:left w:val="single" w:color="auto" w:sz="4" w:space="0"/>
              <w:bottom w:val="single" w:color="auto" w:sz="2" w:space="0"/>
              <w:right w:val="single" w:color="auto" w:sz="4" w:space="0"/>
            </w:tcBorders>
            <w:vAlign w:val="center"/>
          </w:tcPr>
          <w:p w14:paraId="3900291A">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2021年度</w:t>
            </w:r>
          </w:p>
          <w:p w14:paraId="6E1DC70C">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（万元）</w:t>
            </w:r>
          </w:p>
        </w:tc>
      </w:tr>
      <w:tr w14:paraId="5DF2F4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323" w:type="pct"/>
            <w:gridSpan w:val="4"/>
            <w:tcBorders>
              <w:top w:val="single" w:color="auto" w:sz="2" w:space="0"/>
              <w:left w:val="single" w:color="auto" w:sz="4" w:space="0"/>
              <w:bottom w:val="single" w:color="auto" w:sz="2" w:space="0"/>
              <w:right w:val="single" w:color="auto" w:sz="4" w:space="0"/>
            </w:tcBorders>
            <w:vAlign w:val="center"/>
          </w:tcPr>
          <w:p w14:paraId="2A0520F3">
            <w:pPr>
              <w:pStyle w:val="97"/>
              <w:adjustRightInd w:val="0"/>
              <w:snapToGrid w:val="0"/>
              <w:spacing w:after="200"/>
              <w:rPr>
                <w:rFonts w:ascii="宋体" w:hAnsi="宋体"/>
                <w:snapToGrid w:val="0"/>
                <w:color w:val="auto"/>
                <w:szCs w:val="21"/>
                <w:highlight w:val="none"/>
              </w:rPr>
            </w:pPr>
            <w:r>
              <w:rPr>
                <w:rFonts w:hint="eastAsia" w:ascii="宋体" w:hAnsi="宋体"/>
                <w:snapToGrid w:val="0"/>
                <w:color w:val="auto"/>
                <w:szCs w:val="21"/>
                <w:highlight w:val="none"/>
              </w:rPr>
              <w:t>营业收入</w:t>
            </w:r>
          </w:p>
        </w:tc>
        <w:tc>
          <w:tcPr>
            <w:tcW w:w="1429" w:type="pct"/>
            <w:gridSpan w:val="5"/>
            <w:tcBorders>
              <w:top w:val="single" w:color="auto" w:sz="2" w:space="0"/>
              <w:left w:val="single" w:color="auto" w:sz="4" w:space="0"/>
              <w:bottom w:val="single" w:color="auto" w:sz="2" w:space="0"/>
              <w:right w:val="single" w:color="auto" w:sz="4" w:space="0"/>
            </w:tcBorders>
            <w:vAlign w:val="center"/>
          </w:tcPr>
          <w:p w14:paraId="48835A21">
            <w:pPr>
              <w:pStyle w:val="97"/>
              <w:adjustRightInd w:val="0"/>
              <w:snapToGrid w:val="0"/>
              <w:spacing w:after="200"/>
              <w:jc w:val="center"/>
              <w:rPr>
                <w:rFonts w:ascii="宋体" w:hAnsi="宋体"/>
                <w:snapToGrid w:val="0"/>
                <w:color w:val="auto"/>
                <w:szCs w:val="21"/>
                <w:highlight w:val="none"/>
              </w:rPr>
            </w:pPr>
          </w:p>
        </w:tc>
        <w:tc>
          <w:tcPr>
            <w:tcW w:w="1156" w:type="pct"/>
            <w:gridSpan w:val="5"/>
            <w:tcBorders>
              <w:top w:val="single" w:color="auto" w:sz="2" w:space="0"/>
              <w:left w:val="single" w:color="auto" w:sz="4" w:space="0"/>
              <w:bottom w:val="single" w:color="auto" w:sz="2" w:space="0"/>
              <w:right w:val="single" w:color="auto" w:sz="4" w:space="0"/>
            </w:tcBorders>
            <w:vAlign w:val="center"/>
          </w:tcPr>
          <w:p w14:paraId="355E95A5">
            <w:pPr>
              <w:pStyle w:val="97"/>
              <w:adjustRightInd w:val="0"/>
              <w:snapToGrid w:val="0"/>
              <w:spacing w:after="200"/>
              <w:jc w:val="center"/>
              <w:rPr>
                <w:rFonts w:ascii="宋体" w:hAnsi="宋体"/>
                <w:snapToGrid w:val="0"/>
                <w:color w:val="auto"/>
                <w:szCs w:val="21"/>
                <w:highlight w:val="none"/>
              </w:rPr>
            </w:pPr>
          </w:p>
        </w:tc>
        <w:tc>
          <w:tcPr>
            <w:tcW w:w="1090" w:type="pct"/>
            <w:gridSpan w:val="4"/>
            <w:tcBorders>
              <w:top w:val="single" w:color="auto" w:sz="2" w:space="0"/>
              <w:left w:val="single" w:color="auto" w:sz="4" w:space="0"/>
              <w:bottom w:val="single" w:color="auto" w:sz="2" w:space="0"/>
              <w:right w:val="single" w:color="auto" w:sz="4" w:space="0"/>
            </w:tcBorders>
            <w:vAlign w:val="center"/>
          </w:tcPr>
          <w:p w14:paraId="76CD98C4">
            <w:pPr>
              <w:pStyle w:val="97"/>
              <w:adjustRightInd w:val="0"/>
              <w:snapToGrid w:val="0"/>
              <w:spacing w:after="200"/>
              <w:jc w:val="center"/>
              <w:rPr>
                <w:rFonts w:ascii="宋体" w:hAnsi="宋体"/>
                <w:snapToGrid w:val="0"/>
                <w:color w:val="auto"/>
                <w:szCs w:val="21"/>
                <w:highlight w:val="none"/>
              </w:rPr>
            </w:pPr>
          </w:p>
        </w:tc>
      </w:tr>
      <w:tr w14:paraId="3A57C4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323" w:type="pct"/>
            <w:gridSpan w:val="4"/>
            <w:tcBorders>
              <w:top w:val="single" w:color="auto" w:sz="2" w:space="0"/>
              <w:left w:val="single" w:color="auto" w:sz="4" w:space="0"/>
              <w:bottom w:val="single" w:color="auto" w:sz="2" w:space="0"/>
              <w:right w:val="single" w:color="auto" w:sz="4" w:space="0"/>
            </w:tcBorders>
            <w:vAlign w:val="center"/>
          </w:tcPr>
          <w:p w14:paraId="636C1936">
            <w:pPr>
              <w:pStyle w:val="97"/>
              <w:adjustRightInd w:val="0"/>
              <w:snapToGrid w:val="0"/>
              <w:spacing w:after="200"/>
              <w:rPr>
                <w:rFonts w:ascii="宋体" w:hAnsi="宋体"/>
                <w:snapToGrid w:val="0"/>
                <w:color w:val="auto"/>
                <w:szCs w:val="21"/>
                <w:highlight w:val="none"/>
              </w:rPr>
            </w:pPr>
            <w:r>
              <w:rPr>
                <w:rFonts w:hint="eastAsia" w:ascii="宋体" w:hAnsi="宋体"/>
                <w:snapToGrid w:val="0"/>
                <w:color w:val="auto"/>
                <w:szCs w:val="21"/>
                <w:highlight w:val="none"/>
              </w:rPr>
              <w:t>纳税额（深圳）</w:t>
            </w:r>
          </w:p>
        </w:tc>
        <w:tc>
          <w:tcPr>
            <w:tcW w:w="1429" w:type="pct"/>
            <w:gridSpan w:val="5"/>
            <w:tcBorders>
              <w:top w:val="single" w:color="auto" w:sz="2" w:space="0"/>
              <w:left w:val="single" w:color="auto" w:sz="4" w:space="0"/>
              <w:bottom w:val="single" w:color="auto" w:sz="2" w:space="0"/>
              <w:right w:val="single" w:color="auto" w:sz="4" w:space="0"/>
            </w:tcBorders>
            <w:vAlign w:val="center"/>
          </w:tcPr>
          <w:p w14:paraId="35791C49">
            <w:pPr>
              <w:pStyle w:val="97"/>
              <w:adjustRightInd w:val="0"/>
              <w:snapToGrid w:val="0"/>
              <w:spacing w:after="200"/>
              <w:jc w:val="center"/>
              <w:rPr>
                <w:rFonts w:ascii="宋体" w:hAnsi="宋体"/>
                <w:snapToGrid w:val="0"/>
                <w:color w:val="auto"/>
                <w:szCs w:val="21"/>
                <w:highlight w:val="none"/>
              </w:rPr>
            </w:pPr>
          </w:p>
        </w:tc>
        <w:tc>
          <w:tcPr>
            <w:tcW w:w="1156" w:type="pct"/>
            <w:gridSpan w:val="5"/>
            <w:tcBorders>
              <w:top w:val="single" w:color="auto" w:sz="2" w:space="0"/>
              <w:left w:val="single" w:color="auto" w:sz="4" w:space="0"/>
              <w:bottom w:val="single" w:color="auto" w:sz="2" w:space="0"/>
              <w:right w:val="single" w:color="auto" w:sz="4" w:space="0"/>
            </w:tcBorders>
            <w:vAlign w:val="center"/>
          </w:tcPr>
          <w:p w14:paraId="7E79CC94">
            <w:pPr>
              <w:pStyle w:val="97"/>
              <w:adjustRightInd w:val="0"/>
              <w:snapToGrid w:val="0"/>
              <w:spacing w:after="200"/>
              <w:jc w:val="center"/>
              <w:rPr>
                <w:rFonts w:ascii="宋体" w:hAnsi="宋体"/>
                <w:snapToGrid w:val="0"/>
                <w:color w:val="auto"/>
                <w:szCs w:val="21"/>
                <w:highlight w:val="none"/>
              </w:rPr>
            </w:pPr>
          </w:p>
        </w:tc>
        <w:tc>
          <w:tcPr>
            <w:tcW w:w="1090" w:type="pct"/>
            <w:gridSpan w:val="4"/>
            <w:tcBorders>
              <w:top w:val="single" w:color="auto" w:sz="2" w:space="0"/>
              <w:left w:val="single" w:color="auto" w:sz="4" w:space="0"/>
              <w:bottom w:val="single" w:color="auto" w:sz="2" w:space="0"/>
              <w:right w:val="single" w:color="auto" w:sz="4" w:space="0"/>
            </w:tcBorders>
            <w:vAlign w:val="center"/>
          </w:tcPr>
          <w:p w14:paraId="62EAEA49">
            <w:pPr>
              <w:pStyle w:val="97"/>
              <w:adjustRightInd w:val="0"/>
              <w:snapToGrid w:val="0"/>
              <w:spacing w:after="200"/>
              <w:jc w:val="center"/>
              <w:rPr>
                <w:rFonts w:ascii="宋体" w:hAnsi="宋体"/>
                <w:snapToGrid w:val="0"/>
                <w:color w:val="auto"/>
                <w:szCs w:val="21"/>
                <w:highlight w:val="none"/>
              </w:rPr>
            </w:pPr>
          </w:p>
        </w:tc>
      </w:tr>
      <w:tr w14:paraId="45107D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5000" w:type="pct"/>
            <w:gridSpan w:val="18"/>
            <w:vAlign w:val="center"/>
          </w:tcPr>
          <w:p w14:paraId="0F8E6573">
            <w:pPr>
              <w:pStyle w:val="97"/>
              <w:adjustRightInd w:val="0"/>
              <w:snapToGrid w:val="0"/>
              <w:ind w:left="211" w:hanging="211" w:hangingChars="100"/>
              <w:jc w:val="center"/>
              <w:rPr>
                <w:rFonts w:ascii="宋体" w:hAnsi="宋体" w:cs="Courier New"/>
                <w:b/>
                <w:color w:val="auto"/>
                <w:szCs w:val="21"/>
                <w:highlight w:val="none"/>
              </w:rPr>
            </w:pPr>
            <w:r>
              <w:rPr>
                <w:rFonts w:hint="eastAsia" w:ascii="宋体" w:hAnsi="宋体" w:cs="Courier New"/>
                <w:b/>
                <w:color w:val="auto"/>
                <w:szCs w:val="21"/>
                <w:highlight w:val="none"/>
              </w:rPr>
              <w:t>投标人同类业绩情况</w:t>
            </w:r>
          </w:p>
        </w:tc>
      </w:tr>
      <w:tr w14:paraId="2E83D03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4" w:hRule="atLeast"/>
        </w:trPr>
        <w:tc>
          <w:tcPr>
            <w:tcW w:w="370" w:type="pct"/>
            <w:tcBorders>
              <w:top w:val="single" w:color="auto" w:sz="6" w:space="0"/>
              <w:left w:val="single" w:color="auto" w:sz="6" w:space="0"/>
              <w:bottom w:val="single" w:color="auto" w:sz="2" w:space="0"/>
              <w:right w:val="single" w:color="auto" w:sz="2" w:space="0"/>
            </w:tcBorders>
            <w:vAlign w:val="center"/>
          </w:tcPr>
          <w:p w14:paraId="0E77543E">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序号</w:t>
            </w:r>
          </w:p>
        </w:tc>
        <w:tc>
          <w:tcPr>
            <w:tcW w:w="1766" w:type="pct"/>
            <w:gridSpan w:val="5"/>
            <w:tcBorders>
              <w:top w:val="single" w:color="auto" w:sz="6" w:space="0"/>
              <w:left w:val="single" w:color="auto" w:sz="2" w:space="0"/>
              <w:bottom w:val="single" w:color="auto" w:sz="2" w:space="0"/>
              <w:right w:val="single" w:color="auto" w:sz="2" w:space="0"/>
            </w:tcBorders>
            <w:vAlign w:val="center"/>
          </w:tcPr>
          <w:p w14:paraId="60C3BE4B">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工程项目名称</w:t>
            </w:r>
          </w:p>
        </w:tc>
        <w:tc>
          <w:tcPr>
            <w:tcW w:w="779" w:type="pct"/>
            <w:gridSpan w:val="4"/>
            <w:tcBorders>
              <w:top w:val="single" w:color="auto" w:sz="6" w:space="0"/>
              <w:left w:val="single" w:color="auto" w:sz="2" w:space="0"/>
              <w:bottom w:val="single" w:color="auto" w:sz="2" w:space="0"/>
              <w:right w:val="single" w:color="auto" w:sz="2" w:space="0"/>
            </w:tcBorders>
            <w:vAlign w:val="center"/>
          </w:tcPr>
          <w:p w14:paraId="0BC8E7BE">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合同价</w:t>
            </w:r>
          </w:p>
          <w:p w14:paraId="52D47283">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（万元）</w:t>
            </w:r>
          </w:p>
        </w:tc>
        <w:tc>
          <w:tcPr>
            <w:tcW w:w="866" w:type="pct"/>
            <w:gridSpan w:val="3"/>
            <w:tcBorders>
              <w:top w:val="single" w:color="auto" w:sz="6" w:space="0"/>
              <w:left w:val="single" w:color="auto" w:sz="2" w:space="0"/>
              <w:bottom w:val="single" w:color="auto" w:sz="4" w:space="0"/>
              <w:right w:val="single" w:color="auto" w:sz="2" w:space="0"/>
            </w:tcBorders>
            <w:vAlign w:val="center"/>
          </w:tcPr>
          <w:p w14:paraId="6121540E">
            <w:pPr>
              <w:pStyle w:val="97"/>
              <w:adjustRightInd w:val="0"/>
              <w:snapToGrid w:val="0"/>
              <w:spacing w:after="200"/>
              <w:jc w:val="center"/>
              <w:rPr>
                <w:rFonts w:ascii="宋体" w:hAnsi="宋体"/>
                <w:snapToGrid w:val="0"/>
                <w:color w:val="auto"/>
                <w:szCs w:val="21"/>
                <w:highlight w:val="none"/>
              </w:rPr>
            </w:pPr>
            <w:r>
              <w:rPr>
                <w:rFonts w:hint="eastAsia" w:ascii="宋体" w:hAnsi="宋体" w:cs="宋体"/>
                <w:snapToGrid w:val="0"/>
                <w:color w:val="auto"/>
                <w:szCs w:val="21"/>
                <w:highlight w:val="none"/>
              </w:rPr>
              <w:t>合同签订时间</w:t>
            </w:r>
          </w:p>
        </w:tc>
        <w:tc>
          <w:tcPr>
            <w:tcW w:w="745" w:type="pct"/>
            <w:gridSpan w:val="4"/>
            <w:tcBorders>
              <w:top w:val="single" w:color="auto" w:sz="6" w:space="0"/>
              <w:left w:val="single" w:color="auto" w:sz="2" w:space="0"/>
              <w:bottom w:val="single" w:color="auto" w:sz="2" w:space="0"/>
              <w:right w:val="single" w:color="auto" w:sz="2" w:space="0"/>
            </w:tcBorders>
            <w:vAlign w:val="center"/>
          </w:tcPr>
          <w:p w14:paraId="26B2990B">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获奖情况</w:t>
            </w:r>
          </w:p>
        </w:tc>
        <w:tc>
          <w:tcPr>
            <w:tcW w:w="471" w:type="pct"/>
            <w:tcBorders>
              <w:top w:val="single" w:color="auto" w:sz="6" w:space="0"/>
              <w:left w:val="single" w:color="auto" w:sz="2" w:space="0"/>
              <w:bottom w:val="single" w:color="auto" w:sz="2" w:space="0"/>
              <w:right w:val="single" w:color="auto" w:sz="2" w:space="0"/>
            </w:tcBorders>
            <w:vAlign w:val="center"/>
          </w:tcPr>
          <w:p w14:paraId="2D6BBDBD">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备注</w:t>
            </w:r>
          </w:p>
        </w:tc>
      </w:tr>
      <w:tr w14:paraId="319FB4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4" w:hRule="atLeast"/>
        </w:trPr>
        <w:tc>
          <w:tcPr>
            <w:tcW w:w="370" w:type="pct"/>
            <w:tcBorders>
              <w:top w:val="single" w:color="auto" w:sz="2" w:space="0"/>
              <w:left w:val="single" w:color="auto" w:sz="6" w:space="0"/>
              <w:bottom w:val="single" w:color="auto" w:sz="2" w:space="0"/>
              <w:right w:val="single" w:color="auto" w:sz="2" w:space="0"/>
            </w:tcBorders>
            <w:vAlign w:val="center"/>
          </w:tcPr>
          <w:p w14:paraId="65095AD2">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1</w:t>
            </w:r>
          </w:p>
        </w:tc>
        <w:tc>
          <w:tcPr>
            <w:tcW w:w="1766" w:type="pct"/>
            <w:gridSpan w:val="5"/>
            <w:tcBorders>
              <w:top w:val="single" w:color="auto" w:sz="2" w:space="0"/>
              <w:left w:val="single" w:color="auto" w:sz="2" w:space="0"/>
              <w:bottom w:val="single" w:color="auto" w:sz="2" w:space="0"/>
              <w:right w:val="single" w:color="auto" w:sz="2" w:space="0"/>
            </w:tcBorders>
            <w:vAlign w:val="center"/>
          </w:tcPr>
          <w:p w14:paraId="187327DA">
            <w:pPr>
              <w:pStyle w:val="97"/>
              <w:adjustRightInd w:val="0"/>
              <w:snapToGrid w:val="0"/>
              <w:spacing w:after="200"/>
              <w:ind w:firstLine="495" w:firstLineChars="235"/>
              <w:jc w:val="center"/>
              <w:rPr>
                <w:rFonts w:ascii="宋体" w:hAnsi="宋体"/>
                <w:b/>
                <w:snapToGrid w:val="0"/>
                <w:color w:val="auto"/>
                <w:szCs w:val="21"/>
                <w:highlight w:val="none"/>
              </w:rPr>
            </w:pPr>
          </w:p>
        </w:tc>
        <w:tc>
          <w:tcPr>
            <w:tcW w:w="779" w:type="pct"/>
            <w:gridSpan w:val="4"/>
            <w:tcBorders>
              <w:top w:val="single" w:color="auto" w:sz="2" w:space="0"/>
              <w:left w:val="single" w:color="auto" w:sz="2" w:space="0"/>
              <w:bottom w:val="single" w:color="auto" w:sz="2" w:space="0"/>
              <w:right w:val="single" w:color="auto" w:sz="2" w:space="0"/>
            </w:tcBorders>
            <w:vAlign w:val="center"/>
          </w:tcPr>
          <w:p w14:paraId="0EB04A19">
            <w:pPr>
              <w:pStyle w:val="97"/>
              <w:adjustRightInd w:val="0"/>
              <w:snapToGrid w:val="0"/>
              <w:spacing w:after="200"/>
              <w:ind w:firstLine="493" w:firstLineChars="235"/>
              <w:jc w:val="center"/>
              <w:rPr>
                <w:rFonts w:ascii="宋体" w:hAnsi="宋体"/>
                <w:snapToGrid w:val="0"/>
                <w:color w:val="auto"/>
                <w:szCs w:val="21"/>
                <w:highlight w:val="none"/>
              </w:rPr>
            </w:pPr>
          </w:p>
        </w:tc>
        <w:tc>
          <w:tcPr>
            <w:tcW w:w="866" w:type="pct"/>
            <w:gridSpan w:val="3"/>
            <w:tcBorders>
              <w:top w:val="single" w:color="auto" w:sz="4" w:space="0"/>
              <w:left w:val="single" w:color="auto" w:sz="2" w:space="0"/>
              <w:bottom w:val="single" w:color="auto" w:sz="2" w:space="0"/>
              <w:right w:val="single" w:color="auto" w:sz="2" w:space="0"/>
            </w:tcBorders>
            <w:vAlign w:val="center"/>
          </w:tcPr>
          <w:p w14:paraId="3967831F">
            <w:pPr>
              <w:pStyle w:val="97"/>
              <w:adjustRightInd w:val="0"/>
              <w:snapToGrid w:val="0"/>
              <w:spacing w:after="200"/>
              <w:ind w:firstLine="493" w:firstLineChars="235"/>
              <w:jc w:val="center"/>
              <w:rPr>
                <w:rFonts w:ascii="宋体" w:hAnsi="宋体"/>
                <w:snapToGrid w:val="0"/>
                <w:color w:val="auto"/>
                <w:szCs w:val="21"/>
                <w:highlight w:val="none"/>
              </w:rPr>
            </w:pPr>
          </w:p>
        </w:tc>
        <w:tc>
          <w:tcPr>
            <w:tcW w:w="745" w:type="pct"/>
            <w:gridSpan w:val="4"/>
            <w:tcBorders>
              <w:top w:val="single" w:color="auto" w:sz="2" w:space="0"/>
              <w:left w:val="single" w:color="auto" w:sz="2" w:space="0"/>
              <w:bottom w:val="single" w:color="auto" w:sz="4" w:space="0"/>
              <w:right w:val="single" w:color="auto" w:sz="2" w:space="0"/>
            </w:tcBorders>
            <w:vAlign w:val="center"/>
          </w:tcPr>
          <w:p w14:paraId="38C41305">
            <w:pPr>
              <w:pStyle w:val="97"/>
              <w:adjustRightInd w:val="0"/>
              <w:snapToGrid w:val="0"/>
              <w:spacing w:after="200"/>
              <w:ind w:firstLine="493" w:firstLineChars="235"/>
              <w:jc w:val="center"/>
              <w:rPr>
                <w:rFonts w:ascii="宋体" w:hAnsi="宋体"/>
                <w:snapToGrid w:val="0"/>
                <w:color w:val="auto"/>
                <w:szCs w:val="21"/>
                <w:highlight w:val="none"/>
              </w:rPr>
            </w:pPr>
          </w:p>
        </w:tc>
        <w:tc>
          <w:tcPr>
            <w:tcW w:w="471" w:type="pct"/>
            <w:tcBorders>
              <w:top w:val="single" w:color="auto" w:sz="2" w:space="0"/>
              <w:left w:val="single" w:color="auto" w:sz="2" w:space="0"/>
              <w:bottom w:val="single" w:color="auto" w:sz="4" w:space="0"/>
              <w:right w:val="single" w:color="auto" w:sz="2" w:space="0"/>
            </w:tcBorders>
            <w:vAlign w:val="center"/>
          </w:tcPr>
          <w:p w14:paraId="5CDE830C">
            <w:pPr>
              <w:pStyle w:val="97"/>
              <w:adjustRightInd w:val="0"/>
              <w:snapToGrid w:val="0"/>
              <w:spacing w:after="200"/>
              <w:ind w:firstLine="493" w:firstLineChars="235"/>
              <w:jc w:val="center"/>
              <w:rPr>
                <w:rFonts w:ascii="宋体" w:hAnsi="宋体"/>
                <w:snapToGrid w:val="0"/>
                <w:color w:val="auto"/>
                <w:szCs w:val="21"/>
                <w:highlight w:val="none"/>
              </w:rPr>
            </w:pPr>
          </w:p>
        </w:tc>
      </w:tr>
      <w:tr w14:paraId="7F18FB4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4" w:hRule="atLeast"/>
        </w:trPr>
        <w:tc>
          <w:tcPr>
            <w:tcW w:w="370" w:type="pct"/>
            <w:tcBorders>
              <w:top w:val="single" w:color="auto" w:sz="2" w:space="0"/>
              <w:left w:val="single" w:color="auto" w:sz="6" w:space="0"/>
              <w:bottom w:val="single" w:color="auto" w:sz="2" w:space="0"/>
              <w:right w:val="single" w:color="auto" w:sz="2" w:space="0"/>
            </w:tcBorders>
            <w:vAlign w:val="center"/>
          </w:tcPr>
          <w:p w14:paraId="3C250021">
            <w:pPr>
              <w:pStyle w:val="97"/>
              <w:adjustRightInd w:val="0"/>
              <w:snapToGrid w:val="0"/>
              <w:spacing w:after="200"/>
              <w:jc w:val="center"/>
              <w:rPr>
                <w:rFonts w:ascii="宋体" w:hAnsi="宋体"/>
                <w:snapToGrid w:val="0"/>
                <w:color w:val="auto"/>
                <w:szCs w:val="21"/>
                <w:highlight w:val="none"/>
              </w:rPr>
            </w:pPr>
            <w:r>
              <w:rPr>
                <w:rFonts w:ascii="宋体" w:hAnsi="宋体"/>
                <w:snapToGrid w:val="0"/>
                <w:color w:val="auto"/>
                <w:szCs w:val="21"/>
                <w:highlight w:val="none"/>
              </w:rPr>
              <w:t>…</w:t>
            </w:r>
          </w:p>
        </w:tc>
        <w:tc>
          <w:tcPr>
            <w:tcW w:w="1766" w:type="pct"/>
            <w:gridSpan w:val="5"/>
            <w:tcBorders>
              <w:top w:val="single" w:color="auto" w:sz="2" w:space="0"/>
              <w:left w:val="single" w:color="auto" w:sz="2" w:space="0"/>
              <w:bottom w:val="single" w:color="auto" w:sz="2" w:space="0"/>
              <w:right w:val="single" w:color="auto" w:sz="2" w:space="0"/>
            </w:tcBorders>
            <w:vAlign w:val="center"/>
          </w:tcPr>
          <w:p w14:paraId="2DCBBB6B">
            <w:pPr>
              <w:pStyle w:val="97"/>
              <w:adjustRightInd w:val="0"/>
              <w:snapToGrid w:val="0"/>
              <w:spacing w:after="200"/>
              <w:ind w:firstLine="495" w:firstLineChars="235"/>
              <w:jc w:val="center"/>
              <w:rPr>
                <w:rFonts w:ascii="宋体" w:hAnsi="宋体"/>
                <w:b/>
                <w:snapToGrid w:val="0"/>
                <w:color w:val="auto"/>
                <w:szCs w:val="21"/>
                <w:highlight w:val="none"/>
              </w:rPr>
            </w:pPr>
          </w:p>
        </w:tc>
        <w:tc>
          <w:tcPr>
            <w:tcW w:w="779" w:type="pct"/>
            <w:gridSpan w:val="4"/>
            <w:tcBorders>
              <w:top w:val="single" w:color="auto" w:sz="2" w:space="0"/>
              <w:left w:val="single" w:color="auto" w:sz="2" w:space="0"/>
              <w:bottom w:val="single" w:color="auto" w:sz="2" w:space="0"/>
              <w:right w:val="single" w:color="auto" w:sz="2" w:space="0"/>
            </w:tcBorders>
            <w:vAlign w:val="center"/>
          </w:tcPr>
          <w:p w14:paraId="3A802C71">
            <w:pPr>
              <w:pStyle w:val="97"/>
              <w:adjustRightInd w:val="0"/>
              <w:snapToGrid w:val="0"/>
              <w:spacing w:after="200"/>
              <w:ind w:firstLine="493" w:firstLineChars="235"/>
              <w:jc w:val="center"/>
              <w:rPr>
                <w:rFonts w:ascii="宋体" w:hAnsi="宋体"/>
                <w:snapToGrid w:val="0"/>
                <w:color w:val="auto"/>
                <w:szCs w:val="21"/>
                <w:highlight w:val="none"/>
              </w:rPr>
            </w:pPr>
          </w:p>
        </w:tc>
        <w:tc>
          <w:tcPr>
            <w:tcW w:w="866" w:type="pct"/>
            <w:gridSpan w:val="3"/>
            <w:tcBorders>
              <w:top w:val="single" w:color="auto" w:sz="2" w:space="0"/>
              <w:left w:val="single" w:color="auto" w:sz="2" w:space="0"/>
              <w:bottom w:val="single" w:color="auto" w:sz="2" w:space="0"/>
              <w:right w:val="single" w:color="auto" w:sz="2" w:space="0"/>
            </w:tcBorders>
            <w:vAlign w:val="center"/>
          </w:tcPr>
          <w:p w14:paraId="588803A3">
            <w:pPr>
              <w:pStyle w:val="97"/>
              <w:adjustRightInd w:val="0"/>
              <w:snapToGrid w:val="0"/>
              <w:spacing w:after="200"/>
              <w:ind w:firstLine="495" w:firstLineChars="235"/>
              <w:jc w:val="center"/>
              <w:rPr>
                <w:rFonts w:ascii="宋体" w:hAnsi="宋体"/>
                <w:b/>
                <w:snapToGrid w:val="0"/>
                <w:color w:val="auto"/>
                <w:szCs w:val="21"/>
                <w:highlight w:val="none"/>
              </w:rPr>
            </w:pPr>
          </w:p>
        </w:tc>
        <w:tc>
          <w:tcPr>
            <w:tcW w:w="745" w:type="pct"/>
            <w:gridSpan w:val="4"/>
            <w:tcBorders>
              <w:top w:val="single" w:color="auto" w:sz="4" w:space="0"/>
              <w:left w:val="single" w:color="auto" w:sz="2" w:space="0"/>
              <w:bottom w:val="single" w:color="auto" w:sz="4" w:space="0"/>
              <w:right w:val="single" w:color="auto" w:sz="2" w:space="0"/>
            </w:tcBorders>
            <w:vAlign w:val="center"/>
          </w:tcPr>
          <w:p w14:paraId="5BEAE24B">
            <w:pPr>
              <w:pStyle w:val="97"/>
              <w:adjustRightInd w:val="0"/>
              <w:snapToGrid w:val="0"/>
              <w:spacing w:after="200"/>
              <w:ind w:firstLine="493" w:firstLineChars="235"/>
              <w:jc w:val="center"/>
              <w:rPr>
                <w:rFonts w:ascii="宋体" w:hAnsi="宋体"/>
                <w:snapToGrid w:val="0"/>
                <w:color w:val="auto"/>
                <w:szCs w:val="21"/>
                <w:highlight w:val="none"/>
              </w:rPr>
            </w:pPr>
          </w:p>
        </w:tc>
        <w:tc>
          <w:tcPr>
            <w:tcW w:w="471" w:type="pct"/>
            <w:tcBorders>
              <w:top w:val="single" w:color="auto" w:sz="4" w:space="0"/>
              <w:left w:val="single" w:color="auto" w:sz="2" w:space="0"/>
              <w:bottom w:val="single" w:color="auto" w:sz="4" w:space="0"/>
              <w:right w:val="single" w:color="auto" w:sz="2" w:space="0"/>
            </w:tcBorders>
            <w:vAlign w:val="center"/>
          </w:tcPr>
          <w:p w14:paraId="5D886AF5">
            <w:pPr>
              <w:pStyle w:val="97"/>
              <w:adjustRightInd w:val="0"/>
              <w:snapToGrid w:val="0"/>
              <w:spacing w:after="200"/>
              <w:ind w:firstLine="493" w:firstLineChars="235"/>
              <w:jc w:val="center"/>
              <w:rPr>
                <w:rFonts w:ascii="宋体" w:hAnsi="宋体"/>
                <w:snapToGrid w:val="0"/>
                <w:color w:val="auto"/>
                <w:szCs w:val="21"/>
                <w:highlight w:val="none"/>
              </w:rPr>
            </w:pPr>
          </w:p>
        </w:tc>
      </w:tr>
      <w:tr w14:paraId="3E6B7F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5000" w:type="pct"/>
            <w:gridSpan w:val="18"/>
            <w:vAlign w:val="center"/>
          </w:tcPr>
          <w:p w14:paraId="2A47D8FE">
            <w:pPr>
              <w:pStyle w:val="97"/>
              <w:adjustRightInd w:val="0"/>
              <w:snapToGrid w:val="0"/>
              <w:ind w:left="211" w:hanging="211" w:hangingChars="100"/>
              <w:jc w:val="center"/>
              <w:rPr>
                <w:rFonts w:ascii="宋体" w:hAnsi="宋体" w:cs="Courier New"/>
                <w:b/>
                <w:color w:val="auto"/>
                <w:szCs w:val="21"/>
                <w:highlight w:val="none"/>
              </w:rPr>
            </w:pPr>
            <w:r>
              <w:rPr>
                <w:rFonts w:hint="eastAsia" w:ascii="宋体" w:hAnsi="宋体" w:cs="Courier New"/>
                <w:b/>
                <w:color w:val="auto"/>
                <w:szCs w:val="21"/>
                <w:highlight w:val="none"/>
              </w:rPr>
              <w:t>投标人拟派项目负责人业绩情况</w:t>
            </w:r>
          </w:p>
        </w:tc>
      </w:tr>
      <w:tr w14:paraId="734DEC9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52" w:hRule="atLeast"/>
        </w:trPr>
        <w:tc>
          <w:tcPr>
            <w:tcW w:w="370" w:type="pct"/>
            <w:tcBorders>
              <w:top w:val="single" w:color="auto" w:sz="6" w:space="0"/>
              <w:left w:val="single" w:color="auto" w:sz="6" w:space="0"/>
              <w:bottom w:val="single" w:color="auto" w:sz="2" w:space="0"/>
              <w:right w:val="single" w:color="auto" w:sz="2" w:space="0"/>
            </w:tcBorders>
            <w:vAlign w:val="center"/>
          </w:tcPr>
          <w:p w14:paraId="4FB04160">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序号</w:t>
            </w:r>
          </w:p>
        </w:tc>
        <w:tc>
          <w:tcPr>
            <w:tcW w:w="1766" w:type="pct"/>
            <w:gridSpan w:val="5"/>
            <w:tcBorders>
              <w:top w:val="single" w:color="auto" w:sz="6" w:space="0"/>
              <w:left w:val="single" w:color="auto" w:sz="2" w:space="0"/>
              <w:bottom w:val="single" w:color="auto" w:sz="2" w:space="0"/>
              <w:right w:val="single" w:color="auto" w:sz="2" w:space="0"/>
            </w:tcBorders>
            <w:vAlign w:val="center"/>
          </w:tcPr>
          <w:p w14:paraId="6AFC27D2">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工程项目名称</w:t>
            </w:r>
          </w:p>
        </w:tc>
        <w:tc>
          <w:tcPr>
            <w:tcW w:w="779" w:type="pct"/>
            <w:gridSpan w:val="4"/>
            <w:tcBorders>
              <w:top w:val="single" w:color="auto" w:sz="6" w:space="0"/>
              <w:left w:val="single" w:color="auto" w:sz="2" w:space="0"/>
              <w:bottom w:val="single" w:color="auto" w:sz="2" w:space="0"/>
              <w:right w:val="single" w:color="auto" w:sz="2" w:space="0"/>
            </w:tcBorders>
            <w:vAlign w:val="center"/>
          </w:tcPr>
          <w:p w14:paraId="1CCE0D36">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合同价</w:t>
            </w:r>
          </w:p>
          <w:p w14:paraId="046036A2">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（万元）</w:t>
            </w:r>
          </w:p>
        </w:tc>
        <w:tc>
          <w:tcPr>
            <w:tcW w:w="866" w:type="pct"/>
            <w:gridSpan w:val="3"/>
            <w:tcBorders>
              <w:top w:val="single" w:color="auto" w:sz="6" w:space="0"/>
              <w:left w:val="single" w:color="auto" w:sz="2" w:space="0"/>
              <w:bottom w:val="single" w:color="auto" w:sz="4" w:space="0"/>
              <w:right w:val="single" w:color="auto" w:sz="2" w:space="0"/>
            </w:tcBorders>
            <w:vAlign w:val="center"/>
          </w:tcPr>
          <w:p w14:paraId="10C0B6B5">
            <w:pPr>
              <w:pStyle w:val="97"/>
              <w:adjustRightInd w:val="0"/>
              <w:snapToGrid w:val="0"/>
              <w:spacing w:after="200"/>
              <w:jc w:val="center"/>
              <w:rPr>
                <w:rFonts w:ascii="宋体" w:hAnsi="宋体"/>
                <w:snapToGrid w:val="0"/>
                <w:color w:val="auto"/>
                <w:szCs w:val="21"/>
                <w:highlight w:val="none"/>
              </w:rPr>
            </w:pPr>
            <w:r>
              <w:rPr>
                <w:rFonts w:hint="eastAsia" w:ascii="宋体" w:hAnsi="宋体" w:cs="宋体"/>
                <w:snapToGrid w:val="0"/>
                <w:color w:val="auto"/>
                <w:szCs w:val="21"/>
                <w:highlight w:val="none"/>
              </w:rPr>
              <w:t>合同签订时间</w:t>
            </w:r>
          </w:p>
        </w:tc>
        <w:tc>
          <w:tcPr>
            <w:tcW w:w="745" w:type="pct"/>
            <w:gridSpan w:val="4"/>
            <w:tcBorders>
              <w:top w:val="single" w:color="auto" w:sz="6" w:space="0"/>
              <w:left w:val="single" w:color="auto" w:sz="2" w:space="0"/>
              <w:bottom w:val="single" w:color="auto" w:sz="2" w:space="0"/>
              <w:right w:val="single" w:color="auto" w:sz="2" w:space="0"/>
            </w:tcBorders>
            <w:vAlign w:val="center"/>
          </w:tcPr>
          <w:p w14:paraId="6330350B">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项目负责人</w:t>
            </w:r>
          </w:p>
        </w:tc>
        <w:tc>
          <w:tcPr>
            <w:tcW w:w="471" w:type="pct"/>
            <w:tcBorders>
              <w:top w:val="single" w:color="auto" w:sz="6" w:space="0"/>
              <w:left w:val="single" w:color="auto" w:sz="2" w:space="0"/>
              <w:bottom w:val="single" w:color="auto" w:sz="2" w:space="0"/>
              <w:right w:val="single" w:color="auto" w:sz="2" w:space="0"/>
            </w:tcBorders>
            <w:vAlign w:val="center"/>
          </w:tcPr>
          <w:p w14:paraId="63F1E193">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备注</w:t>
            </w:r>
          </w:p>
        </w:tc>
      </w:tr>
      <w:tr w14:paraId="24C068D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4" w:hRule="atLeast"/>
        </w:trPr>
        <w:tc>
          <w:tcPr>
            <w:tcW w:w="370" w:type="pct"/>
            <w:tcBorders>
              <w:top w:val="single" w:color="auto" w:sz="2" w:space="0"/>
              <w:left w:val="single" w:color="auto" w:sz="6" w:space="0"/>
              <w:bottom w:val="single" w:color="auto" w:sz="2" w:space="0"/>
              <w:right w:val="single" w:color="auto" w:sz="2" w:space="0"/>
            </w:tcBorders>
            <w:vAlign w:val="center"/>
          </w:tcPr>
          <w:p w14:paraId="71BD8839">
            <w:pPr>
              <w:pStyle w:val="97"/>
              <w:adjustRightInd w:val="0"/>
              <w:snapToGrid w:val="0"/>
              <w:spacing w:after="200"/>
              <w:jc w:val="center"/>
              <w:rPr>
                <w:rFonts w:ascii="宋体" w:hAnsi="宋体"/>
                <w:snapToGrid w:val="0"/>
                <w:color w:val="auto"/>
                <w:szCs w:val="21"/>
                <w:highlight w:val="none"/>
              </w:rPr>
            </w:pPr>
            <w:r>
              <w:rPr>
                <w:rFonts w:hint="eastAsia" w:ascii="宋体" w:hAnsi="宋体"/>
                <w:snapToGrid w:val="0"/>
                <w:color w:val="auto"/>
                <w:szCs w:val="21"/>
                <w:highlight w:val="none"/>
              </w:rPr>
              <w:t>1</w:t>
            </w:r>
          </w:p>
        </w:tc>
        <w:tc>
          <w:tcPr>
            <w:tcW w:w="1766" w:type="pct"/>
            <w:gridSpan w:val="5"/>
            <w:tcBorders>
              <w:top w:val="single" w:color="auto" w:sz="2" w:space="0"/>
              <w:left w:val="single" w:color="auto" w:sz="2" w:space="0"/>
              <w:bottom w:val="single" w:color="auto" w:sz="2" w:space="0"/>
              <w:right w:val="single" w:color="auto" w:sz="2" w:space="0"/>
            </w:tcBorders>
            <w:vAlign w:val="center"/>
          </w:tcPr>
          <w:p w14:paraId="2B5FB47D">
            <w:pPr>
              <w:pStyle w:val="97"/>
              <w:adjustRightInd w:val="0"/>
              <w:snapToGrid w:val="0"/>
              <w:spacing w:after="200"/>
              <w:ind w:firstLine="495" w:firstLineChars="235"/>
              <w:jc w:val="center"/>
              <w:rPr>
                <w:rFonts w:ascii="宋体" w:hAnsi="宋体"/>
                <w:b/>
                <w:snapToGrid w:val="0"/>
                <w:color w:val="auto"/>
                <w:szCs w:val="21"/>
                <w:highlight w:val="none"/>
              </w:rPr>
            </w:pPr>
          </w:p>
        </w:tc>
        <w:tc>
          <w:tcPr>
            <w:tcW w:w="779" w:type="pct"/>
            <w:gridSpan w:val="4"/>
            <w:tcBorders>
              <w:top w:val="single" w:color="auto" w:sz="2" w:space="0"/>
              <w:left w:val="single" w:color="auto" w:sz="2" w:space="0"/>
              <w:bottom w:val="single" w:color="auto" w:sz="2" w:space="0"/>
              <w:right w:val="single" w:color="auto" w:sz="2" w:space="0"/>
            </w:tcBorders>
            <w:vAlign w:val="center"/>
          </w:tcPr>
          <w:p w14:paraId="1A499FB6">
            <w:pPr>
              <w:pStyle w:val="97"/>
              <w:adjustRightInd w:val="0"/>
              <w:snapToGrid w:val="0"/>
              <w:spacing w:after="200"/>
              <w:ind w:firstLine="493" w:firstLineChars="235"/>
              <w:jc w:val="center"/>
              <w:rPr>
                <w:rFonts w:ascii="宋体" w:hAnsi="宋体"/>
                <w:snapToGrid w:val="0"/>
                <w:color w:val="auto"/>
                <w:szCs w:val="21"/>
                <w:highlight w:val="none"/>
              </w:rPr>
            </w:pPr>
          </w:p>
        </w:tc>
        <w:tc>
          <w:tcPr>
            <w:tcW w:w="866" w:type="pct"/>
            <w:gridSpan w:val="3"/>
            <w:tcBorders>
              <w:top w:val="single" w:color="auto" w:sz="4" w:space="0"/>
              <w:left w:val="single" w:color="auto" w:sz="2" w:space="0"/>
              <w:bottom w:val="single" w:color="auto" w:sz="2" w:space="0"/>
              <w:right w:val="single" w:color="auto" w:sz="2" w:space="0"/>
            </w:tcBorders>
            <w:vAlign w:val="center"/>
          </w:tcPr>
          <w:p w14:paraId="63E2E62F">
            <w:pPr>
              <w:pStyle w:val="97"/>
              <w:adjustRightInd w:val="0"/>
              <w:snapToGrid w:val="0"/>
              <w:spacing w:after="200"/>
              <w:ind w:firstLine="493" w:firstLineChars="235"/>
              <w:jc w:val="center"/>
              <w:rPr>
                <w:rFonts w:ascii="宋体" w:hAnsi="宋体"/>
                <w:snapToGrid w:val="0"/>
                <w:color w:val="auto"/>
                <w:szCs w:val="21"/>
                <w:highlight w:val="none"/>
              </w:rPr>
            </w:pPr>
          </w:p>
        </w:tc>
        <w:tc>
          <w:tcPr>
            <w:tcW w:w="745" w:type="pct"/>
            <w:gridSpan w:val="4"/>
            <w:tcBorders>
              <w:top w:val="single" w:color="auto" w:sz="2" w:space="0"/>
              <w:left w:val="single" w:color="auto" w:sz="2" w:space="0"/>
              <w:bottom w:val="single" w:color="auto" w:sz="4" w:space="0"/>
              <w:right w:val="single" w:color="auto" w:sz="2" w:space="0"/>
            </w:tcBorders>
            <w:vAlign w:val="center"/>
          </w:tcPr>
          <w:p w14:paraId="375FBD2C">
            <w:pPr>
              <w:pStyle w:val="97"/>
              <w:adjustRightInd w:val="0"/>
              <w:snapToGrid w:val="0"/>
              <w:spacing w:after="200"/>
              <w:ind w:firstLine="493" w:firstLineChars="235"/>
              <w:jc w:val="center"/>
              <w:rPr>
                <w:rFonts w:ascii="宋体" w:hAnsi="宋体"/>
                <w:snapToGrid w:val="0"/>
                <w:color w:val="auto"/>
                <w:szCs w:val="21"/>
                <w:highlight w:val="none"/>
              </w:rPr>
            </w:pPr>
          </w:p>
        </w:tc>
        <w:tc>
          <w:tcPr>
            <w:tcW w:w="471" w:type="pct"/>
            <w:tcBorders>
              <w:top w:val="single" w:color="auto" w:sz="2" w:space="0"/>
              <w:left w:val="single" w:color="auto" w:sz="2" w:space="0"/>
              <w:bottom w:val="single" w:color="auto" w:sz="4" w:space="0"/>
              <w:right w:val="single" w:color="auto" w:sz="2" w:space="0"/>
            </w:tcBorders>
            <w:vAlign w:val="center"/>
          </w:tcPr>
          <w:p w14:paraId="058E424B">
            <w:pPr>
              <w:pStyle w:val="97"/>
              <w:adjustRightInd w:val="0"/>
              <w:snapToGrid w:val="0"/>
              <w:spacing w:after="200"/>
              <w:ind w:firstLine="493" w:firstLineChars="235"/>
              <w:jc w:val="center"/>
              <w:rPr>
                <w:rFonts w:ascii="宋体" w:hAnsi="宋体"/>
                <w:snapToGrid w:val="0"/>
                <w:color w:val="auto"/>
                <w:szCs w:val="21"/>
                <w:highlight w:val="none"/>
              </w:rPr>
            </w:pPr>
          </w:p>
        </w:tc>
      </w:tr>
      <w:tr w14:paraId="6D0561D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4" w:hRule="atLeast"/>
        </w:trPr>
        <w:tc>
          <w:tcPr>
            <w:tcW w:w="370" w:type="pct"/>
            <w:tcBorders>
              <w:top w:val="single" w:color="auto" w:sz="2" w:space="0"/>
              <w:left w:val="single" w:color="auto" w:sz="6" w:space="0"/>
              <w:bottom w:val="single" w:color="auto" w:sz="2" w:space="0"/>
              <w:right w:val="single" w:color="auto" w:sz="2" w:space="0"/>
            </w:tcBorders>
            <w:vAlign w:val="center"/>
          </w:tcPr>
          <w:p w14:paraId="21EAD8EB">
            <w:pPr>
              <w:pStyle w:val="97"/>
              <w:adjustRightInd w:val="0"/>
              <w:snapToGrid w:val="0"/>
              <w:spacing w:after="200"/>
              <w:ind w:firstLine="493" w:firstLineChars="235"/>
              <w:jc w:val="center"/>
              <w:rPr>
                <w:rFonts w:ascii="宋体" w:hAnsi="宋体"/>
                <w:snapToGrid w:val="0"/>
                <w:color w:val="auto"/>
                <w:szCs w:val="21"/>
                <w:highlight w:val="none"/>
              </w:rPr>
            </w:pPr>
            <w:r>
              <w:rPr>
                <w:rFonts w:ascii="宋体" w:hAnsi="宋体"/>
                <w:snapToGrid w:val="0"/>
                <w:color w:val="auto"/>
                <w:szCs w:val="21"/>
                <w:highlight w:val="none"/>
              </w:rPr>
              <w:t>……</w:t>
            </w:r>
          </w:p>
        </w:tc>
        <w:tc>
          <w:tcPr>
            <w:tcW w:w="1766" w:type="pct"/>
            <w:gridSpan w:val="5"/>
            <w:tcBorders>
              <w:top w:val="single" w:color="auto" w:sz="2" w:space="0"/>
              <w:left w:val="single" w:color="auto" w:sz="2" w:space="0"/>
              <w:bottom w:val="single" w:color="auto" w:sz="2" w:space="0"/>
              <w:right w:val="single" w:color="auto" w:sz="2" w:space="0"/>
            </w:tcBorders>
            <w:vAlign w:val="center"/>
          </w:tcPr>
          <w:p w14:paraId="5EBC924C">
            <w:pPr>
              <w:pStyle w:val="97"/>
              <w:adjustRightInd w:val="0"/>
              <w:snapToGrid w:val="0"/>
              <w:spacing w:after="200"/>
              <w:ind w:firstLine="495" w:firstLineChars="235"/>
              <w:jc w:val="center"/>
              <w:rPr>
                <w:rFonts w:ascii="宋体" w:hAnsi="宋体"/>
                <w:b/>
                <w:snapToGrid w:val="0"/>
                <w:color w:val="auto"/>
                <w:szCs w:val="21"/>
                <w:highlight w:val="none"/>
              </w:rPr>
            </w:pPr>
          </w:p>
        </w:tc>
        <w:tc>
          <w:tcPr>
            <w:tcW w:w="779" w:type="pct"/>
            <w:gridSpan w:val="4"/>
            <w:tcBorders>
              <w:top w:val="single" w:color="auto" w:sz="2" w:space="0"/>
              <w:left w:val="single" w:color="auto" w:sz="2" w:space="0"/>
              <w:bottom w:val="single" w:color="auto" w:sz="2" w:space="0"/>
              <w:right w:val="single" w:color="auto" w:sz="2" w:space="0"/>
            </w:tcBorders>
            <w:vAlign w:val="center"/>
          </w:tcPr>
          <w:p w14:paraId="561B2C30">
            <w:pPr>
              <w:pStyle w:val="97"/>
              <w:adjustRightInd w:val="0"/>
              <w:snapToGrid w:val="0"/>
              <w:spacing w:after="200"/>
              <w:ind w:firstLine="493" w:firstLineChars="235"/>
              <w:jc w:val="center"/>
              <w:rPr>
                <w:rFonts w:ascii="宋体" w:hAnsi="宋体"/>
                <w:snapToGrid w:val="0"/>
                <w:color w:val="auto"/>
                <w:szCs w:val="21"/>
                <w:highlight w:val="none"/>
              </w:rPr>
            </w:pPr>
          </w:p>
        </w:tc>
        <w:tc>
          <w:tcPr>
            <w:tcW w:w="866" w:type="pct"/>
            <w:gridSpan w:val="3"/>
            <w:tcBorders>
              <w:top w:val="single" w:color="auto" w:sz="2" w:space="0"/>
              <w:left w:val="single" w:color="auto" w:sz="2" w:space="0"/>
              <w:bottom w:val="single" w:color="auto" w:sz="2" w:space="0"/>
              <w:right w:val="single" w:color="auto" w:sz="2" w:space="0"/>
            </w:tcBorders>
            <w:vAlign w:val="center"/>
          </w:tcPr>
          <w:p w14:paraId="44467621">
            <w:pPr>
              <w:pStyle w:val="97"/>
              <w:adjustRightInd w:val="0"/>
              <w:snapToGrid w:val="0"/>
              <w:spacing w:after="200"/>
              <w:ind w:firstLine="495" w:firstLineChars="235"/>
              <w:jc w:val="center"/>
              <w:rPr>
                <w:rFonts w:ascii="宋体" w:hAnsi="宋体"/>
                <w:b/>
                <w:snapToGrid w:val="0"/>
                <w:color w:val="auto"/>
                <w:szCs w:val="21"/>
                <w:highlight w:val="none"/>
              </w:rPr>
            </w:pPr>
          </w:p>
        </w:tc>
        <w:tc>
          <w:tcPr>
            <w:tcW w:w="745" w:type="pct"/>
            <w:gridSpan w:val="4"/>
            <w:tcBorders>
              <w:top w:val="single" w:color="auto" w:sz="4" w:space="0"/>
              <w:left w:val="single" w:color="auto" w:sz="2" w:space="0"/>
              <w:bottom w:val="single" w:color="auto" w:sz="4" w:space="0"/>
              <w:right w:val="single" w:color="auto" w:sz="2" w:space="0"/>
            </w:tcBorders>
            <w:vAlign w:val="center"/>
          </w:tcPr>
          <w:p w14:paraId="25C21533">
            <w:pPr>
              <w:pStyle w:val="97"/>
              <w:adjustRightInd w:val="0"/>
              <w:snapToGrid w:val="0"/>
              <w:spacing w:after="200"/>
              <w:ind w:firstLine="493" w:firstLineChars="235"/>
              <w:jc w:val="center"/>
              <w:rPr>
                <w:rFonts w:ascii="宋体" w:hAnsi="宋体"/>
                <w:snapToGrid w:val="0"/>
                <w:color w:val="auto"/>
                <w:szCs w:val="21"/>
                <w:highlight w:val="none"/>
              </w:rPr>
            </w:pPr>
          </w:p>
        </w:tc>
        <w:tc>
          <w:tcPr>
            <w:tcW w:w="471" w:type="pct"/>
            <w:tcBorders>
              <w:top w:val="single" w:color="auto" w:sz="4" w:space="0"/>
              <w:left w:val="single" w:color="auto" w:sz="2" w:space="0"/>
              <w:bottom w:val="single" w:color="auto" w:sz="4" w:space="0"/>
              <w:right w:val="single" w:color="auto" w:sz="2" w:space="0"/>
            </w:tcBorders>
            <w:vAlign w:val="center"/>
          </w:tcPr>
          <w:p w14:paraId="5AF4D55B">
            <w:pPr>
              <w:pStyle w:val="97"/>
              <w:adjustRightInd w:val="0"/>
              <w:snapToGrid w:val="0"/>
              <w:spacing w:after="200"/>
              <w:ind w:firstLine="493" w:firstLineChars="235"/>
              <w:jc w:val="center"/>
              <w:rPr>
                <w:rFonts w:ascii="宋体" w:hAnsi="宋体"/>
                <w:snapToGrid w:val="0"/>
                <w:color w:val="auto"/>
                <w:szCs w:val="21"/>
                <w:highlight w:val="none"/>
              </w:rPr>
            </w:pPr>
          </w:p>
        </w:tc>
      </w:tr>
      <w:tr w14:paraId="270BE3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5000" w:type="pct"/>
            <w:gridSpan w:val="18"/>
            <w:tcBorders>
              <w:top w:val="single" w:color="auto" w:sz="2" w:space="0"/>
              <w:left w:val="single" w:color="auto" w:sz="4" w:space="0"/>
              <w:bottom w:val="single" w:color="auto" w:sz="2" w:space="0"/>
              <w:right w:val="single" w:color="auto" w:sz="4" w:space="0"/>
            </w:tcBorders>
            <w:vAlign w:val="center"/>
          </w:tcPr>
          <w:p w14:paraId="73A0FE9F">
            <w:pPr>
              <w:pStyle w:val="97"/>
              <w:adjustRightInd w:val="0"/>
              <w:snapToGrid w:val="0"/>
              <w:ind w:left="211" w:hanging="211" w:hangingChars="100"/>
              <w:jc w:val="center"/>
              <w:rPr>
                <w:rFonts w:ascii="宋体" w:hAnsi="宋体" w:cs="Courier New"/>
                <w:b/>
                <w:color w:val="auto"/>
                <w:szCs w:val="21"/>
                <w:highlight w:val="none"/>
              </w:rPr>
            </w:pPr>
            <w:r>
              <w:rPr>
                <w:rFonts w:hint="eastAsia" w:ascii="宋体" w:hAnsi="宋体" w:cs="Courier New"/>
                <w:b/>
                <w:color w:val="auto"/>
                <w:szCs w:val="21"/>
                <w:highlight w:val="none"/>
              </w:rPr>
              <w:t>近三年（</w:t>
            </w:r>
            <w:r>
              <w:rPr>
                <w:rFonts w:ascii="宋体" w:hAnsi="宋体" w:cs="Courier New"/>
                <w:b/>
                <w:color w:val="auto"/>
                <w:szCs w:val="21"/>
                <w:highlight w:val="none"/>
              </w:rPr>
              <w:t>201</w:t>
            </w:r>
            <w:r>
              <w:rPr>
                <w:rFonts w:hint="eastAsia" w:ascii="宋体" w:hAnsi="宋体" w:cs="Courier New"/>
                <w:b/>
                <w:color w:val="auto"/>
                <w:szCs w:val="21"/>
                <w:highlight w:val="none"/>
              </w:rPr>
              <w:t>9</w:t>
            </w:r>
            <w:r>
              <w:rPr>
                <w:rFonts w:ascii="宋体" w:hAnsi="宋体" w:cs="Courier New"/>
                <w:b/>
                <w:color w:val="auto"/>
                <w:szCs w:val="21"/>
                <w:highlight w:val="none"/>
              </w:rPr>
              <w:t>、20</w:t>
            </w:r>
            <w:r>
              <w:rPr>
                <w:rFonts w:hint="eastAsia" w:ascii="宋体" w:hAnsi="宋体" w:cs="Courier New"/>
                <w:b/>
                <w:color w:val="auto"/>
                <w:szCs w:val="21"/>
                <w:highlight w:val="none"/>
              </w:rPr>
              <w:t>20</w:t>
            </w:r>
            <w:r>
              <w:rPr>
                <w:rFonts w:ascii="宋体" w:hAnsi="宋体" w:cs="Courier New"/>
                <w:b/>
                <w:color w:val="auto"/>
                <w:szCs w:val="21"/>
                <w:highlight w:val="none"/>
              </w:rPr>
              <w:t>、202</w:t>
            </w:r>
            <w:r>
              <w:rPr>
                <w:rFonts w:hint="eastAsia" w:ascii="宋体" w:hAnsi="宋体" w:cs="Courier New"/>
                <w:b/>
                <w:color w:val="auto"/>
                <w:szCs w:val="21"/>
                <w:highlight w:val="none"/>
              </w:rPr>
              <w:t>1</w:t>
            </w:r>
            <w:r>
              <w:rPr>
                <w:rFonts w:ascii="宋体" w:hAnsi="宋体" w:cs="Courier New"/>
                <w:b/>
                <w:color w:val="auto"/>
                <w:szCs w:val="21"/>
                <w:highlight w:val="none"/>
              </w:rPr>
              <w:t>年）履约评价情况</w:t>
            </w:r>
          </w:p>
        </w:tc>
      </w:tr>
      <w:tr w14:paraId="0CA782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422" w:type="pct"/>
            <w:gridSpan w:val="2"/>
            <w:tcBorders>
              <w:top w:val="single" w:color="auto" w:sz="2" w:space="0"/>
              <w:left w:val="single" w:color="auto" w:sz="4" w:space="0"/>
              <w:bottom w:val="single" w:color="auto" w:sz="2" w:space="0"/>
              <w:right w:val="single" w:color="auto" w:sz="2" w:space="0"/>
            </w:tcBorders>
            <w:vAlign w:val="center"/>
          </w:tcPr>
          <w:p w14:paraId="52026A7C">
            <w:pPr>
              <w:pStyle w:val="94"/>
              <w:topLinePunct/>
              <w:spacing w:line="400" w:lineRule="exact"/>
              <w:jc w:val="center"/>
              <w:rPr>
                <w:rFonts w:ascii="宋体" w:hAnsi="宋体" w:cs="Courier New"/>
                <w:color w:val="auto"/>
                <w:szCs w:val="21"/>
                <w:highlight w:val="none"/>
              </w:rPr>
            </w:pPr>
            <w:r>
              <w:rPr>
                <w:rFonts w:hint="eastAsia" w:ascii="宋体" w:hAnsi="宋体" w:cs="Courier New"/>
                <w:color w:val="auto"/>
                <w:szCs w:val="21"/>
                <w:highlight w:val="none"/>
              </w:rPr>
              <w:t>序号</w:t>
            </w:r>
          </w:p>
        </w:tc>
        <w:tc>
          <w:tcPr>
            <w:tcW w:w="1971" w:type="pct"/>
            <w:gridSpan w:val="5"/>
            <w:tcBorders>
              <w:top w:val="single" w:color="auto" w:sz="2" w:space="0"/>
              <w:left w:val="single" w:color="auto" w:sz="2" w:space="0"/>
              <w:bottom w:val="single" w:color="auto" w:sz="2" w:space="0"/>
              <w:right w:val="single" w:color="auto" w:sz="2" w:space="0"/>
            </w:tcBorders>
            <w:vAlign w:val="center"/>
          </w:tcPr>
          <w:p w14:paraId="71C90C69">
            <w:pPr>
              <w:pStyle w:val="94"/>
              <w:topLinePunct/>
              <w:spacing w:line="400" w:lineRule="exact"/>
              <w:jc w:val="center"/>
              <w:rPr>
                <w:rFonts w:ascii="宋体" w:hAnsi="宋体" w:cs="Courier New"/>
                <w:color w:val="auto"/>
                <w:szCs w:val="21"/>
                <w:highlight w:val="none"/>
              </w:rPr>
            </w:pPr>
            <w:r>
              <w:rPr>
                <w:rFonts w:hint="eastAsia" w:ascii="宋体" w:hAnsi="宋体" w:cs="Courier New"/>
                <w:color w:val="auto"/>
                <w:szCs w:val="21"/>
                <w:highlight w:val="none"/>
              </w:rPr>
              <w:t>工程名称</w:t>
            </w:r>
          </w:p>
        </w:tc>
        <w:tc>
          <w:tcPr>
            <w:tcW w:w="864" w:type="pct"/>
            <w:gridSpan w:val="4"/>
            <w:tcBorders>
              <w:top w:val="single" w:color="auto" w:sz="2" w:space="0"/>
              <w:left w:val="single" w:color="auto" w:sz="2" w:space="0"/>
              <w:bottom w:val="single" w:color="auto" w:sz="2" w:space="0"/>
              <w:right w:val="single" w:color="auto" w:sz="2" w:space="0"/>
            </w:tcBorders>
            <w:vAlign w:val="center"/>
          </w:tcPr>
          <w:p w14:paraId="1FE973B0">
            <w:pPr>
              <w:pStyle w:val="94"/>
              <w:topLinePunct/>
              <w:spacing w:line="400" w:lineRule="exact"/>
              <w:jc w:val="center"/>
              <w:rPr>
                <w:rFonts w:ascii="宋体" w:hAnsi="宋体" w:cs="Courier New"/>
                <w:color w:val="auto"/>
                <w:szCs w:val="21"/>
                <w:highlight w:val="none"/>
              </w:rPr>
            </w:pPr>
            <w:r>
              <w:rPr>
                <w:rFonts w:hint="eastAsia" w:ascii="宋体" w:hAnsi="宋体" w:cs="Courier New"/>
                <w:color w:val="auto"/>
                <w:szCs w:val="21"/>
                <w:highlight w:val="none"/>
              </w:rPr>
              <w:t>评价等级</w:t>
            </w:r>
          </w:p>
        </w:tc>
        <w:tc>
          <w:tcPr>
            <w:tcW w:w="1022" w:type="pct"/>
            <w:gridSpan w:val="5"/>
            <w:tcBorders>
              <w:top w:val="single" w:color="auto" w:sz="2" w:space="0"/>
              <w:left w:val="single" w:color="auto" w:sz="2" w:space="0"/>
              <w:bottom w:val="single" w:color="auto" w:sz="2" w:space="0"/>
              <w:right w:val="single" w:color="auto" w:sz="2" w:space="0"/>
            </w:tcBorders>
            <w:vAlign w:val="center"/>
          </w:tcPr>
          <w:p w14:paraId="246B51E3">
            <w:pPr>
              <w:pStyle w:val="94"/>
              <w:topLinePunct/>
              <w:spacing w:line="400" w:lineRule="exact"/>
              <w:jc w:val="center"/>
              <w:rPr>
                <w:rFonts w:ascii="宋体" w:hAnsi="宋体" w:cs="Courier New"/>
                <w:color w:val="auto"/>
                <w:szCs w:val="21"/>
                <w:highlight w:val="none"/>
              </w:rPr>
            </w:pPr>
            <w:r>
              <w:rPr>
                <w:rFonts w:hint="eastAsia" w:ascii="宋体" w:hAnsi="宋体" w:cs="Courier New"/>
                <w:color w:val="auto"/>
                <w:szCs w:val="21"/>
                <w:highlight w:val="none"/>
              </w:rPr>
              <w:t>评价时间</w:t>
            </w:r>
          </w:p>
        </w:tc>
        <w:tc>
          <w:tcPr>
            <w:tcW w:w="718" w:type="pct"/>
            <w:gridSpan w:val="2"/>
            <w:tcBorders>
              <w:top w:val="single" w:color="auto" w:sz="2" w:space="0"/>
              <w:left w:val="single" w:color="auto" w:sz="2" w:space="0"/>
              <w:bottom w:val="single" w:color="auto" w:sz="2" w:space="0"/>
              <w:right w:val="single" w:color="auto" w:sz="4" w:space="0"/>
            </w:tcBorders>
            <w:vAlign w:val="center"/>
          </w:tcPr>
          <w:p w14:paraId="34AB8E38">
            <w:pPr>
              <w:pStyle w:val="94"/>
              <w:topLinePunct/>
              <w:spacing w:line="400" w:lineRule="exact"/>
              <w:jc w:val="center"/>
              <w:rPr>
                <w:rFonts w:ascii="宋体" w:hAnsi="宋体" w:cs="Courier New"/>
                <w:color w:val="auto"/>
                <w:szCs w:val="21"/>
                <w:highlight w:val="none"/>
              </w:rPr>
            </w:pPr>
            <w:r>
              <w:rPr>
                <w:rFonts w:hint="eastAsia" w:ascii="宋体" w:hAnsi="宋体" w:cs="Courier New"/>
                <w:color w:val="auto"/>
                <w:szCs w:val="21"/>
                <w:highlight w:val="none"/>
              </w:rPr>
              <w:t>业主</w:t>
            </w:r>
            <w:r>
              <w:rPr>
                <w:rFonts w:ascii="宋体" w:hAnsi="宋体" w:cs="Courier New"/>
                <w:color w:val="auto"/>
                <w:szCs w:val="21"/>
                <w:highlight w:val="none"/>
              </w:rPr>
              <w:t>单位</w:t>
            </w:r>
          </w:p>
        </w:tc>
      </w:tr>
      <w:tr w14:paraId="5B7FC7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422" w:type="pct"/>
            <w:gridSpan w:val="2"/>
            <w:tcBorders>
              <w:top w:val="single" w:color="auto" w:sz="2" w:space="0"/>
              <w:left w:val="single" w:color="auto" w:sz="4" w:space="0"/>
              <w:bottom w:val="single" w:color="auto" w:sz="2" w:space="0"/>
              <w:right w:val="single" w:color="auto" w:sz="2" w:space="0"/>
            </w:tcBorders>
            <w:vAlign w:val="center"/>
          </w:tcPr>
          <w:p w14:paraId="2704D51A">
            <w:pPr>
              <w:jc w:val="center"/>
              <w:rPr>
                <w:rFonts w:cs="Courier New"/>
                <w:color w:val="auto"/>
                <w:szCs w:val="21"/>
                <w:highlight w:val="none"/>
              </w:rPr>
            </w:pPr>
            <w:r>
              <w:rPr>
                <w:rFonts w:cs="Courier New"/>
                <w:color w:val="auto"/>
                <w:szCs w:val="21"/>
                <w:highlight w:val="none"/>
              </w:rPr>
              <w:t>1</w:t>
            </w:r>
          </w:p>
        </w:tc>
        <w:tc>
          <w:tcPr>
            <w:tcW w:w="1971" w:type="pct"/>
            <w:gridSpan w:val="5"/>
            <w:tcBorders>
              <w:top w:val="single" w:color="auto" w:sz="2" w:space="0"/>
              <w:left w:val="single" w:color="auto" w:sz="2" w:space="0"/>
              <w:bottom w:val="single" w:color="auto" w:sz="2" w:space="0"/>
              <w:right w:val="single" w:color="auto" w:sz="2" w:space="0"/>
            </w:tcBorders>
            <w:vAlign w:val="center"/>
          </w:tcPr>
          <w:p w14:paraId="114D98C2">
            <w:pPr>
              <w:pStyle w:val="94"/>
              <w:topLinePunct/>
              <w:spacing w:line="400" w:lineRule="exact"/>
              <w:jc w:val="center"/>
              <w:rPr>
                <w:rFonts w:ascii="宋体" w:hAnsi="宋体" w:cs="Courier New"/>
                <w:color w:val="auto"/>
                <w:szCs w:val="21"/>
                <w:highlight w:val="none"/>
              </w:rPr>
            </w:pPr>
          </w:p>
        </w:tc>
        <w:tc>
          <w:tcPr>
            <w:tcW w:w="864" w:type="pct"/>
            <w:gridSpan w:val="4"/>
            <w:tcBorders>
              <w:top w:val="single" w:color="auto" w:sz="2" w:space="0"/>
              <w:left w:val="single" w:color="auto" w:sz="2" w:space="0"/>
              <w:bottom w:val="single" w:color="auto" w:sz="2" w:space="0"/>
              <w:right w:val="single" w:color="auto" w:sz="2" w:space="0"/>
            </w:tcBorders>
            <w:vAlign w:val="center"/>
          </w:tcPr>
          <w:p w14:paraId="59C621B3">
            <w:pPr>
              <w:pStyle w:val="94"/>
              <w:topLinePunct/>
              <w:spacing w:line="400" w:lineRule="exact"/>
              <w:jc w:val="center"/>
              <w:rPr>
                <w:rFonts w:ascii="宋体" w:hAnsi="宋体" w:cs="Courier New"/>
                <w:color w:val="auto"/>
                <w:szCs w:val="21"/>
                <w:highlight w:val="none"/>
              </w:rPr>
            </w:pPr>
          </w:p>
        </w:tc>
        <w:tc>
          <w:tcPr>
            <w:tcW w:w="1022" w:type="pct"/>
            <w:gridSpan w:val="5"/>
            <w:tcBorders>
              <w:top w:val="single" w:color="auto" w:sz="2" w:space="0"/>
              <w:left w:val="single" w:color="auto" w:sz="2" w:space="0"/>
              <w:bottom w:val="single" w:color="auto" w:sz="2" w:space="0"/>
              <w:right w:val="single" w:color="auto" w:sz="2" w:space="0"/>
            </w:tcBorders>
            <w:vAlign w:val="center"/>
          </w:tcPr>
          <w:p w14:paraId="38E5A361">
            <w:pPr>
              <w:pStyle w:val="94"/>
              <w:topLinePunct/>
              <w:spacing w:line="400" w:lineRule="exact"/>
              <w:jc w:val="center"/>
              <w:rPr>
                <w:rFonts w:ascii="宋体" w:hAnsi="宋体" w:cs="Courier New"/>
                <w:color w:val="auto"/>
                <w:szCs w:val="21"/>
                <w:highlight w:val="none"/>
              </w:rPr>
            </w:pPr>
          </w:p>
        </w:tc>
        <w:tc>
          <w:tcPr>
            <w:tcW w:w="718" w:type="pct"/>
            <w:gridSpan w:val="2"/>
            <w:tcBorders>
              <w:top w:val="single" w:color="auto" w:sz="2" w:space="0"/>
              <w:left w:val="single" w:color="auto" w:sz="2" w:space="0"/>
              <w:bottom w:val="single" w:color="auto" w:sz="2" w:space="0"/>
              <w:right w:val="single" w:color="auto" w:sz="4" w:space="0"/>
            </w:tcBorders>
            <w:vAlign w:val="center"/>
          </w:tcPr>
          <w:p w14:paraId="0AFF885D">
            <w:pPr>
              <w:pStyle w:val="97"/>
              <w:adjustRightInd w:val="0"/>
              <w:snapToGrid w:val="0"/>
              <w:spacing w:after="200"/>
              <w:ind w:left="210" w:hanging="210" w:hangingChars="100"/>
              <w:jc w:val="center"/>
              <w:rPr>
                <w:rFonts w:ascii="宋体" w:hAnsi="宋体" w:cs="Courier New"/>
                <w:color w:val="auto"/>
                <w:szCs w:val="21"/>
                <w:highlight w:val="none"/>
              </w:rPr>
            </w:pPr>
          </w:p>
        </w:tc>
      </w:tr>
      <w:tr w14:paraId="48F847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422" w:type="pct"/>
            <w:gridSpan w:val="2"/>
            <w:tcBorders>
              <w:top w:val="single" w:color="auto" w:sz="2" w:space="0"/>
              <w:left w:val="single" w:color="auto" w:sz="4" w:space="0"/>
              <w:bottom w:val="single" w:color="auto" w:sz="2" w:space="0"/>
              <w:right w:val="single" w:color="auto" w:sz="2" w:space="0"/>
            </w:tcBorders>
          </w:tcPr>
          <w:p w14:paraId="0B601D7B">
            <w:pPr>
              <w:jc w:val="center"/>
              <w:rPr>
                <w:color w:val="auto"/>
                <w:highlight w:val="none"/>
              </w:rPr>
            </w:pPr>
            <w:r>
              <w:rPr>
                <w:rFonts w:hint="eastAsia"/>
                <w:color w:val="auto"/>
                <w:highlight w:val="none"/>
              </w:rPr>
              <w:t>…</w:t>
            </w:r>
          </w:p>
        </w:tc>
        <w:tc>
          <w:tcPr>
            <w:tcW w:w="1971" w:type="pct"/>
            <w:gridSpan w:val="5"/>
            <w:tcBorders>
              <w:top w:val="single" w:color="auto" w:sz="2" w:space="0"/>
              <w:left w:val="single" w:color="auto" w:sz="2" w:space="0"/>
              <w:bottom w:val="single" w:color="auto" w:sz="2" w:space="0"/>
              <w:right w:val="single" w:color="auto" w:sz="2" w:space="0"/>
            </w:tcBorders>
            <w:vAlign w:val="center"/>
          </w:tcPr>
          <w:p w14:paraId="5201BFA8">
            <w:pPr>
              <w:pStyle w:val="94"/>
              <w:topLinePunct/>
              <w:spacing w:line="400" w:lineRule="exact"/>
              <w:jc w:val="center"/>
              <w:rPr>
                <w:rFonts w:ascii="宋体" w:hAnsi="宋体" w:cs="Courier New"/>
                <w:color w:val="auto"/>
                <w:szCs w:val="21"/>
                <w:highlight w:val="none"/>
              </w:rPr>
            </w:pPr>
          </w:p>
        </w:tc>
        <w:tc>
          <w:tcPr>
            <w:tcW w:w="864" w:type="pct"/>
            <w:gridSpan w:val="4"/>
            <w:tcBorders>
              <w:top w:val="single" w:color="auto" w:sz="2" w:space="0"/>
              <w:left w:val="single" w:color="auto" w:sz="2" w:space="0"/>
              <w:bottom w:val="single" w:color="auto" w:sz="2" w:space="0"/>
              <w:right w:val="single" w:color="auto" w:sz="2" w:space="0"/>
            </w:tcBorders>
            <w:vAlign w:val="center"/>
          </w:tcPr>
          <w:p w14:paraId="5A7586E8">
            <w:pPr>
              <w:pStyle w:val="94"/>
              <w:topLinePunct/>
              <w:spacing w:line="400" w:lineRule="exact"/>
              <w:jc w:val="center"/>
              <w:rPr>
                <w:rFonts w:ascii="宋体" w:hAnsi="宋体" w:cs="Courier New"/>
                <w:color w:val="auto"/>
                <w:szCs w:val="21"/>
                <w:highlight w:val="none"/>
              </w:rPr>
            </w:pPr>
          </w:p>
        </w:tc>
        <w:tc>
          <w:tcPr>
            <w:tcW w:w="1022" w:type="pct"/>
            <w:gridSpan w:val="5"/>
            <w:tcBorders>
              <w:top w:val="single" w:color="auto" w:sz="2" w:space="0"/>
              <w:left w:val="single" w:color="auto" w:sz="2" w:space="0"/>
              <w:bottom w:val="single" w:color="auto" w:sz="2" w:space="0"/>
              <w:right w:val="single" w:color="auto" w:sz="2" w:space="0"/>
            </w:tcBorders>
            <w:vAlign w:val="center"/>
          </w:tcPr>
          <w:p w14:paraId="48E47349">
            <w:pPr>
              <w:pStyle w:val="94"/>
              <w:topLinePunct/>
              <w:spacing w:line="400" w:lineRule="exact"/>
              <w:jc w:val="center"/>
              <w:rPr>
                <w:rFonts w:ascii="宋体" w:hAnsi="宋体" w:cs="Courier New"/>
                <w:color w:val="auto"/>
                <w:szCs w:val="21"/>
                <w:highlight w:val="none"/>
              </w:rPr>
            </w:pPr>
          </w:p>
        </w:tc>
        <w:tc>
          <w:tcPr>
            <w:tcW w:w="718" w:type="pct"/>
            <w:gridSpan w:val="2"/>
            <w:tcBorders>
              <w:top w:val="single" w:color="auto" w:sz="2" w:space="0"/>
              <w:left w:val="single" w:color="auto" w:sz="2" w:space="0"/>
              <w:bottom w:val="single" w:color="auto" w:sz="2" w:space="0"/>
              <w:right w:val="single" w:color="auto" w:sz="4" w:space="0"/>
            </w:tcBorders>
            <w:vAlign w:val="center"/>
          </w:tcPr>
          <w:p w14:paraId="20F3C79B">
            <w:pPr>
              <w:pStyle w:val="97"/>
              <w:adjustRightInd w:val="0"/>
              <w:snapToGrid w:val="0"/>
              <w:spacing w:after="200"/>
              <w:ind w:left="210" w:hanging="210" w:hangingChars="100"/>
              <w:jc w:val="center"/>
              <w:rPr>
                <w:rFonts w:ascii="宋体" w:hAnsi="宋体" w:cs="Courier New"/>
                <w:color w:val="auto"/>
                <w:szCs w:val="21"/>
                <w:highlight w:val="none"/>
              </w:rPr>
            </w:pPr>
          </w:p>
        </w:tc>
      </w:tr>
      <w:tr w14:paraId="4F882C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5000" w:type="pct"/>
            <w:gridSpan w:val="18"/>
            <w:tcBorders>
              <w:top w:val="single" w:color="auto" w:sz="2" w:space="0"/>
              <w:left w:val="single" w:color="auto" w:sz="4" w:space="0"/>
              <w:bottom w:val="single" w:color="auto" w:sz="2" w:space="0"/>
              <w:right w:val="single" w:color="auto" w:sz="4" w:space="0"/>
            </w:tcBorders>
            <w:vAlign w:val="center"/>
          </w:tcPr>
          <w:p w14:paraId="406912D3">
            <w:pPr>
              <w:pStyle w:val="97"/>
              <w:adjustRightInd w:val="0"/>
              <w:snapToGrid w:val="0"/>
              <w:ind w:left="211" w:hanging="211" w:hangingChars="100"/>
              <w:jc w:val="center"/>
              <w:rPr>
                <w:rFonts w:ascii="宋体" w:hAnsi="宋体" w:cs="Courier New"/>
                <w:b/>
                <w:color w:val="auto"/>
                <w:szCs w:val="21"/>
                <w:highlight w:val="none"/>
              </w:rPr>
            </w:pPr>
            <w:r>
              <w:rPr>
                <w:rFonts w:hint="eastAsia" w:ascii="宋体" w:hAnsi="宋体" w:cs="Courier New"/>
                <w:b/>
                <w:color w:val="auto"/>
                <w:szCs w:val="21"/>
                <w:highlight w:val="none"/>
              </w:rPr>
              <w:t>投标人获奖情况</w:t>
            </w:r>
          </w:p>
        </w:tc>
      </w:tr>
      <w:tr w14:paraId="59AA5F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422" w:type="pct"/>
            <w:gridSpan w:val="2"/>
            <w:tcBorders>
              <w:top w:val="single" w:color="auto" w:sz="2" w:space="0"/>
              <w:left w:val="single" w:color="auto" w:sz="4" w:space="0"/>
              <w:bottom w:val="single" w:color="auto" w:sz="2" w:space="0"/>
              <w:right w:val="single" w:color="auto" w:sz="4" w:space="0"/>
            </w:tcBorders>
            <w:vAlign w:val="center"/>
          </w:tcPr>
          <w:p w14:paraId="1277FF3B">
            <w:pPr>
              <w:pStyle w:val="98"/>
              <w:adjustRightInd w:val="0"/>
              <w:snapToGrid w:val="0"/>
              <w:spacing w:line="360" w:lineRule="auto"/>
              <w:jc w:val="center"/>
              <w:outlineLvl w:val="2"/>
              <w:rPr>
                <w:color w:val="auto"/>
                <w:sz w:val="21"/>
                <w:szCs w:val="21"/>
                <w:highlight w:val="none"/>
              </w:rPr>
            </w:pPr>
            <w:bookmarkStart w:id="261" w:name="_Toc26273"/>
            <w:bookmarkStart w:id="262" w:name="_Toc26824"/>
            <w:r>
              <w:rPr>
                <w:rFonts w:hint="eastAsia"/>
                <w:color w:val="auto"/>
                <w:sz w:val="21"/>
                <w:szCs w:val="21"/>
                <w:highlight w:val="none"/>
              </w:rPr>
              <w:t>序号</w:t>
            </w:r>
            <w:bookmarkEnd w:id="261"/>
            <w:bookmarkEnd w:id="262"/>
          </w:p>
        </w:tc>
        <w:tc>
          <w:tcPr>
            <w:tcW w:w="1246" w:type="pct"/>
            <w:gridSpan w:val="3"/>
            <w:tcBorders>
              <w:top w:val="single" w:color="auto" w:sz="2" w:space="0"/>
              <w:left w:val="single" w:color="auto" w:sz="4" w:space="0"/>
              <w:bottom w:val="single" w:color="auto" w:sz="2" w:space="0"/>
              <w:right w:val="single" w:color="auto" w:sz="4" w:space="0"/>
            </w:tcBorders>
            <w:vAlign w:val="center"/>
          </w:tcPr>
          <w:p w14:paraId="55EEB336">
            <w:pPr>
              <w:pStyle w:val="98"/>
              <w:adjustRightInd w:val="0"/>
              <w:snapToGrid w:val="0"/>
              <w:spacing w:line="360" w:lineRule="auto"/>
              <w:jc w:val="center"/>
              <w:outlineLvl w:val="2"/>
              <w:rPr>
                <w:color w:val="auto"/>
                <w:sz w:val="21"/>
                <w:szCs w:val="21"/>
                <w:highlight w:val="none"/>
              </w:rPr>
            </w:pPr>
            <w:bookmarkStart w:id="263" w:name="_Toc11993"/>
            <w:bookmarkStart w:id="264" w:name="_Toc12177"/>
            <w:r>
              <w:rPr>
                <w:rFonts w:hint="eastAsia"/>
                <w:color w:val="auto"/>
                <w:sz w:val="21"/>
                <w:szCs w:val="21"/>
                <w:highlight w:val="none"/>
              </w:rPr>
              <w:t>项目名称</w:t>
            </w:r>
            <w:bookmarkEnd w:id="263"/>
            <w:bookmarkEnd w:id="264"/>
          </w:p>
        </w:tc>
        <w:tc>
          <w:tcPr>
            <w:tcW w:w="1246" w:type="pct"/>
            <w:gridSpan w:val="5"/>
            <w:tcBorders>
              <w:top w:val="single" w:color="auto" w:sz="2" w:space="0"/>
              <w:left w:val="single" w:color="auto" w:sz="4" w:space="0"/>
              <w:bottom w:val="single" w:color="auto" w:sz="2" w:space="0"/>
              <w:right w:val="single" w:color="auto" w:sz="4" w:space="0"/>
            </w:tcBorders>
            <w:vAlign w:val="center"/>
          </w:tcPr>
          <w:p w14:paraId="328FA064">
            <w:pPr>
              <w:pStyle w:val="98"/>
              <w:adjustRightInd w:val="0"/>
              <w:snapToGrid w:val="0"/>
              <w:spacing w:line="360" w:lineRule="auto"/>
              <w:jc w:val="center"/>
              <w:outlineLvl w:val="2"/>
              <w:rPr>
                <w:color w:val="auto"/>
                <w:sz w:val="21"/>
                <w:szCs w:val="21"/>
                <w:highlight w:val="none"/>
              </w:rPr>
            </w:pPr>
            <w:bookmarkStart w:id="265" w:name="_Toc13075"/>
            <w:bookmarkStart w:id="266" w:name="_Toc16515"/>
            <w:r>
              <w:rPr>
                <w:rFonts w:hint="eastAsia"/>
                <w:snapToGrid w:val="0"/>
                <w:color w:val="auto"/>
                <w:sz w:val="21"/>
                <w:szCs w:val="21"/>
                <w:highlight w:val="none"/>
              </w:rPr>
              <w:t>奖项名称</w:t>
            </w:r>
            <w:bookmarkEnd w:id="265"/>
            <w:bookmarkEnd w:id="266"/>
          </w:p>
        </w:tc>
        <w:tc>
          <w:tcPr>
            <w:tcW w:w="424" w:type="pct"/>
            <w:gridSpan w:val="2"/>
            <w:tcBorders>
              <w:top w:val="single" w:color="auto" w:sz="2" w:space="0"/>
              <w:left w:val="single" w:color="auto" w:sz="4" w:space="0"/>
              <w:bottom w:val="single" w:color="auto" w:sz="2" w:space="0"/>
              <w:right w:val="single" w:color="auto" w:sz="4" w:space="0"/>
            </w:tcBorders>
            <w:vAlign w:val="center"/>
          </w:tcPr>
          <w:p w14:paraId="219E3E6F">
            <w:pPr>
              <w:pStyle w:val="98"/>
              <w:adjustRightInd w:val="0"/>
              <w:snapToGrid w:val="0"/>
              <w:spacing w:line="360" w:lineRule="auto"/>
              <w:jc w:val="center"/>
              <w:outlineLvl w:val="2"/>
              <w:rPr>
                <w:color w:val="auto"/>
                <w:sz w:val="21"/>
                <w:szCs w:val="21"/>
                <w:highlight w:val="none"/>
              </w:rPr>
            </w:pPr>
            <w:bookmarkStart w:id="267" w:name="_Toc17226"/>
            <w:bookmarkStart w:id="268" w:name="_Toc9118"/>
            <w:r>
              <w:rPr>
                <w:rFonts w:hint="eastAsia"/>
                <w:color w:val="auto"/>
                <w:sz w:val="21"/>
                <w:szCs w:val="21"/>
                <w:highlight w:val="none"/>
              </w:rPr>
              <w:t>获奖时间</w:t>
            </w:r>
            <w:bookmarkEnd w:id="267"/>
            <w:bookmarkEnd w:id="268"/>
          </w:p>
        </w:tc>
        <w:tc>
          <w:tcPr>
            <w:tcW w:w="1187" w:type="pct"/>
            <w:gridSpan w:val="5"/>
            <w:tcBorders>
              <w:top w:val="single" w:color="auto" w:sz="2" w:space="0"/>
              <w:left w:val="single" w:color="auto" w:sz="4" w:space="0"/>
              <w:bottom w:val="single" w:color="auto" w:sz="2" w:space="0"/>
              <w:right w:val="single" w:color="auto" w:sz="4" w:space="0"/>
            </w:tcBorders>
            <w:vAlign w:val="center"/>
          </w:tcPr>
          <w:p w14:paraId="1AD35E09">
            <w:pPr>
              <w:pStyle w:val="98"/>
              <w:adjustRightInd w:val="0"/>
              <w:snapToGrid w:val="0"/>
              <w:spacing w:line="360" w:lineRule="auto"/>
              <w:jc w:val="center"/>
              <w:outlineLvl w:val="2"/>
              <w:rPr>
                <w:color w:val="auto"/>
                <w:sz w:val="21"/>
                <w:szCs w:val="21"/>
                <w:highlight w:val="none"/>
              </w:rPr>
            </w:pPr>
            <w:bookmarkStart w:id="269" w:name="_Toc24930"/>
            <w:bookmarkStart w:id="270" w:name="_Toc9972"/>
            <w:r>
              <w:rPr>
                <w:rFonts w:hint="eastAsia"/>
                <w:color w:val="auto"/>
                <w:sz w:val="21"/>
                <w:szCs w:val="21"/>
                <w:highlight w:val="none"/>
              </w:rPr>
              <w:t>级别（国家级、省级、市级）</w:t>
            </w:r>
            <w:bookmarkEnd w:id="269"/>
            <w:bookmarkEnd w:id="270"/>
          </w:p>
        </w:tc>
        <w:tc>
          <w:tcPr>
            <w:tcW w:w="471" w:type="pct"/>
            <w:tcBorders>
              <w:top w:val="single" w:color="auto" w:sz="2" w:space="0"/>
              <w:left w:val="single" w:color="auto" w:sz="4" w:space="0"/>
              <w:bottom w:val="single" w:color="auto" w:sz="2" w:space="0"/>
              <w:right w:val="single" w:color="auto" w:sz="4" w:space="0"/>
            </w:tcBorders>
            <w:vAlign w:val="center"/>
          </w:tcPr>
          <w:p w14:paraId="661C4200">
            <w:pPr>
              <w:pStyle w:val="98"/>
              <w:adjustRightInd w:val="0"/>
              <w:snapToGrid w:val="0"/>
              <w:spacing w:line="360" w:lineRule="auto"/>
              <w:jc w:val="center"/>
              <w:outlineLvl w:val="2"/>
              <w:rPr>
                <w:color w:val="auto"/>
                <w:sz w:val="21"/>
                <w:szCs w:val="21"/>
                <w:highlight w:val="none"/>
              </w:rPr>
            </w:pPr>
            <w:bookmarkStart w:id="271" w:name="_Toc30768"/>
            <w:bookmarkStart w:id="272" w:name="_Toc32269"/>
            <w:r>
              <w:rPr>
                <w:rFonts w:hint="eastAsia"/>
                <w:color w:val="auto"/>
                <w:sz w:val="21"/>
                <w:szCs w:val="21"/>
                <w:highlight w:val="none"/>
              </w:rPr>
              <w:t>查询网址</w:t>
            </w:r>
            <w:bookmarkEnd w:id="271"/>
            <w:bookmarkEnd w:id="272"/>
          </w:p>
        </w:tc>
      </w:tr>
      <w:tr w14:paraId="50D417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422" w:type="pct"/>
            <w:gridSpan w:val="2"/>
            <w:tcBorders>
              <w:top w:val="single" w:color="auto" w:sz="2" w:space="0"/>
              <w:left w:val="single" w:color="auto" w:sz="4" w:space="0"/>
              <w:bottom w:val="single" w:color="auto" w:sz="2" w:space="0"/>
              <w:right w:val="single" w:color="auto" w:sz="4" w:space="0"/>
            </w:tcBorders>
            <w:vAlign w:val="center"/>
          </w:tcPr>
          <w:p w14:paraId="596E42F6">
            <w:pPr>
              <w:jc w:val="center"/>
              <w:rPr>
                <w:snapToGrid w:val="0"/>
                <w:color w:val="auto"/>
                <w:sz w:val="20"/>
                <w:szCs w:val="18"/>
                <w:highlight w:val="none"/>
              </w:rPr>
            </w:pPr>
            <w:r>
              <w:rPr>
                <w:rFonts w:hint="eastAsia"/>
                <w:snapToGrid w:val="0"/>
                <w:color w:val="auto"/>
                <w:sz w:val="20"/>
                <w:szCs w:val="18"/>
                <w:highlight w:val="none"/>
              </w:rPr>
              <w:t>1</w:t>
            </w:r>
          </w:p>
        </w:tc>
        <w:tc>
          <w:tcPr>
            <w:tcW w:w="1246" w:type="pct"/>
            <w:gridSpan w:val="3"/>
            <w:tcBorders>
              <w:top w:val="single" w:color="auto" w:sz="2" w:space="0"/>
              <w:left w:val="single" w:color="auto" w:sz="4" w:space="0"/>
              <w:bottom w:val="single" w:color="auto" w:sz="2" w:space="0"/>
              <w:right w:val="single" w:color="auto" w:sz="4" w:space="0"/>
            </w:tcBorders>
            <w:vAlign w:val="center"/>
          </w:tcPr>
          <w:p w14:paraId="6953CA96">
            <w:pPr>
              <w:pStyle w:val="98"/>
              <w:adjustRightInd w:val="0"/>
              <w:snapToGrid w:val="0"/>
              <w:spacing w:line="360" w:lineRule="auto"/>
              <w:jc w:val="center"/>
              <w:outlineLvl w:val="2"/>
              <w:rPr>
                <w:color w:val="auto"/>
                <w:sz w:val="21"/>
                <w:szCs w:val="21"/>
                <w:highlight w:val="none"/>
              </w:rPr>
            </w:pPr>
          </w:p>
        </w:tc>
        <w:tc>
          <w:tcPr>
            <w:tcW w:w="1246" w:type="pct"/>
            <w:gridSpan w:val="5"/>
            <w:tcBorders>
              <w:top w:val="single" w:color="auto" w:sz="2" w:space="0"/>
              <w:left w:val="single" w:color="auto" w:sz="4" w:space="0"/>
              <w:bottom w:val="single" w:color="auto" w:sz="2" w:space="0"/>
              <w:right w:val="single" w:color="auto" w:sz="4" w:space="0"/>
            </w:tcBorders>
            <w:vAlign w:val="center"/>
          </w:tcPr>
          <w:p w14:paraId="4A6BD33A">
            <w:pPr>
              <w:pStyle w:val="98"/>
              <w:adjustRightInd w:val="0"/>
              <w:snapToGrid w:val="0"/>
              <w:spacing w:line="360" w:lineRule="auto"/>
              <w:jc w:val="center"/>
              <w:outlineLvl w:val="2"/>
              <w:rPr>
                <w:snapToGrid w:val="0"/>
                <w:color w:val="auto"/>
                <w:sz w:val="21"/>
                <w:szCs w:val="21"/>
                <w:highlight w:val="none"/>
              </w:rPr>
            </w:pPr>
          </w:p>
        </w:tc>
        <w:tc>
          <w:tcPr>
            <w:tcW w:w="424" w:type="pct"/>
            <w:gridSpan w:val="2"/>
            <w:tcBorders>
              <w:top w:val="single" w:color="auto" w:sz="2" w:space="0"/>
              <w:left w:val="single" w:color="auto" w:sz="4" w:space="0"/>
              <w:bottom w:val="single" w:color="auto" w:sz="2" w:space="0"/>
              <w:right w:val="single" w:color="auto" w:sz="4" w:space="0"/>
            </w:tcBorders>
            <w:vAlign w:val="center"/>
          </w:tcPr>
          <w:p w14:paraId="233466CF">
            <w:pPr>
              <w:pStyle w:val="98"/>
              <w:adjustRightInd w:val="0"/>
              <w:snapToGrid w:val="0"/>
              <w:spacing w:line="360" w:lineRule="auto"/>
              <w:jc w:val="center"/>
              <w:outlineLvl w:val="2"/>
              <w:rPr>
                <w:color w:val="auto"/>
                <w:sz w:val="21"/>
                <w:szCs w:val="21"/>
                <w:highlight w:val="none"/>
              </w:rPr>
            </w:pPr>
          </w:p>
        </w:tc>
        <w:tc>
          <w:tcPr>
            <w:tcW w:w="1187" w:type="pct"/>
            <w:gridSpan w:val="5"/>
            <w:tcBorders>
              <w:top w:val="single" w:color="auto" w:sz="2" w:space="0"/>
              <w:left w:val="single" w:color="auto" w:sz="4" w:space="0"/>
              <w:bottom w:val="single" w:color="auto" w:sz="2" w:space="0"/>
              <w:right w:val="single" w:color="auto" w:sz="4" w:space="0"/>
            </w:tcBorders>
            <w:vAlign w:val="center"/>
          </w:tcPr>
          <w:p w14:paraId="6B7AEBA1">
            <w:pPr>
              <w:pStyle w:val="98"/>
              <w:adjustRightInd w:val="0"/>
              <w:snapToGrid w:val="0"/>
              <w:spacing w:line="360" w:lineRule="auto"/>
              <w:jc w:val="center"/>
              <w:outlineLvl w:val="2"/>
              <w:rPr>
                <w:color w:val="auto"/>
                <w:sz w:val="21"/>
                <w:szCs w:val="21"/>
                <w:highlight w:val="none"/>
              </w:rPr>
            </w:pPr>
          </w:p>
        </w:tc>
        <w:tc>
          <w:tcPr>
            <w:tcW w:w="471" w:type="pct"/>
            <w:tcBorders>
              <w:top w:val="single" w:color="auto" w:sz="2" w:space="0"/>
              <w:left w:val="single" w:color="auto" w:sz="4" w:space="0"/>
              <w:bottom w:val="single" w:color="auto" w:sz="2" w:space="0"/>
              <w:right w:val="single" w:color="auto" w:sz="4" w:space="0"/>
            </w:tcBorders>
            <w:vAlign w:val="center"/>
          </w:tcPr>
          <w:p w14:paraId="4BBF1EBA">
            <w:pPr>
              <w:pStyle w:val="98"/>
              <w:adjustRightInd w:val="0"/>
              <w:snapToGrid w:val="0"/>
              <w:spacing w:line="360" w:lineRule="auto"/>
              <w:jc w:val="center"/>
              <w:outlineLvl w:val="2"/>
              <w:rPr>
                <w:color w:val="auto"/>
                <w:sz w:val="21"/>
                <w:szCs w:val="21"/>
                <w:highlight w:val="none"/>
              </w:rPr>
            </w:pPr>
          </w:p>
        </w:tc>
      </w:tr>
      <w:tr w14:paraId="5E6138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422" w:type="pct"/>
            <w:gridSpan w:val="2"/>
            <w:tcBorders>
              <w:top w:val="single" w:color="auto" w:sz="2" w:space="0"/>
              <w:left w:val="single" w:color="auto" w:sz="4" w:space="0"/>
              <w:bottom w:val="single" w:color="auto" w:sz="2" w:space="0"/>
              <w:right w:val="single" w:color="auto" w:sz="4" w:space="0"/>
            </w:tcBorders>
            <w:vAlign w:val="center"/>
          </w:tcPr>
          <w:p w14:paraId="0FE64D73">
            <w:pPr>
              <w:jc w:val="center"/>
              <w:rPr>
                <w:snapToGrid w:val="0"/>
                <w:color w:val="auto"/>
                <w:sz w:val="20"/>
                <w:szCs w:val="20"/>
                <w:highlight w:val="none"/>
              </w:rPr>
            </w:pPr>
            <w:r>
              <w:rPr>
                <w:snapToGrid w:val="0"/>
                <w:color w:val="auto"/>
                <w:sz w:val="20"/>
                <w:szCs w:val="18"/>
                <w:highlight w:val="none"/>
              </w:rPr>
              <w:t>…</w:t>
            </w:r>
          </w:p>
        </w:tc>
        <w:tc>
          <w:tcPr>
            <w:tcW w:w="1246" w:type="pct"/>
            <w:gridSpan w:val="3"/>
            <w:tcBorders>
              <w:top w:val="single" w:color="auto" w:sz="2" w:space="0"/>
              <w:left w:val="single" w:color="auto" w:sz="4" w:space="0"/>
              <w:bottom w:val="single" w:color="auto" w:sz="2" w:space="0"/>
              <w:right w:val="single" w:color="auto" w:sz="4" w:space="0"/>
            </w:tcBorders>
            <w:vAlign w:val="center"/>
          </w:tcPr>
          <w:p w14:paraId="148254D5">
            <w:pPr>
              <w:pStyle w:val="98"/>
              <w:adjustRightInd w:val="0"/>
              <w:snapToGrid w:val="0"/>
              <w:spacing w:line="360" w:lineRule="auto"/>
              <w:jc w:val="center"/>
              <w:outlineLvl w:val="2"/>
              <w:rPr>
                <w:color w:val="auto"/>
                <w:sz w:val="21"/>
                <w:szCs w:val="21"/>
                <w:highlight w:val="none"/>
              </w:rPr>
            </w:pPr>
          </w:p>
        </w:tc>
        <w:tc>
          <w:tcPr>
            <w:tcW w:w="1246" w:type="pct"/>
            <w:gridSpan w:val="5"/>
            <w:tcBorders>
              <w:top w:val="single" w:color="auto" w:sz="2" w:space="0"/>
              <w:left w:val="single" w:color="auto" w:sz="4" w:space="0"/>
              <w:bottom w:val="single" w:color="auto" w:sz="2" w:space="0"/>
              <w:right w:val="single" w:color="auto" w:sz="4" w:space="0"/>
            </w:tcBorders>
            <w:vAlign w:val="center"/>
          </w:tcPr>
          <w:p w14:paraId="1C93EABD">
            <w:pPr>
              <w:pStyle w:val="98"/>
              <w:adjustRightInd w:val="0"/>
              <w:snapToGrid w:val="0"/>
              <w:spacing w:line="360" w:lineRule="auto"/>
              <w:jc w:val="center"/>
              <w:outlineLvl w:val="2"/>
              <w:rPr>
                <w:snapToGrid w:val="0"/>
                <w:color w:val="auto"/>
                <w:sz w:val="21"/>
                <w:szCs w:val="21"/>
                <w:highlight w:val="none"/>
              </w:rPr>
            </w:pPr>
          </w:p>
        </w:tc>
        <w:tc>
          <w:tcPr>
            <w:tcW w:w="424" w:type="pct"/>
            <w:gridSpan w:val="2"/>
            <w:tcBorders>
              <w:top w:val="single" w:color="auto" w:sz="2" w:space="0"/>
              <w:left w:val="single" w:color="auto" w:sz="4" w:space="0"/>
              <w:bottom w:val="single" w:color="auto" w:sz="2" w:space="0"/>
              <w:right w:val="single" w:color="auto" w:sz="4" w:space="0"/>
            </w:tcBorders>
            <w:vAlign w:val="center"/>
          </w:tcPr>
          <w:p w14:paraId="58618FB6">
            <w:pPr>
              <w:pStyle w:val="98"/>
              <w:adjustRightInd w:val="0"/>
              <w:snapToGrid w:val="0"/>
              <w:spacing w:line="360" w:lineRule="auto"/>
              <w:jc w:val="center"/>
              <w:outlineLvl w:val="2"/>
              <w:rPr>
                <w:color w:val="auto"/>
                <w:sz w:val="21"/>
                <w:szCs w:val="21"/>
                <w:highlight w:val="none"/>
              </w:rPr>
            </w:pPr>
          </w:p>
        </w:tc>
        <w:tc>
          <w:tcPr>
            <w:tcW w:w="1187" w:type="pct"/>
            <w:gridSpan w:val="5"/>
            <w:tcBorders>
              <w:top w:val="single" w:color="auto" w:sz="2" w:space="0"/>
              <w:left w:val="single" w:color="auto" w:sz="4" w:space="0"/>
              <w:bottom w:val="single" w:color="auto" w:sz="2" w:space="0"/>
              <w:right w:val="single" w:color="auto" w:sz="4" w:space="0"/>
            </w:tcBorders>
            <w:vAlign w:val="center"/>
          </w:tcPr>
          <w:p w14:paraId="3A811099">
            <w:pPr>
              <w:pStyle w:val="98"/>
              <w:adjustRightInd w:val="0"/>
              <w:snapToGrid w:val="0"/>
              <w:spacing w:line="360" w:lineRule="auto"/>
              <w:jc w:val="center"/>
              <w:outlineLvl w:val="2"/>
              <w:rPr>
                <w:color w:val="auto"/>
                <w:sz w:val="21"/>
                <w:szCs w:val="21"/>
                <w:highlight w:val="none"/>
              </w:rPr>
            </w:pPr>
          </w:p>
        </w:tc>
        <w:tc>
          <w:tcPr>
            <w:tcW w:w="471" w:type="pct"/>
            <w:tcBorders>
              <w:top w:val="single" w:color="auto" w:sz="2" w:space="0"/>
              <w:left w:val="single" w:color="auto" w:sz="4" w:space="0"/>
              <w:bottom w:val="single" w:color="auto" w:sz="2" w:space="0"/>
              <w:right w:val="single" w:color="auto" w:sz="4" w:space="0"/>
            </w:tcBorders>
            <w:vAlign w:val="center"/>
          </w:tcPr>
          <w:p w14:paraId="7268DBC2">
            <w:pPr>
              <w:pStyle w:val="98"/>
              <w:adjustRightInd w:val="0"/>
              <w:snapToGrid w:val="0"/>
              <w:spacing w:line="360" w:lineRule="auto"/>
              <w:jc w:val="center"/>
              <w:outlineLvl w:val="2"/>
              <w:rPr>
                <w:color w:val="auto"/>
                <w:sz w:val="21"/>
                <w:szCs w:val="21"/>
                <w:highlight w:val="none"/>
              </w:rPr>
            </w:pPr>
          </w:p>
        </w:tc>
      </w:tr>
    </w:tbl>
    <w:p w14:paraId="46FCF32C">
      <w:pPr>
        <w:topLinePunct/>
        <w:adjustRightInd w:val="0"/>
        <w:snapToGrid w:val="0"/>
        <w:spacing w:line="360" w:lineRule="auto"/>
        <w:ind w:firstLine="480" w:firstLineChars="200"/>
        <w:rPr>
          <w:color w:val="auto"/>
          <w:szCs w:val="21"/>
          <w:highlight w:val="none"/>
        </w:rPr>
      </w:pPr>
    </w:p>
    <w:p w14:paraId="7A70C377">
      <w:pPr>
        <w:topLinePunct/>
        <w:adjustRightInd w:val="0"/>
        <w:snapToGrid w:val="0"/>
        <w:spacing w:line="360" w:lineRule="auto"/>
        <w:ind w:firstLine="480" w:firstLineChars="200"/>
        <w:rPr>
          <w:color w:val="auto"/>
          <w:szCs w:val="21"/>
          <w:highlight w:val="none"/>
        </w:rPr>
      </w:pPr>
      <w:r>
        <w:rPr>
          <w:rFonts w:hint="eastAsia"/>
          <w:color w:val="auto"/>
          <w:szCs w:val="21"/>
          <w:highlight w:val="none"/>
        </w:rPr>
        <w:t>备注：1、具体要求详见《资信标要求一览表》。</w:t>
      </w:r>
    </w:p>
    <w:p w14:paraId="6DCB166C">
      <w:pPr>
        <w:topLinePunct/>
        <w:adjustRightInd w:val="0"/>
        <w:snapToGrid w:val="0"/>
        <w:spacing w:line="360" w:lineRule="auto"/>
        <w:ind w:firstLine="480" w:firstLineChars="200"/>
        <w:rPr>
          <w:color w:val="auto"/>
          <w:szCs w:val="21"/>
          <w:highlight w:val="none"/>
        </w:rPr>
      </w:pPr>
      <w:r>
        <w:rPr>
          <w:rFonts w:hint="eastAsia"/>
          <w:color w:val="auto"/>
          <w:szCs w:val="21"/>
          <w:highlight w:val="none"/>
        </w:rPr>
        <w:t>2、同类工程是指与本工程类型一致的工程。</w:t>
      </w:r>
    </w:p>
    <w:p w14:paraId="3F4F3CB7">
      <w:pPr>
        <w:topLinePunct/>
        <w:adjustRightInd w:val="0"/>
        <w:snapToGrid w:val="0"/>
        <w:spacing w:line="360" w:lineRule="auto"/>
        <w:ind w:firstLine="480" w:firstLineChars="200"/>
        <w:rPr>
          <w:color w:val="auto"/>
          <w:szCs w:val="21"/>
          <w:highlight w:val="none"/>
        </w:rPr>
      </w:pPr>
      <w:r>
        <w:rPr>
          <w:rFonts w:hint="eastAsia"/>
          <w:color w:val="auto"/>
          <w:szCs w:val="21"/>
          <w:highlight w:val="none"/>
        </w:rPr>
        <w:t>3、投标人应如实填写此表。</w:t>
      </w:r>
    </w:p>
    <w:p w14:paraId="4EB012EF">
      <w:pPr>
        <w:topLinePunct/>
        <w:adjustRightInd w:val="0"/>
        <w:snapToGrid w:val="0"/>
        <w:spacing w:line="360" w:lineRule="auto"/>
        <w:ind w:firstLine="480" w:firstLineChars="200"/>
        <w:rPr>
          <w:color w:val="auto"/>
          <w:szCs w:val="21"/>
          <w:highlight w:val="none"/>
        </w:rPr>
      </w:pPr>
    </w:p>
    <w:p w14:paraId="791BF0C3">
      <w:pPr>
        <w:rPr>
          <w:color w:val="auto"/>
          <w:highlight w:val="none"/>
        </w:rPr>
      </w:pPr>
    </w:p>
    <w:p w14:paraId="116BC62B">
      <w:pPr>
        <w:topLinePunct/>
        <w:adjustRightInd w:val="0"/>
        <w:snapToGrid w:val="0"/>
        <w:spacing w:line="360" w:lineRule="auto"/>
        <w:ind w:firstLine="480" w:firstLineChars="200"/>
        <w:rPr>
          <w:color w:val="auto"/>
          <w:szCs w:val="21"/>
          <w:highlight w:val="none"/>
          <w:u w:val="single"/>
        </w:rPr>
      </w:pPr>
      <w:r>
        <w:rPr>
          <w:color w:val="auto"/>
          <w:szCs w:val="21"/>
          <w:highlight w:val="none"/>
          <w:u w:val="single"/>
        </w:rPr>
        <w:fldChar w:fldCharType="begin"/>
      </w:r>
      <w:r>
        <w:rPr>
          <w:color w:val="auto"/>
          <w:szCs w:val="21"/>
          <w:highlight w:val="none"/>
          <w:u w:val="single"/>
        </w:rPr>
        <w:instrText xml:space="preserve"> </w:instrText>
      </w:r>
      <w:r>
        <w:rPr>
          <w:rFonts w:hint="eastAsia"/>
          <w:color w:val="auto"/>
          <w:szCs w:val="21"/>
          <w:highlight w:val="none"/>
          <w:u w:val="single"/>
        </w:rPr>
        <w:instrText xml:space="preserve">AUTOTEXT  补充修改 \* MERGEFORMAT</w:instrText>
      </w:r>
      <w:r>
        <w:rPr>
          <w:color w:val="auto"/>
          <w:szCs w:val="21"/>
          <w:highlight w:val="none"/>
          <w:u w:val="single"/>
        </w:rPr>
        <w:instrText xml:space="preserve"> </w:instrText>
      </w:r>
      <w:r>
        <w:rPr>
          <w:color w:val="auto"/>
          <w:szCs w:val="21"/>
          <w:highlight w:val="none"/>
          <w:u w:val="single"/>
        </w:rPr>
        <w:fldChar w:fldCharType="end"/>
      </w:r>
    </w:p>
    <w:p w14:paraId="53AA3BFD">
      <w:pPr>
        <w:topLinePunct/>
        <w:adjustRightInd w:val="0"/>
        <w:snapToGrid w:val="0"/>
        <w:spacing w:line="360" w:lineRule="auto"/>
        <w:ind w:firstLine="480" w:firstLineChars="200"/>
        <w:rPr>
          <w:color w:val="auto"/>
          <w:szCs w:val="21"/>
          <w:highlight w:val="none"/>
        </w:rPr>
      </w:pPr>
    </w:p>
    <w:p w14:paraId="78B97BA0">
      <w:pPr>
        <w:topLinePunct/>
        <w:adjustRightInd w:val="0"/>
        <w:snapToGrid w:val="0"/>
        <w:spacing w:line="360" w:lineRule="auto"/>
        <w:ind w:firstLine="480" w:firstLineChars="200"/>
        <w:rPr>
          <w:color w:val="auto"/>
          <w:szCs w:val="21"/>
          <w:highlight w:val="none"/>
        </w:rPr>
      </w:pPr>
      <w:r>
        <w:rPr>
          <w:rFonts w:hint="eastAsia"/>
          <w:color w:val="auto"/>
          <w:szCs w:val="21"/>
          <w:highlight w:val="none"/>
        </w:rPr>
        <w:t>以下空白。</w:t>
      </w:r>
    </w:p>
    <w:p w14:paraId="57382BB9">
      <w:pPr>
        <w:topLinePunct/>
        <w:adjustRightInd w:val="0"/>
        <w:snapToGrid w:val="0"/>
        <w:spacing w:line="360" w:lineRule="auto"/>
        <w:ind w:firstLine="480" w:firstLineChars="200"/>
        <w:rPr>
          <w:color w:val="auto"/>
          <w:szCs w:val="21"/>
          <w:highlight w:val="none"/>
        </w:rPr>
      </w:pPr>
    </w:p>
    <w:p w14:paraId="025AFFAF">
      <w:pPr>
        <w:topLinePunct/>
        <w:adjustRightInd w:val="0"/>
        <w:snapToGrid w:val="0"/>
        <w:spacing w:line="360" w:lineRule="auto"/>
        <w:ind w:firstLine="480" w:firstLineChars="200"/>
        <w:rPr>
          <w:color w:val="auto"/>
          <w:szCs w:val="21"/>
          <w:highlight w:val="none"/>
        </w:rPr>
      </w:pPr>
      <w:r>
        <w:rPr>
          <w:rFonts w:hint="eastAsia"/>
          <w:color w:val="auto"/>
          <w:szCs w:val="21"/>
          <w:highlight w:val="none"/>
        </w:rPr>
        <w:t>招   标   人：</w:t>
      </w:r>
      <w:r>
        <w:rPr>
          <w:rFonts w:hint="eastAsia"/>
          <w:color w:val="auto"/>
          <w:highlight w:val="none"/>
          <w:u w:val="single"/>
        </w:rPr>
        <w:t>深圳市工勘岩土集团有限公司</w:t>
      </w:r>
      <w:r>
        <w:rPr>
          <w:bCs/>
          <w:color w:val="auto"/>
          <w:szCs w:val="21"/>
          <w:highlight w:val="none"/>
          <w:u w:val="single"/>
        </w:rPr>
        <w:fldChar w:fldCharType="begin"/>
      </w:r>
      <w:r>
        <w:rPr>
          <w:bCs/>
          <w:color w:val="auto"/>
          <w:szCs w:val="21"/>
          <w:highlight w:val="none"/>
          <w:u w:val="single"/>
        </w:rPr>
        <w:instrText xml:space="preserve"> AUTOTEXT  input348 \* MERGEFORMAT </w:instrText>
      </w:r>
      <w:r>
        <w:rPr>
          <w:bCs/>
          <w:color w:val="auto"/>
          <w:szCs w:val="21"/>
          <w:highlight w:val="none"/>
          <w:u w:val="single"/>
        </w:rPr>
        <w:fldChar w:fldCharType="end"/>
      </w:r>
    </w:p>
    <w:p w14:paraId="3F2F45E6">
      <w:pPr>
        <w:topLinePunct/>
        <w:adjustRightInd w:val="0"/>
        <w:snapToGrid w:val="0"/>
        <w:spacing w:line="360" w:lineRule="auto"/>
        <w:ind w:firstLine="480" w:firstLineChars="200"/>
        <w:rPr>
          <w:color w:val="auto"/>
          <w:szCs w:val="21"/>
          <w:highlight w:val="none"/>
        </w:rPr>
      </w:pPr>
    </w:p>
    <w:p w14:paraId="7E28A41D">
      <w:pPr>
        <w:topLinePunct/>
        <w:adjustRightInd w:val="0"/>
        <w:snapToGrid w:val="0"/>
        <w:spacing w:line="360" w:lineRule="auto"/>
        <w:ind w:firstLine="480" w:firstLineChars="200"/>
        <w:rPr>
          <w:color w:val="auto"/>
          <w:szCs w:val="21"/>
          <w:highlight w:val="none"/>
        </w:rPr>
      </w:pPr>
      <w:r>
        <w:rPr>
          <w:rFonts w:hint="eastAsia"/>
          <w:color w:val="auto"/>
          <w:szCs w:val="21"/>
          <w:highlight w:val="none"/>
        </w:rPr>
        <w:t>招标代理机构：</w:t>
      </w:r>
      <w:r>
        <w:rPr>
          <w:rFonts w:hint="eastAsia"/>
          <w:color w:val="auto"/>
          <w:highlight w:val="none"/>
          <w:u w:val="single"/>
        </w:rPr>
        <w:t>深圳市深水水务咨询有限公司</w:t>
      </w:r>
      <w:r>
        <w:rPr>
          <w:bCs/>
          <w:color w:val="auto"/>
          <w:szCs w:val="21"/>
          <w:highlight w:val="none"/>
          <w:u w:val="single"/>
        </w:rPr>
        <w:fldChar w:fldCharType="begin"/>
      </w:r>
      <w:r>
        <w:rPr>
          <w:bCs/>
          <w:color w:val="auto"/>
          <w:szCs w:val="21"/>
          <w:highlight w:val="none"/>
          <w:u w:val="single"/>
        </w:rPr>
        <w:instrText xml:space="preserve"> AUTOTEXT  input349 \* MERGEFORMAT </w:instrText>
      </w:r>
      <w:r>
        <w:rPr>
          <w:bCs/>
          <w:color w:val="auto"/>
          <w:szCs w:val="21"/>
          <w:highlight w:val="none"/>
          <w:u w:val="single"/>
        </w:rPr>
        <w:fldChar w:fldCharType="end"/>
      </w:r>
    </w:p>
    <w:p w14:paraId="35C71C3A">
      <w:pPr>
        <w:topLinePunct/>
        <w:adjustRightInd w:val="0"/>
        <w:snapToGrid w:val="0"/>
        <w:spacing w:line="360" w:lineRule="auto"/>
        <w:ind w:firstLine="480" w:firstLineChars="200"/>
        <w:rPr>
          <w:color w:val="auto"/>
          <w:szCs w:val="21"/>
          <w:highlight w:val="none"/>
        </w:rPr>
      </w:pPr>
    </w:p>
    <w:p w14:paraId="1C579CB5">
      <w:pPr>
        <w:topLinePunct/>
        <w:adjustRightInd w:val="0"/>
        <w:snapToGrid w:val="0"/>
        <w:spacing w:line="360" w:lineRule="auto"/>
        <w:ind w:firstLine="480" w:firstLineChars="200"/>
        <w:rPr>
          <w:color w:val="auto"/>
          <w:highlight w:val="none"/>
        </w:rPr>
      </w:pPr>
      <w:r>
        <w:rPr>
          <w:rFonts w:hint="eastAsia"/>
          <w:color w:val="auto"/>
          <w:szCs w:val="21"/>
          <w:highlight w:val="none"/>
        </w:rPr>
        <w:t>编制日期：</w:t>
      </w:r>
      <w:r>
        <w:rPr>
          <w:color w:val="auto"/>
          <w:highlight w:val="none"/>
          <w:u w:val="single"/>
        </w:rPr>
        <w:t xml:space="preserve">       </w:t>
      </w:r>
      <w:r>
        <w:rPr>
          <w:bCs/>
          <w:color w:val="auto"/>
          <w:szCs w:val="21"/>
          <w:highlight w:val="none"/>
          <w:u w:val="single"/>
        </w:rPr>
        <w:fldChar w:fldCharType="begin"/>
      </w:r>
      <w:r>
        <w:rPr>
          <w:bCs/>
          <w:color w:val="auto"/>
          <w:szCs w:val="21"/>
          <w:highlight w:val="none"/>
          <w:u w:val="single"/>
        </w:rPr>
        <w:instrText xml:space="preserve"> AUTOTEXT  input350 \* MERGEFORMAT </w:instrText>
      </w:r>
      <w:r>
        <w:rPr>
          <w:bCs/>
          <w:color w:val="auto"/>
          <w:szCs w:val="21"/>
          <w:highlight w:val="none"/>
          <w:u w:val="single"/>
        </w:rPr>
        <w:fldChar w:fldCharType="end"/>
      </w:r>
      <w:bookmarkEnd w:id="260"/>
      <w:r>
        <w:rPr>
          <w:color w:val="auto"/>
          <w:highlight w:val="none"/>
        </w:rPr>
        <w:br w:type="page"/>
      </w:r>
    </w:p>
    <w:p w14:paraId="3F14970F">
      <w:pPr>
        <w:adjustRightInd w:val="0"/>
        <w:snapToGrid w:val="0"/>
        <w:spacing w:line="360" w:lineRule="auto"/>
        <w:jc w:val="center"/>
        <w:outlineLvl w:val="0"/>
        <w:rPr>
          <w:b/>
          <w:color w:val="auto"/>
          <w:sz w:val="52"/>
          <w:szCs w:val="52"/>
          <w:highlight w:val="none"/>
        </w:rPr>
      </w:pPr>
      <w:r>
        <w:rPr>
          <w:rFonts w:hint="eastAsia"/>
          <w:b/>
          <w:color w:val="auto"/>
          <w:sz w:val="52"/>
          <w:szCs w:val="52"/>
          <w:highlight w:val="none"/>
        </w:rPr>
        <w:t>第四章  投标文件格式</w:t>
      </w:r>
    </w:p>
    <w:p w14:paraId="5CD03C08">
      <w:pPr>
        <w:spacing w:line="360" w:lineRule="auto"/>
        <w:rPr>
          <w:color w:val="auto"/>
          <w:highlight w:val="none"/>
        </w:rPr>
      </w:pPr>
      <w:r>
        <w:rPr>
          <w:color w:val="auto"/>
          <w:highlight w:val="none"/>
        </w:rPr>
        <w:br w:type="page"/>
      </w:r>
    </w:p>
    <w:p w14:paraId="455628DC">
      <w:pPr>
        <w:adjustRightInd w:val="0"/>
        <w:snapToGrid w:val="0"/>
        <w:spacing w:line="360" w:lineRule="auto"/>
        <w:ind w:firstLine="6425" w:firstLineChars="2000"/>
        <w:rPr>
          <w:b/>
          <w:color w:val="auto"/>
          <w:sz w:val="32"/>
          <w:szCs w:val="32"/>
          <w:highlight w:val="none"/>
        </w:rPr>
      </w:pPr>
      <w:r>
        <w:rPr>
          <w:rFonts w:hint="eastAsia"/>
          <w:b/>
          <w:color w:val="auto"/>
          <w:sz w:val="32"/>
          <w:szCs w:val="32"/>
          <w:highlight w:val="none"/>
        </w:rPr>
        <w:t>工程编号：</w:t>
      </w:r>
      <w:r>
        <w:rPr>
          <w:b/>
          <w:bCs/>
          <w:color w:val="auto"/>
          <w:sz w:val="32"/>
          <w:szCs w:val="32"/>
          <w:highlight w:val="none"/>
          <w:u w:val="single"/>
        </w:rPr>
        <w:t>_______</w:t>
      </w:r>
    </w:p>
    <w:p w14:paraId="4D54D672">
      <w:pPr>
        <w:adjustRightInd w:val="0"/>
        <w:snapToGrid w:val="0"/>
        <w:spacing w:line="360" w:lineRule="auto"/>
        <w:rPr>
          <w:b/>
          <w:bCs/>
          <w:color w:val="auto"/>
          <w:sz w:val="28"/>
          <w:highlight w:val="none"/>
        </w:rPr>
      </w:pPr>
    </w:p>
    <w:p w14:paraId="4E534C57">
      <w:pPr>
        <w:jc w:val="center"/>
        <w:rPr>
          <w:snapToGrid w:val="0"/>
          <w:color w:val="auto"/>
          <w:sz w:val="36"/>
          <w:szCs w:val="36"/>
          <w:highlight w:val="none"/>
        </w:rPr>
      </w:pPr>
      <w:r>
        <w:rPr>
          <w:rFonts w:hint="eastAsia"/>
          <w:snapToGrid w:val="0"/>
          <w:color w:val="auto"/>
          <w:sz w:val="36"/>
          <w:szCs w:val="36"/>
          <w:highlight w:val="none"/>
          <w:u w:val="single"/>
        </w:rPr>
        <w:t xml:space="preserve">            </w:t>
      </w:r>
      <w:r>
        <w:rPr>
          <w:rFonts w:hint="eastAsia"/>
          <w:snapToGrid w:val="0"/>
          <w:color w:val="auto"/>
          <w:sz w:val="36"/>
          <w:szCs w:val="36"/>
          <w:highlight w:val="none"/>
        </w:rPr>
        <w:t>项目</w:t>
      </w:r>
    </w:p>
    <w:p w14:paraId="58C9AD07">
      <w:pPr>
        <w:jc w:val="center"/>
        <w:rPr>
          <w:snapToGrid w:val="0"/>
          <w:color w:val="auto"/>
          <w:sz w:val="44"/>
          <w:szCs w:val="44"/>
          <w:highlight w:val="none"/>
        </w:rPr>
      </w:pPr>
    </w:p>
    <w:p w14:paraId="094CD345">
      <w:pPr>
        <w:jc w:val="center"/>
        <w:rPr>
          <w:snapToGrid w:val="0"/>
          <w:color w:val="auto"/>
          <w:sz w:val="52"/>
          <w:szCs w:val="52"/>
          <w:highlight w:val="none"/>
        </w:rPr>
      </w:pPr>
      <w:r>
        <w:rPr>
          <w:rFonts w:hint="eastAsia"/>
          <w:snapToGrid w:val="0"/>
          <w:color w:val="auto"/>
          <w:sz w:val="52"/>
          <w:szCs w:val="52"/>
          <w:highlight w:val="none"/>
        </w:rPr>
        <w:t>投标文件</w:t>
      </w:r>
    </w:p>
    <w:p w14:paraId="2A66C48E">
      <w:pPr>
        <w:jc w:val="center"/>
        <w:rPr>
          <w:snapToGrid w:val="0"/>
          <w:color w:val="auto"/>
          <w:sz w:val="52"/>
          <w:szCs w:val="52"/>
          <w:highlight w:val="none"/>
        </w:rPr>
      </w:pPr>
    </w:p>
    <w:p w14:paraId="21A8F740">
      <w:pPr>
        <w:jc w:val="center"/>
        <w:rPr>
          <w:snapToGrid w:val="0"/>
          <w:color w:val="auto"/>
          <w:sz w:val="44"/>
          <w:szCs w:val="44"/>
          <w:highlight w:val="none"/>
        </w:rPr>
      </w:pPr>
    </w:p>
    <w:p w14:paraId="09F9FB06">
      <w:pPr>
        <w:jc w:val="center"/>
        <w:outlineLvl w:val="1"/>
        <w:rPr>
          <w:b/>
          <w:snapToGrid w:val="0"/>
          <w:color w:val="auto"/>
          <w:sz w:val="44"/>
          <w:szCs w:val="44"/>
          <w:highlight w:val="none"/>
        </w:rPr>
      </w:pPr>
      <w:bookmarkStart w:id="273" w:name="_Toc6581"/>
      <w:bookmarkStart w:id="274" w:name="_Toc22744"/>
      <w:r>
        <w:rPr>
          <w:rFonts w:hint="eastAsia"/>
          <w:b/>
          <w:snapToGrid w:val="0"/>
          <w:color w:val="auto"/>
          <w:sz w:val="44"/>
          <w:szCs w:val="44"/>
          <w:highlight w:val="none"/>
        </w:rPr>
        <w:t>资格审查文件</w:t>
      </w:r>
      <w:bookmarkEnd w:id="273"/>
      <w:bookmarkEnd w:id="274"/>
    </w:p>
    <w:p w14:paraId="47894481">
      <w:pPr>
        <w:jc w:val="center"/>
        <w:rPr>
          <w:snapToGrid w:val="0"/>
          <w:color w:val="auto"/>
          <w:sz w:val="44"/>
          <w:szCs w:val="44"/>
          <w:highlight w:val="none"/>
        </w:rPr>
      </w:pPr>
    </w:p>
    <w:p w14:paraId="3F153333">
      <w:pPr>
        <w:jc w:val="center"/>
        <w:rPr>
          <w:snapToGrid w:val="0"/>
          <w:color w:val="auto"/>
          <w:sz w:val="44"/>
          <w:szCs w:val="44"/>
          <w:highlight w:val="none"/>
        </w:rPr>
      </w:pPr>
    </w:p>
    <w:p w14:paraId="30AAD207">
      <w:pPr>
        <w:jc w:val="center"/>
        <w:rPr>
          <w:snapToGrid w:val="0"/>
          <w:color w:val="auto"/>
          <w:sz w:val="44"/>
          <w:szCs w:val="44"/>
          <w:highlight w:val="none"/>
        </w:rPr>
      </w:pPr>
    </w:p>
    <w:p w14:paraId="7A3F4B7C">
      <w:pPr>
        <w:jc w:val="center"/>
        <w:rPr>
          <w:snapToGrid w:val="0"/>
          <w:color w:val="auto"/>
          <w:sz w:val="44"/>
          <w:szCs w:val="44"/>
          <w:highlight w:val="none"/>
        </w:rPr>
      </w:pPr>
    </w:p>
    <w:p w14:paraId="16B03C29">
      <w:pPr>
        <w:jc w:val="center"/>
        <w:rPr>
          <w:snapToGrid w:val="0"/>
          <w:color w:val="auto"/>
          <w:sz w:val="44"/>
          <w:szCs w:val="44"/>
          <w:highlight w:val="none"/>
        </w:rPr>
      </w:pPr>
    </w:p>
    <w:p w14:paraId="565A23D3">
      <w:pPr>
        <w:jc w:val="center"/>
        <w:rPr>
          <w:snapToGrid w:val="0"/>
          <w:color w:val="auto"/>
          <w:sz w:val="44"/>
          <w:szCs w:val="44"/>
          <w:highlight w:val="none"/>
        </w:rPr>
      </w:pPr>
    </w:p>
    <w:p w14:paraId="3F17674B">
      <w:pPr>
        <w:spacing w:line="480" w:lineRule="auto"/>
        <w:ind w:firstLine="1400" w:firstLineChars="500"/>
        <w:rPr>
          <w:snapToGrid w:val="0"/>
          <w:color w:val="auto"/>
          <w:sz w:val="28"/>
          <w:szCs w:val="28"/>
          <w:highlight w:val="none"/>
        </w:rPr>
      </w:pPr>
      <w:r>
        <w:rPr>
          <w:rFonts w:hint="eastAsia"/>
          <w:snapToGrid w:val="0"/>
          <w:color w:val="auto"/>
          <w:sz w:val="28"/>
          <w:szCs w:val="28"/>
          <w:highlight w:val="none"/>
        </w:rPr>
        <w:t>项目编号：</w:t>
      </w:r>
      <w:r>
        <w:rPr>
          <w:rFonts w:hint="eastAsia"/>
          <w:snapToGrid w:val="0"/>
          <w:color w:val="auto"/>
          <w:sz w:val="28"/>
          <w:szCs w:val="28"/>
          <w:highlight w:val="none"/>
          <w:u w:val="single"/>
        </w:rPr>
        <w:t xml:space="preserve">                            </w:t>
      </w:r>
    </w:p>
    <w:p w14:paraId="15A12C8D">
      <w:pPr>
        <w:spacing w:line="480" w:lineRule="auto"/>
        <w:ind w:firstLine="1400" w:firstLineChars="500"/>
        <w:rPr>
          <w:snapToGrid w:val="0"/>
          <w:color w:val="auto"/>
          <w:sz w:val="28"/>
          <w:szCs w:val="28"/>
          <w:highlight w:val="none"/>
        </w:rPr>
      </w:pPr>
      <w:r>
        <w:rPr>
          <w:rFonts w:hint="eastAsia"/>
          <w:snapToGrid w:val="0"/>
          <w:color w:val="auto"/>
          <w:sz w:val="28"/>
          <w:szCs w:val="28"/>
          <w:highlight w:val="none"/>
        </w:rPr>
        <w:t>投标人名称：</w:t>
      </w:r>
      <w:r>
        <w:rPr>
          <w:rFonts w:hint="eastAsia"/>
          <w:snapToGrid w:val="0"/>
          <w:color w:val="auto"/>
          <w:sz w:val="28"/>
          <w:szCs w:val="28"/>
          <w:highlight w:val="none"/>
          <w:u w:val="single"/>
        </w:rPr>
        <w:t xml:space="preserve">                           </w:t>
      </w:r>
    </w:p>
    <w:p w14:paraId="3A18283C">
      <w:pPr>
        <w:spacing w:line="480" w:lineRule="auto"/>
        <w:ind w:firstLine="1400" w:firstLineChars="500"/>
        <w:rPr>
          <w:snapToGrid w:val="0"/>
          <w:color w:val="auto"/>
          <w:sz w:val="28"/>
          <w:szCs w:val="28"/>
          <w:highlight w:val="none"/>
        </w:rPr>
      </w:pPr>
      <w:r>
        <w:rPr>
          <w:rFonts w:hint="eastAsia"/>
          <w:snapToGrid w:val="0"/>
          <w:color w:val="auto"/>
          <w:sz w:val="28"/>
          <w:szCs w:val="28"/>
          <w:highlight w:val="none"/>
        </w:rPr>
        <w:t>投标人代表：</w:t>
      </w:r>
      <w:r>
        <w:rPr>
          <w:rFonts w:hint="eastAsia"/>
          <w:snapToGrid w:val="0"/>
          <w:color w:val="auto"/>
          <w:sz w:val="28"/>
          <w:szCs w:val="28"/>
          <w:highlight w:val="none"/>
          <w:u w:val="single"/>
        </w:rPr>
        <w:t xml:space="preserve">                           </w:t>
      </w:r>
    </w:p>
    <w:p w14:paraId="47B97B26">
      <w:pPr>
        <w:spacing w:line="480" w:lineRule="auto"/>
        <w:ind w:firstLine="1400" w:firstLineChars="500"/>
        <w:rPr>
          <w:snapToGrid w:val="0"/>
          <w:color w:val="auto"/>
          <w:sz w:val="28"/>
          <w:szCs w:val="28"/>
          <w:highlight w:val="none"/>
        </w:rPr>
      </w:pPr>
      <w:r>
        <w:rPr>
          <w:rFonts w:hint="eastAsia"/>
          <w:snapToGrid w:val="0"/>
          <w:color w:val="auto"/>
          <w:sz w:val="28"/>
          <w:szCs w:val="28"/>
          <w:highlight w:val="none"/>
        </w:rPr>
        <w:t>投标日期：</w:t>
      </w:r>
      <w:r>
        <w:rPr>
          <w:rFonts w:hint="eastAsia"/>
          <w:snapToGrid w:val="0"/>
          <w:color w:val="auto"/>
          <w:sz w:val="28"/>
          <w:szCs w:val="28"/>
          <w:highlight w:val="none"/>
          <w:u w:val="single"/>
        </w:rPr>
        <w:t xml:space="preserve">           </w:t>
      </w:r>
      <w:r>
        <w:rPr>
          <w:rFonts w:hint="eastAsia"/>
          <w:snapToGrid w:val="0"/>
          <w:color w:val="auto"/>
          <w:sz w:val="28"/>
          <w:szCs w:val="28"/>
          <w:highlight w:val="none"/>
        </w:rPr>
        <w:t>年</w:t>
      </w:r>
      <w:r>
        <w:rPr>
          <w:rFonts w:hint="eastAsia"/>
          <w:snapToGrid w:val="0"/>
          <w:color w:val="auto"/>
          <w:sz w:val="28"/>
          <w:szCs w:val="28"/>
          <w:highlight w:val="none"/>
          <w:u w:val="single"/>
        </w:rPr>
        <w:t xml:space="preserve">      </w:t>
      </w:r>
      <w:r>
        <w:rPr>
          <w:rFonts w:hint="eastAsia"/>
          <w:snapToGrid w:val="0"/>
          <w:color w:val="auto"/>
          <w:sz w:val="28"/>
          <w:szCs w:val="28"/>
          <w:highlight w:val="none"/>
        </w:rPr>
        <w:t>月</w:t>
      </w:r>
      <w:r>
        <w:rPr>
          <w:rFonts w:hint="eastAsia"/>
          <w:snapToGrid w:val="0"/>
          <w:color w:val="auto"/>
          <w:sz w:val="28"/>
          <w:szCs w:val="28"/>
          <w:highlight w:val="none"/>
          <w:u w:val="single"/>
        </w:rPr>
        <w:t xml:space="preserve">      </w:t>
      </w:r>
      <w:r>
        <w:rPr>
          <w:rFonts w:hint="eastAsia"/>
          <w:snapToGrid w:val="0"/>
          <w:color w:val="auto"/>
          <w:sz w:val="28"/>
          <w:szCs w:val="28"/>
          <w:highlight w:val="none"/>
        </w:rPr>
        <w:t>日</w:t>
      </w:r>
    </w:p>
    <w:p w14:paraId="6DF53392">
      <w:pPr>
        <w:adjustRightInd w:val="0"/>
        <w:snapToGrid w:val="0"/>
        <w:spacing w:line="360" w:lineRule="auto"/>
        <w:rPr>
          <w:color w:val="auto"/>
          <w:highlight w:val="none"/>
        </w:rPr>
      </w:pPr>
      <w:r>
        <w:rPr>
          <w:color w:val="auto"/>
          <w:highlight w:val="none"/>
        </w:rPr>
        <w:br w:type="page"/>
      </w:r>
    </w:p>
    <w:p w14:paraId="33250B49">
      <w:pPr>
        <w:spacing w:after="163" w:afterLines="50" w:line="440" w:lineRule="exact"/>
        <w:jc w:val="center"/>
        <w:rPr>
          <w:snapToGrid w:val="0"/>
          <w:color w:val="auto"/>
          <w:sz w:val="44"/>
          <w:highlight w:val="none"/>
        </w:rPr>
      </w:pPr>
      <w:r>
        <w:rPr>
          <w:rFonts w:hint="eastAsia"/>
          <w:snapToGrid w:val="0"/>
          <w:color w:val="auto"/>
          <w:sz w:val="44"/>
          <w:szCs w:val="44"/>
          <w:highlight w:val="none"/>
        </w:rPr>
        <w:t>资格审查文件</w:t>
      </w:r>
      <w:r>
        <w:rPr>
          <w:rFonts w:hint="eastAsia"/>
          <w:snapToGrid w:val="0"/>
          <w:color w:val="auto"/>
          <w:sz w:val="44"/>
          <w:highlight w:val="none"/>
        </w:rPr>
        <w:t>目录</w:t>
      </w:r>
    </w:p>
    <w:p w14:paraId="1E87E5FF">
      <w:pPr>
        <w:spacing w:after="163" w:afterLines="50" w:line="440" w:lineRule="exact"/>
        <w:jc w:val="center"/>
        <w:rPr>
          <w:snapToGrid w:val="0"/>
          <w:color w:val="auto"/>
          <w:sz w:val="44"/>
          <w:highlight w:val="none"/>
        </w:rPr>
      </w:pPr>
    </w:p>
    <w:p w14:paraId="5C54F687">
      <w:pPr>
        <w:spacing w:line="360" w:lineRule="auto"/>
        <w:rPr>
          <w:snapToGrid w:val="0"/>
          <w:color w:val="auto"/>
          <w:sz w:val="28"/>
          <w:szCs w:val="28"/>
          <w:highlight w:val="none"/>
        </w:rPr>
      </w:pPr>
    </w:p>
    <w:p w14:paraId="7C781155">
      <w:pPr>
        <w:spacing w:line="360" w:lineRule="auto"/>
        <w:ind w:firstLine="560" w:firstLineChars="200"/>
        <w:rPr>
          <w:snapToGrid w:val="0"/>
          <w:color w:val="auto"/>
          <w:sz w:val="28"/>
          <w:szCs w:val="28"/>
          <w:highlight w:val="none"/>
        </w:rPr>
      </w:pPr>
      <w:r>
        <w:rPr>
          <w:snapToGrid w:val="0"/>
          <w:color w:val="auto"/>
          <w:sz w:val="28"/>
          <w:szCs w:val="28"/>
          <w:highlight w:val="none"/>
        </w:rPr>
        <w:t>1、营业执照，或事业单位法人证书，或者工商行政主管部门颁发的工商登记证明的原件扫描件（原件扫描件）；</w:t>
      </w:r>
    </w:p>
    <w:p w14:paraId="612E09E3">
      <w:pPr>
        <w:spacing w:line="360" w:lineRule="auto"/>
        <w:ind w:firstLine="560" w:firstLineChars="200"/>
        <w:rPr>
          <w:snapToGrid w:val="0"/>
          <w:color w:val="auto"/>
          <w:sz w:val="28"/>
          <w:szCs w:val="28"/>
          <w:highlight w:val="none"/>
        </w:rPr>
      </w:pPr>
      <w:r>
        <w:rPr>
          <w:rFonts w:hint="eastAsia"/>
          <w:snapToGrid w:val="0"/>
          <w:color w:val="auto"/>
          <w:sz w:val="28"/>
          <w:szCs w:val="28"/>
          <w:highlight w:val="none"/>
        </w:rPr>
        <w:t>2</w:t>
      </w:r>
      <w:r>
        <w:rPr>
          <w:snapToGrid w:val="0"/>
          <w:color w:val="auto"/>
          <w:sz w:val="28"/>
          <w:szCs w:val="28"/>
          <w:highlight w:val="none"/>
        </w:rPr>
        <w:t>、投标人认为需提供的其它材料（原件扫描件）</w:t>
      </w:r>
      <w:r>
        <w:rPr>
          <w:rFonts w:hint="eastAsia"/>
          <w:snapToGrid w:val="0"/>
          <w:color w:val="auto"/>
          <w:sz w:val="28"/>
          <w:szCs w:val="28"/>
          <w:highlight w:val="none"/>
        </w:rPr>
        <w:t>。</w:t>
      </w:r>
      <w:r>
        <w:rPr>
          <w:snapToGrid w:val="0"/>
          <w:color w:val="auto"/>
          <w:sz w:val="28"/>
          <w:szCs w:val="28"/>
          <w:highlight w:val="none"/>
        </w:rPr>
        <w:fldChar w:fldCharType="begin"/>
      </w:r>
      <w:r>
        <w:rPr>
          <w:snapToGrid w:val="0"/>
          <w:color w:val="auto"/>
          <w:sz w:val="28"/>
          <w:szCs w:val="28"/>
          <w:highlight w:val="none"/>
        </w:rPr>
        <w:instrText xml:space="preserve"> AUTOTEXT  input303 \* MERGEFORMAT </w:instrText>
      </w:r>
      <w:r>
        <w:rPr>
          <w:snapToGrid w:val="0"/>
          <w:color w:val="auto"/>
          <w:sz w:val="28"/>
          <w:szCs w:val="28"/>
          <w:highlight w:val="none"/>
        </w:rPr>
        <w:fldChar w:fldCharType="end"/>
      </w:r>
      <w:r>
        <w:rPr>
          <w:snapToGrid w:val="0"/>
          <w:color w:val="auto"/>
          <w:sz w:val="28"/>
          <w:szCs w:val="28"/>
          <w:highlight w:val="none"/>
        </w:rPr>
        <w:br w:type="page"/>
      </w:r>
    </w:p>
    <w:p w14:paraId="3054484F">
      <w:pPr>
        <w:jc w:val="center"/>
        <w:rPr>
          <w:snapToGrid w:val="0"/>
          <w:color w:val="auto"/>
          <w:sz w:val="44"/>
          <w:szCs w:val="44"/>
          <w:highlight w:val="none"/>
        </w:rPr>
      </w:pPr>
      <w:r>
        <w:rPr>
          <w:rFonts w:hint="eastAsia"/>
          <w:snapToGrid w:val="0"/>
          <w:color w:val="auto"/>
          <w:sz w:val="44"/>
          <w:szCs w:val="44"/>
          <w:highlight w:val="none"/>
          <w:u w:val="single"/>
        </w:rPr>
        <w:t xml:space="preserve">                </w:t>
      </w:r>
      <w:r>
        <w:rPr>
          <w:rFonts w:hint="eastAsia"/>
          <w:snapToGrid w:val="0"/>
          <w:color w:val="auto"/>
          <w:sz w:val="44"/>
          <w:szCs w:val="44"/>
          <w:highlight w:val="none"/>
        </w:rPr>
        <w:t>项目</w:t>
      </w:r>
    </w:p>
    <w:p w14:paraId="4CD595E5">
      <w:pPr>
        <w:jc w:val="center"/>
        <w:rPr>
          <w:snapToGrid w:val="0"/>
          <w:color w:val="auto"/>
          <w:sz w:val="44"/>
          <w:szCs w:val="44"/>
          <w:highlight w:val="none"/>
        </w:rPr>
      </w:pPr>
    </w:p>
    <w:p w14:paraId="5AC91CE2">
      <w:pPr>
        <w:jc w:val="center"/>
        <w:rPr>
          <w:snapToGrid w:val="0"/>
          <w:color w:val="auto"/>
          <w:sz w:val="52"/>
          <w:szCs w:val="52"/>
          <w:highlight w:val="none"/>
        </w:rPr>
      </w:pPr>
      <w:r>
        <w:rPr>
          <w:rFonts w:hint="eastAsia"/>
          <w:snapToGrid w:val="0"/>
          <w:color w:val="auto"/>
          <w:sz w:val="52"/>
          <w:szCs w:val="52"/>
          <w:highlight w:val="none"/>
        </w:rPr>
        <w:t>投标文件</w:t>
      </w:r>
    </w:p>
    <w:p w14:paraId="00080E49">
      <w:pPr>
        <w:jc w:val="center"/>
        <w:rPr>
          <w:snapToGrid w:val="0"/>
          <w:color w:val="auto"/>
          <w:sz w:val="52"/>
          <w:szCs w:val="52"/>
          <w:highlight w:val="none"/>
        </w:rPr>
      </w:pPr>
    </w:p>
    <w:p w14:paraId="660CA1A8">
      <w:pPr>
        <w:jc w:val="center"/>
        <w:rPr>
          <w:snapToGrid w:val="0"/>
          <w:color w:val="auto"/>
          <w:sz w:val="44"/>
          <w:szCs w:val="44"/>
          <w:highlight w:val="none"/>
        </w:rPr>
      </w:pPr>
    </w:p>
    <w:p w14:paraId="3E21B390">
      <w:pPr>
        <w:jc w:val="center"/>
        <w:outlineLvl w:val="1"/>
        <w:rPr>
          <w:b/>
          <w:snapToGrid w:val="0"/>
          <w:color w:val="auto"/>
          <w:sz w:val="44"/>
          <w:szCs w:val="44"/>
          <w:highlight w:val="none"/>
        </w:rPr>
      </w:pPr>
      <w:r>
        <w:rPr>
          <w:rFonts w:hint="eastAsia"/>
          <w:b/>
          <w:snapToGrid w:val="0"/>
          <w:color w:val="auto"/>
          <w:sz w:val="44"/>
          <w:szCs w:val="44"/>
          <w:highlight w:val="none"/>
        </w:rPr>
        <w:t>资信标书</w:t>
      </w:r>
    </w:p>
    <w:p w14:paraId="6F486039">
      <w:pPr>
        <w:jc w:val="center"/>
        <w:rPr>
          <w:snapToGrid w:val="0"/>
          <w:color w:val="auto"/>
          <w:sz w:val="44"/>
          <w:szCs w:val="44"/>
          <w:highlight w:val="none"/>
        </w:rPr>
      </w:pPr>
    </w:p>
    <w:p w14:paraId="58373453">
      <w:pPr>
        <w:jc w:val="center"/>
        <w:rPr>
          <w:snapToGrid w:val="0"/>
          <w:color w:val="auto"/>
          <w:sz w:val="44"/>
          <w:szCs w:val="44"/>
          <w:highlight w:val="none"/>
        </w:rPr>
      </w:pPr>
    </w:p>
    <w:p w14:paraId="3D9BA752">
      <w:pPr>
        <w:jc w:val="center"/>
        <w:rPr>
          <w:snapToGrid w:val="0"/>
          <w:color w:val="auto"/>
          <w:sz w:val="44"/>
          <w:szCs w:val="44"/>
          <w:highlight w:val="none"/>
        </w:rPr>
      </w:pPr>
    </w:p>
    <w:p w14:paraId="07FF82B5">
      <w:pPr>
        <w:jc w:val="center"/>
        <w:rPr>
          <w:snapToGrid w:val="0"/>
          <w:color w:val="auto"/>
          <w:sz w:val="44"/>
          <w:szCs w:val="44"/>
          <w:highlight w:val="none"/>
        </w:rPr>
      </w:pPr>
    </w:p>
    <w:p w14:paraId="1CE5FCB8">
      <w:pPr>
        <w:spacing w:line="480" w:lineRule="auto"/>
        <w:ind w:firstLine="1400" w:firstLineChars="500"/>
        <w:rPr>
          <w:snapToGrid w:val="0"/>
          <w:color w:val="auto"/>
          <w:sz w:val="28"/>
          <w:szCs w:val="28"/>
          <w:highlight w:val="none"/>
        </w:rPr>
      </w:pPr>
      <w:r>
        <w:rPr>
          <w:rFonts w:hint="eastAsia"/>
          <w:snapToGrid w:val="0"/>
          <w:color w:val="auto"/>
          <w:sz w:val="28"/>
          <w:szCs w:val="28"/>
          <w:highlight w:val="none"/>
        </w:rPr>
        <w:t>项目编号：</w:t>
      </w:r>
      <w:r>
        <w:rPr>
          <w:rFonts w:hint="eastAsia"/>
          <w:snapToGrid w:val="0"/>
          <w:color w:val="auto"/>
          <w:sz w:val="28"/>
          <w:szCs w:val="28"/>
          <w:highlight w:val="none"/>
          <w:u w:val="single"/>
        </w:rPr>
        <w:t xml:space="preserve">                            </w:t>
      </w:r>
    </w:p>
    <w:p w14:paraId="1B33D694">
      <w:pPr>
        <w:spacing w:line="480" w:lineRule="auto"/>
        <w:ind w:firstLine="1400" w:firstLineChars="500"/>
        <w:rPr>
          <w:snapToGrid w:val="0"/>
          <w:color w:val="auto"/>
          <w:sz w:val="28"/>
          <w:szCs w:val="28"/>
          <w:highlight w:val="none"/>
        </w:rPr>
      </w:pPr>
      <w:r>
        <w:rPr>
          <w:rFonts w:hint="eastAsia"/>
          <w:snapToGrid w:val="0"/>
          <w:color w:val="auto"/>
          <w:sz w:val="28"/>
          <w:szCs w:val="28"/>
          <w:highlight w:val="none"/>
        </w:rPr>
        <w:t>投标人名称：</w:t>
      </w:r>
      <w:r>
        <w:rPr>
          <w:rFonts w:hint="eastAsia"/>
          <w:snapToGrid w:val="0"/>
          <w:color w:val="auto"/>
          <w:sz w:val="28"/>
          <w:szCs w:val="28"/>
          <w:highlight w:val="none"/>
          <w:u w:val="single"/>
        </w:rPr>
        <w:t xml:space="preserve">                           </w:t>
      </w:r>
    </w:p>
    <w:p w14:paraId="425803F5">
      <w:pPr>
        <w:spacing w:line="480" w:lineRule="auto"/>
        <w:ind w:firstLine="1400" w:firstLineChars="500"/>
        <w:rPr>
          <w:snapToGrid w:val="0"/>
          <w:color w:val="auto"/>
          <w:sz w:val="28"/>
          <w:szCs w:val="28"/>
          <w:highlight w:val="none"/>
        </w:rPr>
      </w:pPr>
      <w:r>
        <w:rPr>
          <w:rFonts w:hint="eastAsia"/>
          <w:snapToGrid w:val="0"/>
          <w:color w:val="auto"/>
          <w:sz w:val="28"/>
          <w:szCs w:val="28"/>
          <w:highlight w:val="none"/>
        </w:rPr>
        <w:t>投标人代表：</w:t>
      </w:r>
      <w:r>
        <w:rPr>
          <w:rFonts w:hint="eastAsia"/>
          <w:snapToGrid w:val="0"/>
          <w:color w:val="auto"/>
          <w:sz w:val="28"/>
          <w:szCs w:val="28"/>
          <w:highlight w:val="none"/>
          <w:u w:val="single"/>
        </w:rPr>
        <w:t xml:space="preserve">                           </w:t>
      </w:r>
    </w:p>
    <w:p w14:paraId="66214F76">
      <w:pPr>
        <w:spacing w:line="480" w:lineRule="auto"/>
        <w:ind w:firstLine="1400" w:firstLineChars="500"/>
        <w:rPr>
          <w:rFonts w:ascii="黑体" w:eastAsia="黑体"/>
          <w:snapToGrid w:val="0"/>
          <w:color w:val="auto"/>
          <w:sz w:val="28"/>
          <w:szCs w:val="28"/>
          <w:highlight w:val="none"/>
        </w:rPr>
      </w:pPr>
      <w:r>
        <w:rPr>
          <w:rFonts w:hint="eastAsia"/>
          <w:snapToGrid w:val="0"/>
          <w:color w:val="auto"/>
          <w:sz w:val="28"/>
          <w:szCs w:val="28"/>
          <w:highlight w:val="none"/>
        </w:rPr>
        <w:t>投标日期：</w:t>
      </w:r>
      <w:r>
        <w:rPr>
          <w:rFonts w:hint="eastAsia"/>
          <w:snapToGrid w:val="0"/>
          <w:color w:val="auto"/>
          <w:sz w:val="28"/>
          <w:szCs w:val="28"/>
          <w:highlight w:val="none"/>
          <w:u w:val="single"/>
        </w:rPr>
        <w:t xml:space="preserve">           </w:t>
      </w:r>
      <w:r>
        <w:rPr>
          <w:rFonts w:hint="eastAsia"/>
          <w:snapToGrid w:val="0"/>
          <w:color w:val="auto"/>
          <w:sz w:val="28"/>
          <w:szCs w:val="28"/>
          <w:highlight w:val="none"/>
        </w:rPr>
        <w:t>年</w:t>
      </w:r>
      <w:r>
        <w:rPr>
          <w:rFonts w:hint="eastAsia"/>
          <w:snapToGrid w:val="0"/>
          <w:color w:val="auto"/>
          <w:sz w:val="28"/>
          <w:szCs w:val="28"/>
          <w:highlight w:val="none"/>
          <w:u w:val="single"/>
        </w:rPr>
        <w:t xml:space="preserve">      </w:t>
      </w:r>
      <w:r>
        <w:rPr>
          <w:rFonts w:hint="eastAsia"/>
          <w:snapToGrid w:val="0"/>
          <w:color w:val="auto"/>
          <w:sz w:val="28"/>
          <w:szCs w:val="28"/>
          <w:highlight w:val="none"/>
        </w:rPr>
        <w:t>月</w:t>
      </w:r>
      <w:r>
        <w:rPr>
          <w:rFonts w:hint="eastAsia"/>
          <w:snapToGrid w:val="0"/>
          <w:color w:val="auto"/>
          <w:sz w:val="28"/>
          <w:szCs w:val="28"/>
          <w:highlight w:val="none"/>
          <w:u w:val="single"/>
        </w:rPr>
        <w:t xml:space="preserve">      </w:t>
      </w:r>
      <w:r>
        <w:rPr>
          <w:rFonts w:hint="eastAsia"/>
          <w:snapToGrid w:val="0"/>
          <w:color w:val="auto"/>
          <w:sz w:val="28"/>
          <w:szCs w:val="28"/>
          <w:highlight w:val="none"/>
        </w:rPr>
        <w:t>日</w:t>
      </w:r>
    </w:p>
    <w:p w14:paraId="6DD9FCC5">
      <w:pPr>
        <w:adjustRightInd w:val="0"/>
        <w:snapToGrid w:val="0"/>
        <w:spacing w:line="360" w:lineRule="auto"/>
        <w:rPr>
          <w:color w:val="auto"/>
          <w:highlight w:val="none"/>
        </w:rPr>
      </w:pPr>
      <w:r>
        <w:rPr>
          <w:color w:val="auto"/>
          <w:highlight w:val="none"/>
        </w:rPr>
        <w:br w:type="page"/>
      </w:r>
    </w:p>
    <w:p w14:paraId="5C847167">
      <w:pPr>
        <w:spacing w:before="100" w:after="163" w:afterLines="50" w:line="360" w:lineRule="auto"/>
        <w:jc w:val="center"/>
        <w:rPr>
          <w:b/>
          <w:snapToGrid w:val="0"/>
          <w:color w:val="auto"/>
          <w:sz w:val="30"/>
          <w:szCs w:val="30"/>
          <w:highlight w:val="none"/>
        </w:rPr>
      </w:pPr>
      <w:r>
        <w:rPr>
          <w:rFonts w:hint="eastAsia"/>
          <w:b/>
          <w:snapToGrid w:val="0"/>
          <w:color w:val="auto"/>
          <w:sz w:val="30"/>
          <w:szCs w:val="30"/>
          <w:highlight w:val="none"/>
        </w:rPr>
        <w:t>投标函</w:t>
      </w:r>
    </w:p>
    <w:p w14:paraId="16F10E51">
      <w:pPr>
        <w:spacing w:line="360" w:lineRule="auto"/>
        <w:ind w:firstLine="480" w:firstLineChars="200"/>
        <w:rPr>
          <w:snapToGrid w:val="0"/>
          <w:color w:val="auto"/>
          <w:szCs w:val="21"/>
          <w:highlight w:val="none"/>
        </w:rPr>
      </w:pPr>
      <w:r>
        <w:rPr>
          <w:rFonts w:hint="eastAsia"/>
          <w:snapToGrid w:val="0"/>
          <w:color w:val="auto"/>
          <w:szCs w:val="21"/>
          <w:highlight w:val="none"/>
        </w:rPr>
        <w:t>致</w:t>
      </w:r>
      <w:r>
        <w:rPr>
          <w:rFonts w:hint="eastAsia"/>
          <w:snapToGrid w:val="0"/>
          <w:color w:val="auto"/>
          <w:szCs w:val="21"/>
          <w:highlight w:val="none"/>
          <w:u w:val="single"/>
        </w:rPr>
        <w:t xml:space="preserve">      （招标人）          </w:t>
      </w:r>
      <w:r>
        <w:rPr>
          <w:rFonts w:hint="eastAsia"/>
          <w:snapToGrid w:val="0"/>
          <w:color w:val="auto"/>
          <w:szCs w:val="21"/>
          <w:highlight w:val="none"/>
        </w:rPr>
        <w:t>：</w:t>
      </w:r>
    </w:p>
    <w:p w14:paraId="2F30F038">
      <w:pPr>
        <w:spacing w:line="360" w:lineRule="auto"/>
        <w:ind w:firstLine="480" w:firstLineChars="200"/>
        <w:rPr>
          <w:snapToGrid w:val="0"/>
          <w:color w:val="auto"/>
          <w:szCs w:val="21"/>
          <w:highlight w:val="none"/>
        </w:rPr>
      </w:pPr>
      <w:r>
        <w:rPr>
          <w:rFonts w:hint="eastAsia"/>
          <w:snapToGrid w:val="0"/>
          <w:color w:val="auto"/>
          <w:szCs w:val="21"/>
          <w:highlight w:val="none"/>
        </w:rPr>
        <w:t>根据已收到贵方的</w:t>
      </w:r>
      <w:r>
        <w:rPr>
          <w:rFonts w:hint="eastAsia"/>
          <w:snapToGrid w:val="0"/>
          <w:color w:val="auto"/>
          <w:szCs w:val="21"/>
          <w:highlight w:val="none"/>
          <w:u w:val="single"/>
        </w:rPr>
        <w:t xml:space="preserve">        （招标项目名称）        </w:t>
      </w:r>
      <w:r>
        <w:rPr>
          <w:rFonts w:hint="eastAsia"/>
          <w:snapToGrid w:val="0"/>
          <w:color w:val="auto"/>
          <w:szCs w:val="21"/>
          <w:highlight w:val="none"/>
        </w:rPr>
        <w:t>招标文件，我单位经考察现场和研究上述招标文件后，我方愿以招标文件前附表规定的付费方法及标准，接受贵方招标文件所提出的任务要求。</w:t>
      </w:r>
    </w:p>
    <w:p w14:paraId="1E975B8B">
      <w:pPr>
        <w:spacing w:line="360" w:lineRule="auto"/>
        <w:ind w:firstLine="480" w:firstLineChars="200"/>
        <w:rPr>
          <w:snapToGrid w:val="0"/>
          <w:color w:val="auto"/>
          <w:szCs w:val="21"/>
          <w:highlight w:val="none"/>
        </w:rPr>
      </w:pPr>
      <w:r>
        <w:rPr>
          <w:rFonts w:hint="eastAsia"/>
          <w:snapToGrid w:val="0"/>
          <w:color w:val="auto"/>
          <w:szCs w:val="21"/>
          <w:highlight w:val="none"/>
        </w:rPr>
        <w:t>1.我方已详细审核了全部招标文件，包括澄清、修改、补充文件（如有时）及有关附件，对招标文件的要求完全理解。</w:t>
      </w:r>
    </w:p>
    <w:p w14:paraId="771F3E1B">
      <w:pPr>
        <w:spacing w:line="360" w:lineRule="auto"/>
        <w:ind w:firstLine="480" w:firstLineChars="200"/>
        <w:rPr>
          <w:snapToGrid w:val="0"/>
          <w:color w:val="auto"/>
          <w:szCs w:val="21"/>
          <w:highlight w:val="none"/>
        </w:rPr>
      </w:pPr>
      <w:r>
        <w:rPr>
          <w:rFonts w:hint="eastAsia"/>
          <w:snapToGrid w:val="0"/>
          <w:color w:val="auto"/>
          <w:szCs w:val="21"/>
          <w:highlight w:val="none"/>
        </w:rPr>
        <w:t>2.我方认同招标文件规定的评审规则，遵守评标委员会的裁决结果，并且不会采取妨碍项目进展的行为。我方理解你方没有必须接受你方可能收到的最低标或任何投标的义务。</w:t>
      </w:r>
    </w:p>
    <w:p w14:paraId="3D553E0C">
      <w:pPr>
        <w:spacing w:line="360" w:lineRule="auto"/>
        <w:ind w:firstLine="480" w:firstLineChars="200"/>
        <w:rPr>
          <w:snapToGrid w:val="0"/>
          <w:color w:val="auto"/>
          <w:szCs w:val="21"/>
          <w:highlight w:val="none"/>
        </w:rPr>
      </w:pPr>
      <w:r>
        <w:rPr>
          <w:rFonts w:hint="eastAsia"/>
          <w:snapToGrid w:val="0"/>
          <w:color w:val="auto"/>
          <w:szCs w:val="21"/>
          <w:highlight w:val="none"/>
        </w:rPr>
        <w:t>3.我方同意所递交的投标文件在招标文件规定的投标有效期限内有效，在此期间内我方的投标有可能中标，我方将受此约束。如果在投标有效期内撤回投标或放弃中标资格，我方的投标担保将全部被没收。</w:t>
      </w:r>
    </w:p>
    <w:p w14:paraId="799B1C6A">
      <w:pPr>
        <w:spacing w:line="360" w:lineRule="auto"/>
        <w:ind w:firstLine="480" w:firstLineChars="200"/>
        <w:rPr>
          <w:snapToGrid w:val="0"/>
          <w:color w:val="auto"/>
          <w:szCs w:val="21"/>
          <w:highlight w:val="none"/>
        </w:rPr>
      </w:pPr>
      <w:r>
        <w:rPr>
          <w:rFonts w:hint="eastAsia"/>
          <w:snapToGrid w:val="0"/>
          <w:color w:val="auto"/>
          <w:szCs w:val="21"/>
          <w:highlight w:val="none"/>
        </w:rPr>
        <w:t>4.我方</w:t>
      </w:r>
      <w:r>
        <w:rPr>
          <w:rFonts w:hint="eastAsia"/>
          <w:color w:val="auto"/>
          <w:szCs w:val="21"/>
          <w:highlight w:val="none"/>
        </w:rPr>
        <w:t>保证所提交的保证金是从</w:t>
      </w:r>
      <w:r>
        <w:rPr>
          <w:rFonts w:hint="eastAsia"/>
          <w:bCs/>
          <w:color w:val="auto"/>
          <w:szCs w:val="21"/>
          <w:highlight w:val="none"/>
        </w:rPr>
        <w:t>我单位</w:t>
      </w:r>
      <w:r>
        <w:rPr>
          <w:rFonts w:hint="eastAsia"/>
          <w:color w:val="auto"/>
          <w:szCs w:val="21"/>
          <w:highlight w:val="none"/>
        </w:rPr>
        <w:t>基本账户汇出，银行保函是由</w:t>
      </w:r>
      <w:r>
        <w:rPr>
          <w:rFonts w:hint="eastAsia"/>
          <w:bCs/>
          <w:color w:val="auto"/>
          <w:szCs w:val="21"/>
          <w:highlight w:val="none"/>
        </w:rPr>
        <w:t>我单位</w:t>
      </w:r>
      <w:r>
        <w:rPr>
          <w:rFonts w:hint="eastAsia"/>
          <w:color w:val="auto"/>
          <w:szCs w:val="21"/>
          <w:highlight w:val="none"/>
        </w:rPr>
        <w:t>基本账户开户银行所在网点或其上级银行机构出具，保证保险的保费是通过我单位基本账户支付，如不按上述原则提交投标担保，招标人</w:t>
      </w:r>
      <w:r>
        <w:rPr>
          <w:rFonts w:hint="eastAsia"/>
          <w:bCs/>
          <w:color w:val="auto"/>
          <w:szCs w:val="21"/>
          <w:highlight w:val="none"/>
        </w:rPr>
        <w:t>有权取消我单位的中标资格或单方面终止合同，因此造成的责任由我单位承担。</w:t>
      </w:r>
    </w:p>
    <w:p w14:paraId="6CF42CC7">
      <w:pPr>
        <w:spacing w:line="360" w:lineRule="auto"/>
        <w:ind w:firstLine="480" w:firstLineChars="200"/>
        <w:rPr>
          <w:snapToGrid w:val="0"/>
          <w:color w:val="auto"/>
          <w:szCs w:val="21"/>
          <w:highlight w:val="none"/>
        </w:rPr>
      </w:pPr>
      <w:r>
        <w:rPr>
          <w:rFonts w:hint="eastAsia"/>
          <w:snapToGrid w:val="0"/>
          <w:color w:val="auto"/>
          <w:szCs w:val="21"/>
          <w:highlight w:val="none"/>
        </w:rPr>
        <w:t>5.如果我方中标，我方保证按照招标文件规定的时间完成任务，并将按招标文件的规定履行合同责任和义务。</w:t>
      </w:r>
    </w:p>
    <w:p w14:paraId="6DD72F86">
      <w:pPr>
        <w:spacing w:line="360" w:lineRule="auto"/>
        <w:ind w:firstLine="480" w:firstLineChars="200"/>
        <w:rPr>
          <w:snapToGrid w:val="0"/>
          <w:color w:val="auto"/>
          <w:szCs w:val="21"/>
          <w:highlight w:val="none"/>
        </w:rPr>
      </w:pPr>
      <w:r>
        <w:rPr>
          <w:rFonts w:hint="eastAsia"/>
          <w:snapToGrid w:val="0"/>
          <w:color w:val="auto"/>
          <w:szCs w:val="21"/>
          <w:highlight w:val="none"/>
        </w:rPr>
        <w:t>6.如果我方中标，我方将按照投标文件承诺组建项目组，由投标文件所承诺的人员完成本项目的全部工作。如未经招标人同意更换项目组成员，招标人有权取消我单位的中标资格或单方面终止合同，由此造成的违约责任由我单位承担。</w:t>
      </w:r>
    </w:p>
    <w:p w14:paraId="25CA0154">
      <w:pPr>
        <w:spacing w:line="360" w:lineRule="auto"/>
        <w:ind w:firstLine="480" w:firstLineChars="200"/>
        <w:rPr>
          <w:snapToGrid w:val="0"/>
          <w:color w:val="auto"/>
          <w:highlight w:val="none"/>
        </w:rPr>
      </w:pPr>
      <w:r>
        <w:rPr>
          <w:rFonts w:hint="eastAsia"/>
          <w:snapToGrid w:val="0"/>
          <w:color w:val="auto"/>
          <w:highlight w:val="none"/>
        </w:rPr>
        <w:t>7.如果我方中标，我方将按照招标文件中规定的金额提交经招标人认可的履约保函。</w:t>
      </w:r>
    </w:p>
    <w:p w14:paraId="08A59BAC">
      <w:pPr>
        <w:spacing w:line="360" w:lineRule="auto"/>
        <w:ind w:firstLine="480" w:firstLineChars="200"/>
        <w:rPr>
          <w:snapToGrid w:val="0"/>
          <w:color w:val="auto"/>
          <w:highlight w:val="none"/>
        </w:rPr>
      </w:pPr>
      <w:r>
        <w:rPr>
          <w:rFonts w:hint="eastAsia"/>
          <w:snapToGrid w:val="0"/>
          <w:color w:val="auto"/>
          <w:highlight w:val="none"/>
        </w:rPr>
        <w:t>8.我方保证投标文件内容无任何虚假。若评定标过程中查有虚假，同意作无效或废标处理，并被没收投标担保；若中标之后查有虚假，同意被废除授标并被没收投标担保。</w:t>
      </w:r>
    </w:p>
    <w:p w14:paraId="3F11197A">
      <w:pPr>
        <w:spacing w:line="360" w:lineRule="auto"/>
        <w:ind w:firstLine="480" w:firstLineChars="200"/>
        <w:rPr>
          <w:snapToGrid w:val="0"/>
          <w:color w:val="auto"/>
          <w:szCs w:val="21"/>
          <w:highlight w:val="none"/>
        </w:rPr>
      </w:pPr>
      <w:r>
        <w:rPr>
          <w:rFonts w:hint="eastAsia"/>
          <w:snapToGrid w:val="0"/>
          <w:color w:val="auto"/>
          <w:szCs w:val="21"/>
          <w:highlight w:val="none"/>
        </w:rPr>
        <w:t>9.在正式合同签署并生效之前，贵方的中标通知书和本投标函将成为约束双方的合同文件的组成部分。</w:t>
      </w:r>
    </w:p>
    <w:p w14:paraId="02FF4F49">
      <w:pPr>
        <w:spacing w:line="360" w:lineRule="auto"/>
        <w:ind w:firstLine="482" w:firstLineChars="200"/>
        <w:rPr>
          <w:b/>
          <w:snapToGrid w:val="0"/>
          <w:color w:val="auto"/>
          <w:highlight w:val="none"/>
        </w:rPr>
      </w:pPr>
      <w:r>
        <w:rPr>
          <w:rFonts w:hint="eastAsia"/>
          <w:b/>
          <w:snapToGrid w:val="0"/>
          <w:color w:val="auto"/>
          <w:highlight w:val="none"/>
        </w:rPr>
        <w:t>本投标函同时作为法定代表人证明书和法人授权委托书。</w:t>
      </w:r>
    </w:p>
    <w:p w14:paraId="7A6BA280">
      <w:pPr>
        <w:spacing w:line="360" w:lineRule="auto"/>
        <w:ind w:firstLine="480" w:firstLineChars="200"/>
        <w:rPr>
          <w:snapToGrid w:val="0"/>
          <w:color w:val="auto"/>
          <w:highlight w:val="none"/>
        </w:rPr>
      </w:pPr>
      <w:r>
        <w:rPr>
          <w:rFonts w:hint="eastAsia"/>
          <w:snapToGrid w:val="0"/>
          <w:color w:val="auto"/>
          <w:highlight w:val="none"/>
        </w:rPr>
        <w:t>投标人名称：</w:t>
      </w:r>
      <w:r>
        <w:rPr>
          <w:rFonts w:hint="eastAsia"/>
          <w:snapToGrid w:val="0"/>
          <w:color w:val="auto"/>
          <w:highlight w:val="none"/>
          <w:u w:val="single"/>
        </w:rPr>
        <w:t xml:space="preserve">                                           </w:t>
      </w:r>
    </w:p>
    <w:p w14:paraId="590F7555">
      <w:pPr>
        <w:spacing w:line="360" w:lineRule="auto"/>
        <w:ind w:firstLine="480" w:firstLineChars="200"/>
        <w:rPr>
          <w:snapToGrid w:val="0"/>
          <w:color w:val="auto"/>
          <w:highlight w:val="none"/>
        </w:rPr>
      </w:pPr>
      <w:r>
        <w:rPr>
          <w:rFonts w:hint="eastAsia"/>
          <w:snapToGrid w:val="0"/>
          <w:color w:val="auto"/>
          <w:highlight w:val="none"/>
        </w:rPr>
        <w:t>法定代表人：</w:t>
      </w:r>
      <w:r>
        <w:rPr>
          <w:rFonts w:hint="eastAsia"/>
          <w:snapToGrid w:val="0"/>
          <w:color w:val="auto"/>
          <w:highlight w:val="none"/>
          <w:u w:val="single"/>
        </w:rPr>
        <w:t xml:space="preserve">                                           </w:t>
      </w:r>
    </w:p>
    <w:p w14:paraId="482928DA">
      <w:pPr>
        <w:spacing w:line="360" w:lineRule="auto"/>
        <w:ind w:firstLine="480" w:firstLineChars="200"/>
        <w:rPr>
          <w:snapToGrid w:val="0"/>
          <w:color w:val="auto"/>
          <w:highlight w:val="none"/>
        </w:rPr>
      </w:pPr>
      <w:r>
        <w:rPr>
          <w:rFonts w:hint="eastAsia"/>
          <w:snapToGrid w:val="0"/>
          <w:color w:val="auto"/>
          <w:highlight w:val="none"/>
        </w:rPr>
        <w:t>授权委托人：</w:t>
      </w:r>
      <w:r>
        <w:rPr>
          <w:rFonts w:hint="eastAsia"/>
          <w:snapToGrid w:val="0"/>
          <w:color w:val="auto"/>
          <w:highlight w:val="none"/>
          <w:u w:val="single"/>
        </w:rPr>
        <w:t xml:space="preserve">                                           </w:t>
      </w:r>
    </w:p>
    <w:p w14:paraId="5DE0EECF">
      <w:pPr>
        <w:spacing w:line="360" w:lineRule="auto"/>
        <w:ind w:firstLine="480" w:firstLineChars="200"/>
        <w:rPr>
          <w:snapToGrid w:val="0"/>
          <w:color w:val="auto"/>
          <w:szCs w:val="21"/>
          <w:highlight w:val="none"/>
        </w:rPr>
      </w:pPr>
      <w:r>
        <w:rPr>
          <w:rFonts w:hint="eastAsia"/>
          <w:snapToGrid w:val="0"/>
          <w:color w:val="auto"/>
          <w:szCs w:val="21"/>
          <w:highlight w:val="none"/>
        </w:rPr>
        <w:t>单位地址：</w:t>
      </w:r>
      <w:r>
        <w:rPr>
          <w:rFonts w:hint="eastAsia"/>
          <w:snapToGrid w:val="0"/>
          <w:color w:val="auto"/>
          <w:szCs w:val="21"/>
          <w:highlight w:val="none"/>
          <w:u w:val="single"/>
        </w:rPr>
        <w:t xml:space="preserve">                       </w:t>
      </w:r>
      <w:r>
        <w:rPr>
          <w:rFonts w:hint="eastAsia"/>
          <w:snapToGrid w:val="0"/>
          <w:color w:val="auto"/>
          <w:szCs w:val="21"/>
          <w:highlight w:val="none"/>
        </w:rPr>
        <w:t xml:space="preserve"> 邮编：</w:t>
      </w:r>
      <w:r>
        <w:rPr>
          <w:rFonts w:hint="eastAsia"/>
          <w:snapToGrid w:val="0"/>
          <w:color w:val="auto"/>
          <w:szCs w:val="21"/>
          <w:highlight w:val="none"/>
          <w:u w:val="single"/>
        </w:rPr>
        <w:t xml:space="preserve">               </w:t>
      </w:r>
    </w:p>
    <w:p w14:paraId="475C3F25">
      <w:pPr>
        <w:spacing w:line="360" w:lineRule="auto"/>
        <w:ind w:firstLine="480" w:firstLineChars="200"/>
        <w:rPr>
          <w:snapToGrid w:val="0"/>
          <w:color w:val="auto"/>
          <w:szCs w:val="21"/>
          <w:highlight w:val="none"/>
        </w:rPr>
      </w:pPr>
      <w:r>
        <w:rPr>
          <w:rFonts w:hint="eastAsia"/>
          <w:snapToGrid w:val="0"/>
          <w:color w:val="auto"/>
          <w:szCs w:val="21"/>
          <w:highlight w:val="none"/>
        </w:rPr>
        <w:t>联系电话：</w:t>
      </w:r>
      <w:r>
        <w:rPr>
          <w:rFonts w:hint="eastAsia"/>
          <w:snapToGrid w:val="0"/>
          <w:color w:val="auto"/>
          <w:szCs w:val="21"/>
          <w:highlight w:val="none"/>
          <w:u w:val="single"/>
        </w:rPr>
        <w:t xml:space="preserve">                       </w:t>
      </w:r>
      <w:r>
        <w:rPr>
          <w:rFonts w:hint="eastAsia"/>
          <w:snapToGrid w:val="0"/>
          <w:color w:val="auto"/>
          <w:szCs w:val="21"/>
          <w:highlight w:val="none"/>
        </w:rPr>
        <w:t xml:space="preserve"> 传真：</w:t>
      </w:r>
      <w:r>
        <w:rPr>
          <w:rFonts w:hint="eastAsia"/>
          <w:snapToGrid w:val="0"/>
          <w:color w:val="auto"/>
          <w:szCs w:val="21"/>
          <w:highlight w:val="none"/>
          <w:u w:val="single"/>
        </w:rPr>
        <w:t xml:space="preserve">               </w:t>
      </w:r>
    </w:p>
    <w:p w14:paraId="153C27DC">
      <w:pPr>
        <w:spacing w:line="360" w:lineRule="auto"/>
        <w:ind w:firstLine="480" w:firstLineChars="200"/>
        <w:rPr>
          <w:snapToGrid w:val="0"/>
          <w:color w:val="auto"/>
          <w:szCs w:val="21"/>
          <w:highlight w:val="none"/>
        </w:rPr>
      </w:pPr>
      <w:r>
        <w:rPr>
          <w:rFonts w:hint="eastAsia"/>
          <w:snapToGrid w:val="0"/>
          <w:color w:val="auto"/>
          <w:szCs w:val="21"/>
          <w:highlight w:val="none"/>
        </w:rPr>
        <w:t>日    期：</w:t>
      </w:r>
      <w:r>
        <w:rPr>
          <w:rFonts w:hint="eastAsia"/>
          <w:snapToGrid w:val="0"/>
          <w:color w:val="auto"/>
          <w:szCs w:val="21"/>
          <w:highlight w:val="none"/>
          <w:u w:val="single"/>
        </w:rPr>
        <w:t xml:space="preserve">            </w:t>
      </w:r>
      <w:r>
        <w:rPr>
          <w:rFonts w:hint="eastAsia"/>
          <w:snapToGrid w:val="0"/>
          <w:color w:val="auto"/>
          <w:szCs w:val="21"/>
          <w:highlight w:val="none"/>
        </w:rPr>
        <w:t>年</w:t>
      </w:r>
      <w:r>
        <w:rPr>
          <w:rFonts w:hint="eastAsia"/>
          <w:snapToGrid w:val="0"/>
          <w:color w:val="auto"/>
          <w:szCs w:val="21"/>
          <w:highlight w:val="none"/>
          <w:u w:val="single"/>
        </w:rPr>
        <w:t xml:space="preserve">     </w:t>
      </w:r>
      <w:r>
        <w:rPr>
          <w:rFonts w:hint="eastAsia"/>
          <w:snapToGrid w:val="0"/>
          <w:color w:val="auto"/>
          <w:szCs w:val="21"/>
          <w:highlight w:val="none"/>
        </w:rPr>
        <w:t>月</w:t>
      </w:r>
      <w:r>
        <w:rPr>
          <w:rFonts w:hint="eastAsia"/>
          <w:snapToGrid w:val="0"/>
          <w:color w:val="auto"/>
          <w:szCs w:val="21"/>
          <w:highlight w:val="none"/>
          <w:u w:val="single"/>
        </w:rPr>
        <w:t xml:space="preserve">     </w:t>
      </w:r>
      <w:r>
        <w:rPr>
          <w:rFonts w:hint="eastAsia"/>
          <w:snapToGrid w:val="0"/>
          <w:color w:val="auto"/>
          <w:szCs w:val="21"/>
          <w:highlight w:val="none"/>
        </w:rPr>
        <w:t>日</w:t>
      </w:r>
    </w:p>
    <w:p w14:paraId="30ECDA51">
      <w:pPr>
        <w:rPr>
          <w:snapToGrid w:val="0"/>
          <w:color w:val="auto"/>
          <w:highlight w:val="none"/>
        </w:rPr>
      </w:pPr>
      <w:r>
        <w:rPr>
          <w:snapToGrid w:val="0"/>
          <w:color w:val="auto"/>
          <w:highlight w:val="none"/>
        </w:rPr>
        <w:br w:type="page"/>
      </w:r>
    </w:p>
    <w:p w14:paraId="0EC3C8AB">
      <w:pPr>
        <w:spacing w:before="100" w:after="163" w:afterLines="50" w:line="360" w:lineRule="auto"/>
        <w:jc w:val="center"/>
        <w:rPr>
          <w:bCs/>
          <w:snapToGrid w:val="0"/>
          <w:color w:val="auto"/>
          <w:sz w:val="30"/>
          <w:szCs w:val="30"/>
          <w:highlight w:val="none"/>
        </w:rPr>
      </w:pPr>
      <w:r>
        <w:rPr>
          <w:rFonts w:hint="eastAsia"/>
          <w:bCs/>
          <w:snapToGrid w:val="0"/>
          <w:color w:val="auto"/>
          <w:sz w:val="30"/>
          <w:szCs w:val="30"/>
          <w:highlight w:val="none"/>
        </w:rPr>
        <w:t>其他</w:t>
      </w:r>
    </w:p>
    <w:p w14:paraId="18EAABD3">
      <w:pPr>
        <w:spacing w:line="360" w:lineRule="auto"/>
        <w:ind w:firstLine="482" w:firstLineChars="200"/>
        <w:rPr>
          <w:b/>
          <w:bCs/>
          <w:snapToGrid w:val="0"/>
          <w:color w:val="auto"/>
          <w:highlight w:val="none"/>
        </w:rPr>
      </w:pPr>
      <w:r>
        <w:rPr>
          <w:rFonts w:hint="eastAsia"/>
          <w:b/>
          <w:bCs/>
          <w:snapToGrid w:val="0"/>
          <w:color w:val="auto"/>
          <w:highlight w:val="none"/>
        </w:rPr>
        <w:t>1.按第二章投标须知“一 投标须知前附表”中的相关要求提供相关证明文件，相关格式按照第三章 招标人对招标文件及合同范本的补充/修改 的格式按顺序整理提供证明文件。</w:t>
      </w:r>
    </w:p>
    <w:p w14:paraId="78CAD9D5">
      <w:pPr>
        <w:spacing w:line="360" w:lineRule="auto"/>
        <w:ind w:firstLine="480" w:firstLineChars="200"/>
        <w:rPr>
          <w:snapToGrid w:val="0"/>
          <w:color w:val="auto"/>
          <w:highlight w:val="none"/>
        </w:rPr>
      </w:pPr>
      <w:r>
        <w:rPr>
          <w:snapToGrid w:val="0"/>
          <w:color w:val="auto"/>
          <w:highlight w:val="none"/>
        </w:rPr>
        <w:br w:type="page"/>
      </w:r>
    </w:p>
    <w:p w14:paraId="7F1B7163">
      <w:pPr>
        <w:rPr>
          <w:snapToGrid w:val="0"/>
          <w:color w:val="auto"/>
          <w:highlight w:val="none"/>
        </w:rPr>
      </w:pPr>
    </w:p>
    <w:p w14:paraId="231D03FE">
      <w:pPr>
        <w:jc w:val="center"/>
        <w:rPr>
          <w:snapToGrid w:val="0"/>
          <w:color w:val="auto"/>
          <w:sz w:val="44"/>
          <w:szCs w:val="44"/>
          <w:highlight w:val="none"/>
        </w:rPr>
      </w:pPr>
      <w:r>
        <w:rPr>
          <w:rFonts w:hint="eastAsia"/>
          <w:snapToGrid w:val="0"/>
          <w:color w:val="auto"/>
          <w:sz w:val="44"/>
          <w:szCs w:val="44"/>
          <w:highlight w:val="none"/>
          <w:u w:val="single"/>
        </w:rPr>
        <w:t xml:space="preserve">                 </w:t>
      </w:r>
      <w:r>
        <w:rPr>
          <w:rFonts w:hint="eastAsia"/>
          <w:snapToGrid w:val="0"/>
          <w:color w:val="auto"/>
          <w:sz w:val="44"/>
          <w:szCs w:val="44"/>
          <w:highlight w:val="none"/>
        </w:rPr>
        <w:t>项目</w:t>
      </w:r>
    </w:p>
    <w:p w14:paraId="01606B15">
      <w:pPr>
        <w:jc w:val="center"/>
        <w:rPr>
          <w:snapToGrid w:val="0"/>
          <w:color w:val="auto"/>
          <w:sz w:val="44"/>
          <w:szCs w:val="44"/>
          <w:highlight w:val="none"/>
        </w:rPr>
      </w:pPr>
    </w:p>
    <w:p w14:paraId="7436A04A">
      <w:pPr>
        <w:jc w:val="center"/>
        <w:rPr>
          <w:snapToGrid w:val="0"/>
          <w:color w:val="auto"/>
          <w:sz w:val="52"/>
          <w:szCs w:val="52"/>
          <w:highlight w:val="none"/>
        </w:rPr>
      </w:pPr>
      <w:r>
        <w:rPr>
          <w:rFonts w:hint="eastAsia"/>
          <w:snapToGrid w:val="0"/>
          <w:color w:val="auto"/>
          <w:sz w:val="52"/>
          <w:szCs w:val="52"/>
          <w:highlight w:val="none"/>
        </w:rPr>
        <w:t>投标文件</w:t>
      </w:r>
    </w:p>
    <w:p w14:paraId="0EB86978">
      <w:pPr>
        <w:jc w:val="center"/>
        <w:rPr>
          <w:snapToGrid w:val="0"/>
          <w:color w:val="auto"/>
          <w:sz w:val="52"/>
          <w:szCs w:val="52"/>
          <w:highlight w:val="none"/>
        </w:rPr>
      </w:pPr>
    </w:p>
    <w:p w14:paraId="505F31E0">
      <w:pPr>
        <w:jc w:val="center"/>
        <w:rPr>
          <w:snapToGrid w:val="0"/>
          <w:color w:val="auto"/>
          <w:sz w:val="52"/>
          <w:szCs w:val="52"/>
          <w:highlight w:val="none"/>
        </w:rPr>
      </w:pPr>
    </w:p>
    <w:p w14:paraId="559F2ABE">
      <w:pPr>
        <w:jc w:val="center"/>
        <w:outlineLvl w:val="1"/>
        <w:rPr>
          <w:b/>
          <w:snapToGrid w:val="0"/>
          <w:color w:val="auto"/>
          <w:sz w:val="44"/>
          <w:szCs w:val="44"/>
          <w:highlight w:val="none"/>
        </w:rPr>
      </w:pPr>
      <w:bookmarkStart w:id="275" w:name="_Toc4866"/>
      <w:bookmarkStart w:id="276" w:name="_Toc14572"/>
      <w:r>
        <w:rPr>
          <w:rFonts w:hint="eastAsia"/>
          <w:b/>
          <w:snapToGrid w:val="0"/>
          <w:color w:val="auto"/>
          <w:sz w:val="44"/>
          <w:szCs w:val="44"/>
          <w:highlight w:val="none"/>
        </w:rPr>
        <w:t>商务标书</w:t>
      </w:r>
      <w:bookmarkEnd w:id="275"/>
      <w:bookmarkEnd w:id="276"/>
    </w:p>
    <w:p w14:paraId="1DE10709">
      <w:pPr>
        <w:jc w:val="center"/>
        <w:rPr>
          <w:snapToGrid w:val="0"/>
          <w:color w:val="auto"/>
          <w:sz w:val="44"/>
          <w:szCs w:val="44"/>
          <w:highlight w:val="none"/>
        </w:rPr>
      </w:pPr>
    </w:p>
    <w:p w14:paraId="48693006">
      <w:pPr>
        <w:jc w:val="center"/>
        <w:rPr>
          <w:snapToGrid w:val="0"/>
          <w:color w:val="auto"/>
          <w:sz w:val="44"/>
          <w:szCs w:val="44"/>
          <w:highlight w:val="none"/>
        </w:rPr>
      </w:pPr>
    </w:p>
    <w:p w14:paraId="3E90C5B9">
      <w:pPr>
        <w:jc w:val="center"/>
        <w:rPr>
          <w:snapToGrid w:val="0"/>
          <w:color w:val="auto"/>
          <w:sz w:val="44"/>
          <w:szCs w:val="44"/>
          <w:highlight w:val="none"/>
        </w:rPr>
      </w:pPr>
    </w:p>
    <w:p w14:paraId="63E1E1DA">
      <w:pPr>
        <w:jc w:val="center"/>
        <w:rPr>
          <w:snapToGrid w:val="0"/>
          <w:color w:val="auto"/>
          <w:sz w:val="44"/>
          <w:szCs w:val="44"/>
          <w:highlight w:val="none"/>
        </w:rPr>
      </w:pPr>
    </w:p>
    <w:p w14:paraId="25EB3D1D">
      <w:pPr>
        <w:jc w:val="center"/>
        <w:rPr>
          <w:snapToGrid w:val="0"/>
          <w:color w:val="auto"/>
          <w:sz w:val="44"/>
          <w:szCs w:val="44"/>
          <w:highlight w:val="none"/>
        </w:rPr>
      </w:pPr>
    </w:p>
    <w:p w14:paraId="36DE6674">
      <w:pPr>
        <w:jc w:val="center"/>
        <w:rPr>
          <w:snapToGrid w:val="0"/>
          <w:color w:val="auto"/>
          <w:sz w:val="44"/>
          <w:szCs w:val="44"/>
          <w:highlight w:val="none"/>
        </w:rPr>
      </w:pPr>
    </w:p>
    <w:p w14:paraId="54246B9E">
      <w:pPr>
        <w:spacing w:line="480" w:lineRule="auto"/>
        <w:ind w:firstLine="1400" w:firstLineChars="500"/>
        <w:rPr>
          <w:snapToGrid w:val="0"/>
          <w:color w:val="auto"/>
          <w:sz w:val="28"/>
          <w:szCs w:val="28"/>
          <w:highlight w:val="none"/>
        </w:rPr>
      </w:pPr>
      <w:r>
        <w:rPr>
          <w:rFonts w:hint="eastAsia"/>
          <w:snapToGrid w:val="0"/>
          <w:color w:val="auto"/>
          <w:sz w:val="28"/>
          <w:szCs w:val="28"/>
          <w:highlight w:val="none"/>
        </w:rPr>
        <w:t>项目编号：</w:t>
      </w:r>
      <w:r>
        <w:rPr>
          <w:rFonts w:hint="eastAsia"/>
          <w:snapToGrid w:val="0"/>
          <w:color w:val="auto"/>
          <w:sz w:val="28"/>
          <w:szCs w:val="28"/>
          <w:highlight w:val="none"/>
          <w:u w:val="single"/>
        </w:rPr>
        <w:t xml:space="preserve">                              </w:t>
      </w:r>
    </w:p>
    <w:p w14:paraId="0504D0F5">
      <w:pPr>
        <w:spacing w:line="480" w:lineRule="auto"/>
        <w:ind w:firstLine="1400" w:firstLineChars="500"/>
        <w:rPr>
          <w:snapToGrid w:val="0"/>
          <w:color w:val="auto"/>
          <w:sz w:val="28"/>
          <w:szCs w:val="28"/>
          <w:highlight w:val="none"/>
        </w:rPr>
      </w:pPr>
      <w:r>
        <w:rPr>
          <w:rFonts w:hint="eastAsia"/>
          <w:snapToGrid w:val="0"/>
          <w:color w:val="auto"/>
          <w:sz w:val="28"/>
          <w:szCs w:val="28"/>
          <w:highlight w:val="none"/>
        </w:rPr>
        <w:t>投标人名称：</w:t>
      </w:r>
      <w:r>
        <w:rPr>
          <w:rFonts w:hint="eastAsia"/>
          <w:snapToGrid w:val="0"/>
          <w:color w:val="auto"/>
          <w:sz w:val="28"/>
          <w:szCs w:val="28"/>
          <w:highlight w:val="none"/>
          <w:u w:val="single"/>
        </w:rPr>
        <w:t xml:space="preserve">                            </w:t>
      </w:r>
    </w:p>
    <w:p w14:paraId="3E17FDEB">
      <w:pPr>
        <w:spacing w:line="480" w:lineRule="auto"/>
        <w:ind w:firstLine="1400" w:firstLineChars="500"/>
        <w:rPr>
          <w:snapToGrid w:val="0"/>
          <w:color w:val="auto"/>
          <w:sz w:val="28"/>
          <w:szCs w:val="28"/>
          <w:highlight w:val="none"/>
        </w:rPr>
      </w:pPr>
      <w:r>
        <w:rPr>
          <w:rFonts w:hint="eastAsia"/>
          <w:snapToGrid w:val="0"/>
          <w:color w:val="auto"/>
          <w:sz w:val="28"/>
          <w:szCs w:val="28"/>
          <w:highlight w:val="none"/>
        </w:rPr>
        <w:t>投标人代表：</w:t>
      </w:r>
      <w:r>
        <w:rPr>
          <w:rFonts w:hint="eastAsia"/>
          <w:snapToGrid w:val="0"/>
          <w:color w:val="auto"/>
          <w:sz w:val="28"/>
          <w:szCs w:val="28"/>
          <w:highlight w:val="none"/>
          <w:u w:val="single"/>
        </w:rPr>
        <w:t xml:space="preserve">                            </w:t>
      </w:r>
    </w:p>
    <w:p w14:paraId="0C188980">
      <w:pPr>
        <w:spacing w:line="480" w:lineRule="auto"/>
        <w:ind w:firstLine="1400" w:firstLineChars="500"/>
        <w:rPr>
          <w:snapToGrid w:val="0"/>
          <w:color w:val="auto"/>
          <w:sz w:val="28"/>
          <w:szCs w:val="28"/>
          <w:highlight w:val="none"/>
        </w:rPr>
      </w:pPr>
      <w:r>
        <w:rPr>
          <w:rFonts w:hint="eastAsia"/>
          <w:snapToGrid w:val="0"/>
          <w:color w:val="auto"/>
          <w:sz w:val="28"/>
          <w:szCs w:val="28"/>
          <w:highlight w:val="none"/>
        </w:rPr>
        <w:t>日    期：</w:t>
      </w:r>
      <w:r>
        <w:rPr>
          <w:rFonts w:hint="eastAsia"/>
          <w:snapToGrid w:val="0"/>
          <w:color w:val="auto"/>
          <w:sz w:val="28"/>
          <w:szCs w:val="28"/>
          <w:highlight w:val="none"/>
          <w:u w:val="single"/>
        </w:rPr>
        <w:t xml:space="preserve">            </w:t>
      </w:r>
      <w:r>
        <w:rPr>
          <w:rFonts w:hint="eastAsia"/>
          <w:snapToGrid w:val="0"/>
          <w:color w:val="auto"/>
          <w:sz w:val="28"/>
          <w:szCs w:val="28"/>
          <w:highlight w:val="none"/>
        </w:rPr>
        <w:t>年</w:t>
      </w:r>
      <w:r>
        <w:rPr>
          <w:rFonts w:hint="eastAsia"/>
          <w:snapToGrid w:val="0"/>
          <w:color w:val="auto"/>
          <w:sz w:val="28"/>
          <w:szCs w:val="28"/>
          <w:highlight w:val="none"/>
          <w:u w:val="single"/>
        </w:rPr>
        <w:t xml:space="preserve">      </w:t>
      </w:r>
      <w:r>
        <w:rPr>
          <w:rFonts w:hint="eastAsia"/>
          <w:snapToGrid w:val="0"/>
          <w:color w:val="auto"/>
          <w:sz w:val="28"/>
          <w:szCs w:val="28"/>
          <w:highlight w:val="none"/>
        </w:rPr>
        <w:t>月</w:t>
      </w:r>
      <w:r>
        <w:rPr>
          <w:rFonts w:hint="eastAsia"/>
          <w:snapToGrid w:val="0"/>
          <w:color w:val="auto"/>
          <w:sz w:val="28"/>
          <w:szCs w:val="28"/>
          <w:highlight w:val="none"/>
          <w:u w:val="single"/>
        </w:rPr>
        <w:t xml:space="preserve">      </w:t>
      </w:r>
      <w:r>
        <w:rPr>
          <w:rFonts w:hint="eastAsia"/>
          <w:snapToGrid w:val="0"/>
          <w:color w:val="auto"/>
          <w:sz w:val="28"/>
          <w:szCs w:val="28"/>
          <w:highlight w:val="none"/>
        </w:rPr>
        <w:t>日</w:t>
      </w:r>
    </w:p>
    <w:p w14:paraId="1AFA6B78">
      <w:pPr>
        <w:rPr>
          <w:snapToGrid w:val="0"/>
          <w:color w:val="auto"/>
          <w:highlight w:val="none"/>
        </w:rPr>
      </w:pPr>
      <w:r>
        <w:rPr>
          <w:rFonts w:hint="eastAsia"/>
          <w:snapToGrid w:val="0"/>
          <w:color w:val="auto"/>
          <w:highlight w:val="none"/>
        </w:rPr>
        <w:br w:type="page"/>
      </w:r>
    </w:p>
    <w:p w14:paraId="3BF202DE">
      <w:pPr>
        <w:spacing w:before="100" w:after="163" w:afterLines="50" w:line="360" w:lineRule="auto"/>
        <w:jc w:val="center"/>
        <w:rPr>
          <w:b/>
          <w:snapToGrid w:val="0"/>
          <w:color w:val="auto"/>
          <w:sz w:val="30"/>
          <w:szCs w:val="30"/>
          <w:highlight w:val="none"/>
        </w:rPr>
      </w:pPr>
      <w:r>
        <w:rPr>
          <w:rFonts w:hint="eastAsia"/>
          <w:b/>
          <w:snapToGrid w:val="0"/>
          <w:color w:val="auto"/>
          <w:sz w:val="30"/>
          <w:szCs w:val="30"/>
          <w:highlight w:val="none"/>
        </w:rPr>
        <w:t>投标报价一览表</w:t>
      </w:r>
    </w:p>
    <w:p w14:paraId="27884D10">
      <w:pPr>
        <w:pStyle w:val="104"/>
        <w:spacing w:after="163" w:afterLines="50" w:line="500" w:lineRule="exact"/>
        <w:rPr>
          <w:rFonts w:ascii="仿宋_GB2312" w:hAnsi="宋体" w:eastAsia="仿宋_GB2312"/>
          <w:snapToGrid w:val="0"/>
          <w:color w:val="auto"/>
          <w:highlight w:val="none"/>
        </w:rPr>
      </w:pPr>
      <w:r>
        <w:rPr>
          <w:rFonts w:hint="eastAsia" w:ascii="宋体" w:hAnsi="宋体"/>
          <w:snapToGrid w:val="0"/>
          <w:color w:val="auto"/>
          <w:sz w:val="21"/>
          <w:szCs w:val="21"/>
          <w:highlight w:val="none"/>
        </w:rPr>
        <w:t>投标人名称：</w:t>
      </w:r>
    </w:p>
    <w:tbl>
      <w:tblPr>
        <w:tblStyle w:val="39"/>
        <w:tblW w:w="92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513"/>
        <w:gridCol w:w="1915"/>
        <w:gridCol w:w="1843"/>
        <w:gridCol w:w="2026"/>
      </w:tblGrid>
      <w:tr w14:paraId="7189C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916" w:type="dxa"/>
            <w:vAlign w:val="center"/>
          </w:tcPr>
          <w:p w14:paraId="50AB50E4">
            <w:pPr>
              <w:pStyle w:val="104"/>
              <w:spacing w:line="360" w:lineRule="auto"/>
              <w:jc w:val="center"/>
              <w:rPr>
                <w:rFonts w:ascii="宋体" w:hAnsi="宋体"/>
                <w:b/>
                <w:snapToGrid w:val="0"/>
                <w:color w:val="auto"/>
                <w:highlight w:val="none"/>
              </w:rPr>
            </w:pPr>
            <w:r>
              <w:rPr>
                <w:rFonts w:hint="eastAsia" w:ascii="宋体" w:hAnsi="宋体"/>
                <w:b/>
                <w:snapToGrid w:val="0"/>
                <w:color w:val="auto"/>
                <w:highlight w:val="none"/>
              </w:rPr>
              <w:t>序号</w:t>
            </w:r>
          </w:p>
        </w:tc>
        <w:tc>
          <w:tcPr>
            <w:tcW w:w="2513" w:type="dxa"/>
            <w:vAlign w:val="center"/>
          </w:tcPr>
          <w:p w14:paraId="5FBA994A">
            <w:pPr>
              <w:pStyle w:val="104"/>
              <w:spacing w:line="360" w:lineRule="auto"/>
              <w:jc w:val="center"/>
              <w:rPr>
                <w:rFonts w:ascii="宋体" w:hAnsi="宋体"/>
                <w:b/>
                <w:snapToGrid w:val="0"/>
                <w:color w:val="auto"/>
                <w:highlight w:val="none"/>
              </w:rPr>
            </w:pPr>
            <w:r>
              <w:rPr>
                <w:rFonts w:hint="eastAsia" w:ascii="宋体" w:hAnsi="宋体"/>
                <w:b/>
                <w:snapToGrid w:val="0"/>
                <w:color w:val="auto"/>
                <w:highlight w:val="none"/>
              </w:rPr>
              <w:t>内  容</w:t>
            </w:r>
          </w:p>
        </w:tc>
        <w:tc>
          <w:tcPr>
            <w:tcW w:w="1915" w:type="dxa"/>
            <w:vAlign w:val="center"/>
          </w:tcPr>
          <w:p w14:paraId="5CBA65D1">
            <w:pPr>
              <w:pStyle w:val="104"/>
              <w:spacing w:line="360" w:lineRule="auto"/>
              <w:jc w:val="center"/>
              <w:rPr>
                <w:rFonts w:ascii="宋体" w:hAnsi="宋体"/>
                <w:b/>
                <w:snapToGrid w:val="0"/>
                <w:color w:val="auto"/>
                <w:highlight w:val="none"/>
              </w:rPr>
            </w:pPr>
            <w:r>
              <w:rPr>
                <w:rFonts w:hint="eastAsia" w:ascii="宋体" w:hAnsi="宋体"/>
                <w:b/>
                <w:snapToGrid w:val="0"/>
                <w:color w:val="auto"/>
                <w:highlight w:val="none"/>
              </w:rPr>
              <w:t>投标报价上限</w:t>
            </w:r>
          </w:p>
          <w:p w14:paraId="6D1822C6">
            <w:pPr>
              <w:pStyle w:val="104"/>
              <w:spacing w:line="360" w:lineRule="auto"/>
              <w:jc w:val="center"/>
              <w:rPr>
                <w:rFonts w:ascii="宋体" w:hAnsi="宋体"/>
                <w:b/>
                <w:snapToGrid w:val="0"/>
                <w:color w:val="auto"/>
                <w:highlight w:val="none"/>
              </w:rPr>
            </w:pPr>
            <w:r>
              <w:rPr>
                <w:rFonts w:hint="eastAsia" w:ascii="宋体" w:hAnsi="宋体"/>
                <w:b/>
                <w:snapToGrid w:val="0"/>
                <w:color w:val="auto"/>
                <w:highlight w:val="none"/>
              </w:rPr>
              <w:t>（万元）</w:t>
            </w:r>
          </w:p>
        </w:tc>
        <w:tc>
          <w:tcPr>
            <w:tcW w:w="1843" w:type="dxa"/>
            <w:vAlign w:val="center"/>
          </w:tcPr>
          <w:p w14:paraId="55647031">
            <w:pPr>
              <w:pStyle w:val="104"/>
              <w:spacing w:line="360" w:lineRule="auto"/>
              <w:jc w:val="center"/>
              <w:rPr>
                <w:rFonts w:ascii="宋体" w:hAnsi="宋体"/>
                <w:b/>
                <w:snapToGrid w:val="0"/>
                <w:color w:val="auto"/>
                <w:highlight w:val="none"/>
              </w:rPr>
            </w:pPr>
            <w:r>
              <w:rPr>
                <w:rFonts w:hint="eastAsia" w:ascii="宋体" w:hAnsi="宋体"/>
                <w:b/>
                <w:snapToGrid w:val="0"/>
                <w:color w:val="auto"/>
                <w:highlight w:val="none"/>
              </w:rPr>
              <w:t>下浮率（%）</w:t>
            </w:r>
          </w:p>
        </w:tc>
        <w:tc>
          <w:tcPr>
            <w:tcW w:w="2026" w:type="dxa"/>
            <w:vAlign w:val="center"/>
          </w:tcPr>
          <w:p w14:paraId="1ECBABC9">
            <w:pPr>
              <w:pStyle w:val="104"/>
              <w:spacing w:line="360" w:lineRule="auto"/>
              <w:jc w:val="center"/>
              <w:rPr>
                <w:rFonts w:ascii="宋体" w:hAnsi="宋体"/>
                <w:b/>
                <w:snapToGrid w:val="0"/>
                <w:color w:val="auto"/>
                <w:highlight w:val="none"/>
              </w:rPr>
            </w:pPr>
            <w:r>
              <w:rPr>
                <w:rFonts w:hint="eastAsia" w:ascii="宋体" w:hAnsi="宋体"/>
                <w:b/>
                <w:snapToGrid w:val="0"/>
                <w:color w:val="auto"/>
                <w:highlight w:val="none"/>
              </w:rPr>
              <w:t>投标报价</w:t>
            </w:r>
          </w:p>
          <w:p w14:paraId="64D40E42">
            <w:pPr>
              <w:pStyle w:val="104"/>
              <w:spacing w:line="360" w:lineRule="auto"/>
              <w:jc w:val="center"/>
              <w:rPr>
                <w:rFonts w:ascii="宋体" w:hAnsi="宋体"/>
                <w:b/>
                <w:snapToGrid w:val="0"/>
                <w:color w:val="auto"/>
                <w:highlight w:val="none"/>
              </w:rPr>
            </w:pPr>
            <w:r>
              <w:rPr>
                <w:rFonts w:hint="eastAsia" w:ascii="宋体" w:hAnsi="宋体"/>
                <w:b/>
                <w:snapToGrid w:val="0"/>
                <w:color w:val="auto"/>
                <w:highlight w:val="none"/>
              </w:rPr>
              <w:t>（万元）</w:t>
            </w:r>
          </w:p>
        </w:tc>
      </w:tr>
      <w:tr w14:paraId="07E23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16" w:type="dxa"/>
            <w:vAlign w:val="center"/>
          </w:tcPr>
          <w:p w14:paraId="39634670">
            <w:pPr>
              <w:pStyle w:val="104"/>
              <w:spacing w:line="360" w:lineRule="auto"/>
              <w:jc w:val="center"/>
              <w:rPr>
                <w:rFonts w:ascii="宋体" w:hAnsi="宋体"/>
                <w:snapToGrid w:val="0"/>
                <w:color w:val="auto"/>
                <w:sz w:val="21"/>
                <w:szCs w:val="22"/>
                <w:highlight w:val="none"/>
              </w:rPr>
            </w:pPr>
            <w:r>
              <w:rPr>
                <w:rFonts w:hint="eastAsia" w:ascii="宋体" w:hAnsi="宋体"/>
                <w:snapToGrid w:val="0"/>
                <w:color w:val="auto"/>
                <w:sz w:val="21"/>
                <w:szCs w:val="22"/>
                <w:highlight w:val="none"/>
              </w:rPr>
              <w:t>1</w:t>
            </w:r>
          </w:p>
        </w:tc>
        <w:tc>
          <w:tcPr>
            <w:tcW w:w="2513" w:type="dxa"/>
            <w:vAlign w:val="center"/>
          </w:tcPr>
          <w:p w14:paraId="62E576F0">
            <w:pPr>
              <w:pStyle w:val="104"/>
              <w:spacing w:line="360" w:lineRule="auto"/>
              <w:rPr>
                <w:rFonts w:ascii="宋体" w:hAnsi="宋体" w:eastAsia="宋体"/>
                <w:b/>
                <w:bCs/>
                <w:snapToGrid w:val="0"/>
                <w:color w:val="auto"/>
                <w:sz w:val="21"/>
                <w:szCs w:val="22"/>
                <w:highlight w:val="none"/>
              </w:rPr>
            </w:pPr>
            <w:r>
              <w:rPr>
                <w:rFonts w:hint="eastAsia" w:ascii="宋体" w:hAnsi="宋体" w:eastAsia="宋体"/>
                <w:b/>
                <w:bCs/>
                <w:snapToGrid w:val="0"/>
                <w:color w:val="auto"/>
                <w:sz w:val="21"/>
                <w:szCs w:val="22"/>
                <w:highlight w:val="none"/>
              </w:rPr>
              <w:t>铁岗水库牛成村建成区径流调蓄转输工程—宣传拍摄</w:t>
            </w:r>
          </w:p>
        </w:tc>
        <w:tc>
          <w:tcPr>
            <w:tcW w:w="1915" w:type="dxa"/>
            <w:vAlign w:val="center"/>
          </w:tcPr>
          <w:p w14:paraId="271AF177">
            <w:pPr>
              <w:pStyle w:val="104"/>
              <w:spacing w:line="360" w:lineRule="auto"/>
              <w:ind w:left="-16" w:leftChars="-49" w:hanging="102" w:hangingChars="49"/>
              <w:jc w:val="center"/>
              <w:rPr>
                <w:rFonts w:ascii="宋体" w:hAnsi="宋体"/>
                <w:bCs/>
                <w:snapToGrid w:val="0"/>
                <w:color w:val="auto"/>
                <w:sz w:val="21"/>
                <w:szCs w:val="21"/>
                <w:highlight w:val="none"/>
                <w:lang w:val="zh-CN"/>
              </w:rPr>
            </w:pPr>
            <w:r>
              <w:rPr>
                <w:rFonts w:ascii="宋体" w:hAnsi="宋体"/>
                <w:bCs/>
                <w:snapToGrid w:val="0"/>
                <w:color w:val="auto"/>
                <w:sz w:val="21"/>
                <w:szCs w:val="21"/>
                <w:highlight w:val="none"/>
              </w:rPr>
              <w:t>39.48</w:t>
            </w:r>
          </w:p>
        </w:tc>
        <w:tc>
          <w:tcPr>
            <w:tcW w:w="1843" w:type="dxa"/>
            <w:vAlign w:val="center"/>
          </w:tcPr>
          <w:p w14:paraId="0724CD30">
            <w:pPr>
              <w:pStyle w:val="104"/>
              <w:spacing w:line="360" w:lineRule="auto"/>
              <w:ind w:left="-16" w:leftChars="-49" w:hanging="102" w:hangingChars="49"/>
              <w:jc w:val="center"/>
              <w:rPr>
                <w:rFonts w:ascii="宋体" w:hAnsi="宋体"/>
                <w:bCs/>
                <w:snapToGrid w:val="0"/>
                <w:color w:val="auto"/>
                <w:sz w:val="21"/>
                <w:szCs w:val="21"/>
                <w:highlight w:val="none"/>
              </w:rPr>
            </w:pPr>
          </w:p>
          <w:p w14:paraId="6264253B">
            <w:pPr>
              <w:pStyle w:val="104"/>
              <w:spacing w:line="360" w:lineRule="auto"/>
              <w:ind w:left="-16" w:leftChars="-49" w:hanging="102" w:hangingChars="49"/>
              <w:jc w:val="center"/>
              <w:rPr>
                <w:rFonts w:ascii="宋体" w:hAnsi="宋体"/>
                <w:bCs/>
                <w:snapToGrid w:val="0"/>
                <w:color w:val="auto"/>
                <w:sz w:val="21"/>
                <w:szCs w:val="21"/>
                <w:highlight w:val="none"/>
              </w:rPr>
            </w:pPr>
            <w:r>
              <w:rPr>
                <w:rFonts w:hint="eastAsia" w:ascii="宋体" w:hAnsi="宋体"/>
                <w:bCs/>
                <w:snapToGrid w:val="0"/>
                <w:color w:val="auto"/>
                <w:sz w:val="21"/>
                <w:szCs w:val="21"/>
                <w:highlight w:val="none"/>
              </w:rPr>
              <w:t>（投标人填写）</w:t>
            </w:r>
          </w:p>
          <w:p w14:paraId="7083416E">
            <w:pPr>
              <w:pStyle w:val="104"/>
              <w:spacing w:line="360" w:lineRule="auto"/>
              <w:ind w:left="-16" w:leftChars="-49" w:hanging="102" w:hangingChars="49"/>
              <w:jc w:val="center"/>
              <w:rPr>
                <w:rFonts w:ascii="宋体" w:hAnsi="宋体"/>
                <w:bCs/>
                <w:snapToGrid w:val="0"/>
                <w:color w:val="auto"/>
                <w:sz w:val="21"/>
                <w:szCs w:val="21"/>
                <w:highlight w:val="none"/>
                <w:lang w:val="zh-CN"/>
              </w:rPr>
            </w:pPr>
          </w:p>
        </w:tc>
        <w:tc>
          <w:tcPr>
            <w:tcW w:w="2026" w:type="dxa"/>
            <w:vAlign w:val="center"/>
          </w:tcPr>
          <w:p w14:paraId="634E87C5">
            <w:pPr>
              <w:pStyle w:val="104"/>
              <w:spacing w:line="360" w:lineRule="auto"/>
              <w:ind w:left="-16" w:leftChars="-49" w:hanging="102" w:hangingChars="49"/>
              <w:jc w:val="center"/>
              <w:rPr>
                <w:rFonts w:ascii="宋体" w:hAnsi="宋体"/>
                <w:bCs/>
                <w:snapToGrid w:val="0"/>
                <w:color w:val="auto"/>
                <w:sz w:val="21"/>
                <w:szCs w:val="21"/>
                <w:highlight w:val="none"/>
                <w:lang w:val="zh-CN"/>
              </w:rPr>
            </w:pPr>
            <w:r>
              <w:rPr>
                <w:rFonts w:hint="eastAsia" w:ascii="宋体" w:hAnsi="宋体"/>
                <w:bCs/>
                <w:snapToGrid w:val="0"/>
                <w:color w:val="auto"/>
                <w:sz w:val="21"/>
                <w:szCs w:val="21"/>
                <w:highlight w:val="none"/>
              </w:rPr>
              <w:t>（投标人填写）</w:t>
            </w:r>
          </w:p>
        </w:tc>
      </w:tr>
    </w:tbl>
    <w:p w14:paraId="18AFFF11">
      <w:pPr>
        <w:adjustRightInd w:val="0"/>
        <w:snapToGrid w:val="0"/>
        <w:spacing w:after="200" w:line="360" w:lineRule="auto"/>
        <w:ind w:firstLine="480" w:firstLineChars="200"/>
        <w:rPr>
          <w:snapToGrid w:val="0"/>
          <w:color w:val="auto"/>
          <w:szCs w:val="21"/>
          <w:highlight w:val="none"/>
        </w:rPr>
      </w:pPr>
    </w:p>
    <w:p w14:paraId="12F7F17D">
      <w:pPr>
        <w:adjustRightInd w:val="0"/>
        <w:snapToGrid w:val="0"/>
        <w:spacing w:after="200" w:line="360" w:lineRule="auto"/>
        <w:ind w:firstLine="480" w:firstLineChars="200"/>
        <w:rPr>
          <w:rFonts w:hint="eastAsia"/>
          <w:color w:val="auto"/>
          <w:szCs w:val="21"/>
          <w:highlight w:val="none"/>
        </w:rPr>
      </w:pPr>
      <w:r>
        <w:rPr>
          <w:rFonts w:hint="eastAsia"/>
          <w:snapToGrid w:val="0"/>
          <w:color w:val="auto"/>
          <w:szCs w:val="21"/>
          <w:highlight w:val="none"/>
        </w:rPr>
        <w:t>注：</w:t>
      </w:r>
      <w:r>
        <w:rPr>
          <w:rFonts w:hint="eastAsia"/>
          <w:color w:val="auto"/>
          <w:szCs w:val="21"/>
          <w:highlight w:val="none"/>
        </w:rPr>
        <w:t>本项目投标报价上限暂定为人民币</w:t>
      </w:r>
      <w:r>
        <w:rPr>
          <w:rFonts w:hint="eastAsia"/>
          <w:b/>
          <w:color w:val="auto"/>
          <w:szCs w:val="21"/>
          <w:highlight w:val="none"/>
        </w:rPr>
        <w:t>39.48</w:t>
      </w:r>
      <w:r>
        <w:rPr>
          <w:rFonts w:hint="eastAsia"/>
          <w:color w:val="auto"/>
          <w:szCs w:val="21"/>
          <w:highlight w:val="none"/>
        </w:rPr>
        <w:t>万元，本项目采用自主报价，合同总价包干，下浮率范围为≥</w:t>
      </w:r>
      <w:r>
        <w:rPr>
          <w:color w:val="auto"/>
          <w:szCs w:val="21"/>
          <w:highlight w:val="none"/>
        </w:rPr>
        <w:t>0%，投标人仅报相对招标估价折算下浮率和投标报价。</w:t>
      </w:r>
      <w:r>
        <w:rPr>
          <w:rFonts w:hint="eastAsia"/>
          <w:color w:val="auto"/>
          <w:szCs w:val="21"/>
          <w:highlight w:val="none"/>
        </w:rPr>
        <w:t>未按上述要求报价的，开标阶段其投标文件不予受理。最终结算价以造价站质量复核价为准，如被政府审计部门审计，则以政府审计部门审定价为准。</w:t>
      </w:r>
    </w:p>
    <w:p w14:paraId="77A2CC43">
      <w:pPr>
        <w:pStyle w:val="110"/>
        <w:widowControl w:val="0"/>
        <w:spacing w:before="0" w:beforeAutospacing="0" w:after="0" w:afterAutospacing="0" w:line="360" w:lineRule="auto"/>
        <w:rPr>
          <w:snapToGrid w:val="0"/>
          <w:color w:val="auto"/>
          <w:sz w:val="21"/>
          <w:szCs w:val="21"/>
          <w:highlight w:val="none"/>
        </w:rPr>
      </w:pPr>
    </w:p>
    <w:p w14:paraId="34EC98D1">
      <w:pPr>
        <w:rPr>
          <w:snapToGrid w:val="0"/>
          <w:color w:val="auto"/>
          <w:sz w:val="21"/>
          <w:szCs w:val="21"/>
          <w:highlight w:val="none"/>
        </w:rPr>
      </w:pPr>
      <w:r>
        <w:rPr>
          <w:snapToGrid w:val="0"/>
          <w:color w:val="auto"/>
          <w:sz w:val="21"/>
          <w:szCs w:val="21"/>
          <w:highlight w:val="none"/>
        </w:rPr>
        <w:br w:type="page"/>
      </w:r>
    </w:p>
    <w:p w14:paraId="412F674C">
      <w:pPr>
        <w:pStyle w:val="110"/>
        <w:widowControl w:val="0"/>
        <w:spacing w:before="0" w:beforeAutospacing="0" w:after="0" w:afterAutospacing="0" w:line="360" w:lineRule="auto"/>
        <w:jc w:val="center"/>
        <w:rPr>
          <w:snapToGrid w:val="0"/>
          <w:color w:val="auto"/>
          <w:sz w:val="21"/>
          <w:szCs w:val="21"/>
          <w:highlight w:val="none"/>
        </w:rPr>
      </w:pPr>
      <w:r>
        <w:rPr>
          <w:snapToGrid w:val="0"/>
          <w:color w:val="auto"/>
          <w:sz w:val="21"/>
          <w:szCs w:val="21"/>
          <w:highlight w:val="none"/>
        </w:rPr>
        <w:t>（投标人认为应补充提供的其他文件资料或说明）</w:t>
      </w:r>
    </w:p>
    <w:p w14:paraId="24505328">
      <w:pPr>
        <w:pStyle w:val="110"/>
        <w:widowControl w:val="0"/>
        <w:adjustRightInd w:val="0"/>
        <w:snapToGrid w:val="0"/>
        <w:spacing w:before="0" w:beforeAutospacing="0" w:after="0" w:afterAutospacing="0" w:line="360" w:lineRule="auto"/>
        <w:rPr>
          <w:snapToGrid w:val="0"/>
          <w:color w:val="auto"/>
          <w:sz w:val="21"/>
          <w:szCs w:val="21"/>
          <w:highlight w:val="none"/>
        </w:rPr>
      </w:pPr>
    </w:p>
    <w:p w14:paraId="04BB4216">
      <w:pPr>
        <w:pStyle w:val="110"/>
        <w:widowControl w:val="0"/>
        <w:spacing w:before="0" w:beforeAutospacing="0" w:after="0" w:afterAutospacing="0" w:line="360" w:lineRule="auto"/>
        <w:rPr>
          <w:color w:val="auto"/>
          <w:sz w:val="44"/>
          <w:szCs w:val="44"/>
          <w:highlight w:val="none"/>
        </w:rPr>
      </w:pPr>
      <w:r>
        <w:rPr>
          <w:snapToGrid w:val="0"/>
          <w:color w:val="auto"/>
          <w:highlight w:val="none"/>
        </w:rPr>
        <w:br w:type="page"/>
      </w:r>
    </w:p>
    <w:p w14:paraId="1090F86F">
      <w:pPr>
        <w:adjustRightInd w:val="0"/>
        <w:snapToGrid w:val="0"/>
        <w:spacing w:line="360" w:lineRule="auto"/>
        <w:jc w:val="center"/>
        <w:outlineLvl w:val="0"/>
        <w:rPr>
          <w:b/>
          <w:color w:val="auto"/>
          <w:sz w:val="52"/>
          <w:szCs w:val="52"/>
          <w:highlight w:val="none"/>
        </w:rPr>
      </w:pPr>
      <w:r>
        <w:rPr>
          <w:rFonts w:hint="eastAsia"/>
          <w:b/>
          <w:color w:val="auto"/>
          <w:sz w:val="52"/>
          <w:szCs w:val="52"/>
          <w:highlight w:val="none"/>
        </w:rPr>
        <w:t>第五章  合同条款及格式</w:t>
      </w:r>
    </w:p>
    <w:p w14:paraId="0009B941">
      <w:pPr>
        <w:rPr>
          <w:rFonts w:ascii="黑体" w:eastAsia="黑体"/>
          <w:color w:val="auto"/>
          <w:sz w:val="28"/>
          <w:szCs w:val="28"/>
          <w:highlight w:val="none"/>
        </w:rPr>
      </w:pPr>
      <w:r>
        <w:rPr>
          <w:rFonts w:ascii="黑体" w:eastAsia="黑体"/>
          <w:color w:val="auto"/>
          <w:sz w:val="28"/>
          <w:szCs w:val="28"/>
          <w:highlight w:val="none"/>
        </w:rPr>
        <w:br w:type="page"/>
      </w:r>
    </w:p>
    <w:p w14:paraId="065145FF">
      <w:pPr>
        <w:jc w:val="center"/>
        <w:rPr>
          <w:b/>
          <w:color w:val="auto"/>
          <w:highlight w:val="none"/>
        </w:rPr>
      </w:pPr>
      <w:bookmarkStart w:id="277" w:name="_Toc73518163"/>
      <w:bookmarkStart w:id="278" w:name="_Toc100052414"/>
      <w:bookmarkStart w:id="279" w:name="_Toc73521680"/>
      <w:bookmarkStart w:id="280" w:name="_Toc73517685"/>
      <w:bookmarkStart w:id="281" w:name="_Toc101074886"/>
      <w:bookmarkStart w:id="282" w:name="_Toc84303603"/>
      <w:bookmarkStart w:id="283" w:name="_Toc73521592"/>
      <w:r>
        <w:rPr>
          <w:rFonts w:hint="eastAsia"/>
          <w:b/>
          <w:color w:val="auto"/>
          <w:highlight w:val="none"/>
        </w:rPr>
        <w:t>合同条款</w:t>
      </w:r>
      <w:bookmarkEnd w:id="277"/>
      <w:bookmarkEnd w:id="278"/>
      <w:bookmarkEnd w:id="279"/>
      <w:bookmarkEnd w:id="280"/>
      <w:bookmarkEnd w:id="281"/>
      <w:bookmarkEnd w:id="282"/>
      <w:bookmarkEnd w:id="283"/>
    </w:p>
    <w:p w14:paraId="07FE8CB0">
      <w:pPr>
        <w:jc w:val="center"/>
        <w:rPr>
          <w:color w:val="auto"/>
          <w:highlight w:val="none"/>
        </w:rPr>
      </w:pPr>
      <w:r>
        <w:rPr>
          <w:rFonts w:hint="eastAsia"/>
          <w:b/>
          <w:color w:val="auto"/>
          <w:highlight w:val="none"/>
        </w:rPr>
        <w:t>（仅供参考，项目具体要求以招标项目需求为准）</w:t>
      </w:r>
    </w:p>
    <w:p w14:paraId="4D508414">
      <w:pPr>
        <w:rPr>
          <w:b/>
          <w:bCs/>
          <w:color w:val="auto"/>
          <w:szCs w:val="21"/>
          <w:highlight w:val="none"/>
        </w:rPr>
      </w:pPr>
      <w:r>
        <w:rPr>
          <w:rFonts w:hint="eastAsia"/>
          <w:b/>
          <w:bCs/>
          <w:color w:val="auto"/>
          <w:szCs w:val="21"/>
          <w:highlight w:val="none"/>
        </w:rPr>
        <w:t>甲方：</w:t>
      </w:r>
      <w:r>
        <w:rPr>
          <w:b/>
          <w:bCs/>
          <w:color w:val="auto"/>
          <w:szCs w:val="21"/>
          <w:highlight w:val="none"/>
        </w:rPr>
        <w:t xml:space="preserve"> </w:t>
      </w:r>
      <w:r>
        <w:rPr>
          <w:rFonts w:hint="eastAsia"/>
          <w:b/>
          <w:bCs/>
          <w:color w:val="auto"/>
          <w:szCs w:val="21"/>
          <w:highlight w:val="none"/>
        </w:rPr>
        <w:t xml:space="preserve"> </w:t>
      </w:r>
      <w:r>
        <w:rPr>
          <w:b/>
          <w:bCs/>
          <w:color w:val="auto"/>
          <w:szCs w:val="21"/>
          <w:highlight w:val="none"/>
        </w:rPr>
        <w:t xml:space="preserve"> </w:t>
      </w:r>
    </w:p>
    <w:p w14:paraId="36D7F128">
      <w:pPr>
        <w:rPr>
          <w:b/>
          <w:bCs/>
          <w:color w:val="auto"/>
          <w:szCs w:val="21"/>
          <w:highlight w:val="none"/>
        </w:rPr>
      </w:pPr>
      <w:r>
        <w:rPr>
          <w:rFonts w:hint="eastAsia"/>
          <w:b/>
          <w:bCs/>
          <w:color w:val="auto"/>
          <w:szCs w:val="21"/>
          <w:highlight w:val="none"/>
        </w:rPr>
        <w:t>乙方：</w:t>
      </w:r>
      <w:r>
        <w:rPr>
          <w:b/>
          <w:bCs/>
          <w:color w:val="auto"/>
          <w:szCs w:val="21"/>
          <w:highlight w:val="none"/>
        </w:rPr>
        <w:t xml:space="preserve">            </w:t>
      </w:r>
      <w:r>
        <w:rPr>
          <w:rFonts w:hint="eastAsia"/>
          <w:b/>
          <w:bCs/>
          <w:color w:val="auto"/>
          <w:szCs w:val="21"/>
          <w:highlight w:val="none"/>
        </w:rPr>
        <w:t xml:space="preserve">                            </w:t>
      </w:r>
      <w:r>
        <w:rPr>
          <w:b/>
          <w:bCs/>
          <w:color w:val="auto"/>
          <w:szCs w:val="21"/>
          <w:highlight w:val="none"/>
        </w:rPr>
        <w:t xml:space="preserve">  </w:t>
      </w:r>
    </w:p>
    <w:p w14:paraId="7CB26A51">
      <w:pPr>
        <w:rPr>
          <w:color w:val="auto"/>
          <w:szCs w:val="21"/>
          <w:highlight w:val="none"/>
        </w:rPr>
      </w:pPr>
    </w:p>
    <w:p w14:paraId="54444987">
      <w:pPr>
        <w:shd w:val="clear" w:color="auto" w:fill="FFFFFF"/>
        <w:spacing w:line="360" w:lineRule="auto"/>
        <w:ind w:firstLine="480" w:firstLineChars="200"/>
        <w:rPr>
          <w:color w:val="auto"/>
          <w:szCs w:val="21"/>
          <w:highlight w:val="none"/>
        </w:rPr>
      </w:pPr>
      <w:r>
        <w:rPr>
          <w:rFonts w:hint="eastAsia"/>
          <w:color w:val="auto"/>
          <w:szCs w:val="21"/>
          <w:highlight w:val="none"/>
        </w:rPr>
        <w:t>依照《中华人民共和国民法典》</w:t>
      </w:r>
      <w:r>
        <w:rPr>
          <w:rFonts w:hint="eastAsia"/>
          <w:color w:val="auto"/>
          <w:szCs w:val="21"/>
          <w:highlight w:val="none"/>
          <w:lang w:eastAsia="zh-CN"/>
        </w:rPr>
        <w:t>及</w:t>
      </w:r>
      <w:r>
        <w:rPr>
          <w:rFonts w:hint="eastAsia"/>
          <w:color w:val="auto"/>
          <w:szCs w:val="21"/>
          <w:highlight w:val="none"/>
        </w:rPr>
        <w:t>其他有关法律、行政法规，遵循平等、自愿、公平和诚实信用的原则，就</w:t>
      </w:r>
      <w:r>
        <w:rPr>
          <w:rFonts w:hint="eastAsia"/>
          <w:color w:val="auto"/>
          <w:szCs w:val="21"/>
          <w:highlight w:val="none"/>
          <w:lang w:eastAsia="zh-CN"/>
        </w:rPr>
        <w:t>本</w:t>
      </w:r>
      <w:r>
        <w:rPr>
          <w:rFonts w:hint="eastAsia"/>
          <w:color w:val="auto"/>
          <w:szCs w:val="21"/>
          <w:highlight w:val="none"/>
        </w:rPr>
        <w:t>工程</w:t>
      </w:r>
      <w:r>
        <w:rPr>
          <w:rFonts w:hint="eastAsia"/>
          <w:color w:val="auto"/>
          <w:szCs w:val="21"/>
          <w:highlight w:val="none"/>
          <w:lang w:eastAsia="zh-CN"/>
        </w:rPr>
        <w:t>服务采购</w:t>
      </w:r>
      <w:r>
        <w:rPr>
          <w:rFonts w:hint="eastAsia"/>
          <w:color w:val="auto"/>
          <w:szCs w:val="21"/>
          <w:highlight w:val="none"/>
        </w:rPr>
        <w:t>事宜达成一致意见，订立本合同。</w:t>
      </w:r>
    </w:p>
    <w:p w14:paraId="1CF3D54B">
      <w:pPr>
        <w:spacing w:line="360" w:lineRule="auto"/>
        <w:rPr>
          <w:color w:val="auto"/>
          <w:szCs w:val="21"/>
          <w:highlight w:val="none"/>
        </w:rPr>
      </w:pPr>
      <w:r>
        <w:rPr>
          <w:rFonts w:hint="eastAsia"/>
          <w:color w:val="auto"/>
          <w:highlight w:val="none"/>
        </w:rPr>
        <w:t>在</w:t>
      </w:r>
      <w:r>
        <w:rPr>
          <w:rFonts w:hint="eastAsia"/>
          <w:color w:val="auto"/>
          <w:highlight w:val="none"/>
          <w:u w:val="single"/>
        </w:rPr>
        <w:t>铁岗水库牛成村建成区径流调蓄转输工程—宣传拍摄</w:t>
      </w:r>
      <w:r>
        <w:rPr>
          <w:rFonts w:hint="eastAsia"/>
          <w:color w:val="auto"/>
          <w:highlight w:val="none"/>
        </w:rPr>
        <w:t>项目招标采购中，经甲方公开招标,乙方为</w:t>
      </w:r>
      <w:r>
        <w:rPr>
          <w:rFonts w:hint="eastAsia"/>
          <w:color w:val="auto"/>
          <w:highlight w:val="none"/>
          <w:u w:val="single"/>
        </w:rPr>
        <w:t>铁岗水库牛成村建成区径流调蓄转输工程—宣传拍摄</w:t>
      </w:r>
      <w:r>
        <w:rPr>
          <w:rFonts w:hint="eastAsia"/>
          <w:color w:val="auto"/>
          <w:highlight w:val="none"/>
        </w:rPr>
        <w:t>项目中标人，现就甲方采购乙方服务事宜，依照《中华人民共和国民法典》及其他法律法规，经甲乙双方充分协商，特订立本合同，以便共同遵守。</w:t>
      </w:r>
      <w:r>
        <w:rPr>
          <w:rFonts w:hint="eastAsia"/>
          <w:color w:val="auto"/>
          <w:szCs w:val="21"/>
          <w:highlight w:val="none"/>
        </w:rPr>
        <w:t>达成以下合同条款：</w:t>
      </w:r>
    </w:p>
    <w:p w14:paraId="65DC6FD9">
      <w:pPr>
        <w:ind w:firstLine="482" w:firstLineChars="200"/>
        <w:rPr>
          <w:b/>
          <w:bCs/>
          <w:color w:val="auto"/>
          <w:szCs w:val="21"/>
          <w:highlight w:val="none"/>
        </w:rPr>
      </w:pPr>
      <w:r>
        <w:rPr>
          <w:rFonts w:hint="eastAsia"/>
          <w:b/>
          <w:bCs/>
          <w:color w:val="auto"/>
          <w:szCs w:val="21"/>
          <w:highlight w:val="none"/>
        </w:rPr>
        <w:t>第一条　项目概况</w:t>
      </w:r>
    </w:p>
    <w:p w14:paraId="4CDC6C8E">
      <w:pPr>
        <w:ind w:firstLine="480" w:firstLineChars="200"/>
        <w:rPr>
          <w:color w:val="auto"/>
          <w:szCs w:val="21"/>
          <w:highlight w:val="none"/>
        </w:rPr>
      </w:pPr>
      <w:r>
        <w:rPr>
          <w:rFonts w:hint="eastAsia"/>
          <w:color w:val="auto"/>
          <w:szCs w:val="21"/>
          <w:highlight w:val="none"/>
        </w:rPr>
        <w:t>项目名称：铁岗水库牛成村建成区径流调蓄转输工程—宣传拍摄</w:t>
      </w:r>
    </w:p>
    <w:p w14:paraId="470909BE">
      <w:pPr>
        <w:ind w:firstLine="480" w:firstLineChars="200"/>
        <w:rPr>
          <w:color w:val="auto"/>
          <w:szCs w:val="21"/>
          <w:highlight w:val="none"/>
        </w:rPr>
      </w:pPr>
      <w:r>
        <w:rPr>
          <w:rFonts w:hint="eastAsia"/>
          <w:color w:val="auto"/>
          <w:szCs w:val="21"/>
          <w:highlight w:val="none"/>
        </w:rPr>
        <w:t xml:space="preserve">项目内容：包括但不限于：宣传拍摄的策划设计、对相关单位代表进行采访、工程特色施工技术展示、工程实施效果的展示、工程实现的效益价值宣传等 </w:t>
      </w:r>
    </w:p>
    <w:p w14:paraId="7354754B">
      <w:pPr>
        <w:ind w:firstLine="480" w:firstLineChars="200"/>
        <w:rPr>
          <w:rFonts w:hint="eastAsia"/>
          <w:color w:val="auto"/>
          <w:highlight w:val="none"/>
        </w:rPr>
      </w:pPr>
      <w:r>
        <w:rPr>
          <w:rFonts w:hint="eastAsia"/>
          <w:color w:val="auto"/>
          <w:szCs w:val="21"/>
          <w:highlight w:val="none"/>
        </w:rPr>
        <w:t>服务时间：拍摄时间2个月</w:t>
      </w:r>
      <w:r>
        <w:rPr>
          <w:rFonts w:hint="eastAsia"/>
          <w:color w:val="auto"/>
          <w:highlight w:val="none"/>
        </w:rPr>
        <w:t>，本工程的服务期限为自接到甲方发出的正式书面通知之日起至</w:t>
      </w:r>
      <w:r>
        <w:rPr>
          <w:rFonts w:hint="eastAsia"/>
          <w:color w:val="auto"/>
          <w:highlight w:val="none"/>
          <w:lang w:eastAsia="zh-CN"/>
        </w:rPr>
        <w:t>合同内全部</w:t>
      </w:r>
      <w:r>
        <w:rPr>
          <w:rFonts w:hint="eastAsia"/>
          <w:color w:val="auto"/>
          <w:highlight w:val="none"/>
        </w:rPr>
        <w:t>工作完毕为止。</w:t>
      </w:r>
    </w:p>
    <w:p w14:paraId="067E2EE1">
      <w:pPr>
        <w:ind w:firstLine="480" w:firstLineChars="200"/>
        <w:rPr>
          <w:color w:val="auto"/>
          <w:szCs w:val="21"/>
          <w:highlight w:val="none"/>
        </w:rPr>
      </w:pPr>
    </w:p>
    <w:p w14:paraId="6437CC4F">
      <w:pPr>
        <w:ind w:firstLine="480" w:firstLineChars="200"/>
        <w:rPr>
          <w:color w:val="auto"/>
          <w:szCs w:val="21"/>
          <w:highlight w:val="none"/>
        </w:rPr>
      </w:pPr>
      <w:r>
        <w:rPr>
          <w:rFonts w:hint="eastAsia"/>
          <w:color w:val="auto"/>
          <w:szCs w:val="21"/>
          <w:highlight w:val="none"/>
        </w:rPr>
        <w:t>合同价款：合同总价为</w:t>
      </w:r>
      <w:r>
        <w:rPr>
          <w:rFonts w:hint="eastAsia"/>
          <w:color w:val="auto"/>
          <w:szCs w:val="21"/>
          <w:highlight w:val="none"/>
          <w:u w:val="single"/>
        </w:rPr>
        <w:t xml:space="preserve">         </w:t>
      </w:r>
      <w:r>
        <w:rPr>
          <w:rFonts w:hint="eastAsia"/>
          <w:color w:val="auto"/>
          <w:szCs w:val="21"/>
          <w:highlight w:val="none"/>
        </w:rPr>
        <w:t>元，含一切税、费。</w:t>
      </w:r>
      <w:r>
        <w:rPr>
          <w:color w:val="auto"/>
          <w:highlight w:val="none"/>
        </w:rPr>
        <w:t>本合同总价包括</w:t>
      </w:r>
      <w:r>
        <w:rPr>
          <w:rFonts w:hint="eastAsia"/>
          <w:color w:val="auto"/>
          <w:highlight w:val="none"/>
        </w:rPr>
        <w:t>但不限于</w:t>
      </w:r>
      <w:r>
        <w:rPr>
          <w:rFonts w:hint="eastAsia"/>
          <w:color w:val="auto"/>
          <w:szCs w:val="21"/>
          <w:highlight w:val="none"/>
        </w:rPr>
        <w:t>乙方为实施本项目服务所需的设备仪器费、车辆租赁费、策划、人员</w:t>
      </w:r>
      <w:r>
        <w:rPr>
          <w:color w:val="auto"/>
          <w:highlight w:val="none"/>
        </w:rPr>
        <w:t>服务</w:t>
      </w:r>
      <w:r>
        <w:rPr>
          <w:rFonts w:hint="eastAsia"/>
          <w:color w:val="auto"/>
          <w:highlight w:val="none"/>
        </w:rPr>
        <w:t>和</w:t>
      </w:r>
      <w:r>
        <w:rPr>
          <w:color w:val="auto"/>
          <w:highlight w:val="none"/>
        </w:rPr>
        <w:t>技术费用</w:t>
      </w:r>
      <w:r>
        <w:rPr>
          <w:rFonts w:hint="eastAsia"/>
          <w:color w:val="auto"/>
          <w:highlight w:val="none"/>
        </w:rPr>
        <w:t>等</w:t>
      </w:r>
      <w:r>
        <w:rPr>
          <w:color w:val="auto"/>
          <w:highlight w:val="none"/>
        </w:rPr>
        <w:t>，为固定不变价格，且不随通货膨胀的影响而波动。合同总价包括</w:t>
      </w:r>
      <w:r>
        <w:rPr>
          <w:rFonts w:hint="eastAsia"/>
          <w:color w:val="auto"/>
          <w:szCs w:val="21"/>
          <w:highlight w:val="none"/>
        </w:rPr>
        <w:t>乙方</w:t>
      </w:r>
      <w:r>
        <w:rPr>
          <w:color w:val="auto"/>
          <w:highlight w:val="none"/>
        </w:rPr>
        <w:t>履行本合同义务所发生的一切费用和支出和以各种方式寄送技术资料到</w:t>
      </w:r>
      <w:r>
        <w:rPr>
          <w:rFonts w:hint="eastAsia"/>
          <w:color w:val="auto"/>
          <w:highlight w:val="none"/>
        </w:rPr>
        <w:t>甲</w:t>
      </w:r>
      <w:r>
        <w:rPr>
          <w:color w:val="auto"/>
          <w:highlight w:val="none"/>
        </w:rPr>
        <w:t>方办公室所发生的费用。如发生本合同规定的不可抗力，合同总价可经双方友好协商予以调整。</w:t>
      </w:r>
    </w:p>
    <w:p w14:paraId="05479605">
      <w:pPr>
        <w:pStyle w:val="14"/>
        <w:rPr>
          <w:color w:val="auto"/>
          <w:szCs w:val="21"/>
          <w:highlight w:val="none"/>
        </w:rPr>
      </w:pPr>
      <w:r>
        <w:rPr>
          <w:rFonts w:hint="eastAsia"/>
          <w:color w:val="auto"/>
          <w:szCs w:val="21"/>
          <w:highlight w:val="none"/>
        </w:rPr>
        <w:t>支付方式：</w:t>
      </w:r>
      <w:r>
        <w:rPr>
          <w:rFonts w:hint="eastAsia"/>
          <w:color w:val="auto"/>
          <w:szCs w:val="21"/>
          <w:highlight w:val="none"/>
          <w:lang w:eastAsia="zh-CN"/>
        </w:rPr>
        <w:t>详见本合同第十六条</w:t>
      </w:r>
      <w:r>
        <w:rPr>
          <w:rFonts w:hint="eastAsia"/>
          <w:color w:val="auto"/>
          <w:szCs w:val="21"/>
          <w:highlight w:val="none"/>
        </w:rPr>
        <w:t>。</w:t>
      </w:r>
    </w:p>
    <w:p w14:paraId="39C0EC4F">
      <w:pPr>
        <w:ind w:firstLine="482" w:firstLineChars="200"/>
        <w:rPr>
          <w:b/>
          <w:bCs/>
          <w:color w:val="auto"/>
          <w:szCs w:val="21"/>
          <w:highlight w:val="none"/>
        </w:rPr>
      </w:pPr>
      <w:r>
        <w:rPr>
          <w:rFonts w:hint="eastAsia"/>
          <w:b/>
          <w:bCs/>
          <w:color w:val="auto"/>
          <w:szCs w:val="21"/>
          <w:highlight w:val="none"/>
        </w:rPr>
        <w:t>第二条  服务范围及内容</w:t>
      </w:r>
    </w:p>
    <w:p w14:paraId="75C3B771">
      <w:pPr>
        <w:spacing w:line="480" w:lineRule="exact"/>
        <w:ind w:left="480" w:left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1、策划设计</w:t>
      </w:r>
    </w:p>
    <w:p w14:paraId="5A5F46E8">
      <w:pPr>
        <w:spacing w:line="480" w:lineRule="exact"/>
        <w:ind w:left="480" w:leftChars="200"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主要包括对宣传片整体框架的梳理、资料收集、摄影摄像、文案编辑、设计排版、制作视频和画册等，保证本次宣传的效果。</w:t>
      </w:r>
    </w:p>
    <w:p w14:paraId="368D4DC1">
      <w:pPr>
        <w:spacing w:line="480" w:lineRule="exact"/>
        <w:ind w:left="480" w:left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2、对相关单位代表进行采访</w:t>
      </w:r>
    </w:p>
    <w:p w14:paraId="3BCBF64F">
      <w:pPr>
        <w:spacing w:line="480" w:lineRule="exact"/>
        <w:ind w:left="480" w:leftChars="200"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采访项目相关单位的领导或代表，如建设单位、代建单位、勘察单位、设计单位、监理单位、施工单位、第三方检测单位等，并录制视频。</w:t>
      </w:r>
    </w:p>
    <w:p w14:paraId="2C94D5AA">
      <w:pPr>
        <w:spacing w:line="480" w:lineRule="exact"/>
        <w:ind w:left="480" w:left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3、工程特色施工技术展示</w:t>
      </w:r>
    </w:p>
    <w:p w14:paraId="2152F356">
      <w:pPr>
        <w:spacing w:line="480" w:lineRule="exact"/>
        <w:ind w:left="480" w:leftChars="200"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针对本工程施工过程中的特色施工技术，利用三维工业动画技术设计动画画面，增加大家对本项目施工技术的了解。</w:t>
      </w:r>
    </w:p>
    <w:p w14:paraId="624ABCEE">
      <w:pPr>
        <w:spacing w:line="480" w:lineRule="exact"/>
        <w:ind w:left="480" w:left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4、工程实施效果的展示</w:t>
      </w:r>
    </w:p>
    <w:p w14:paraId="537D9548">
      <w:pPr>
        <w:spacing w:line="480" w:lineRule="exact"/>
        <w:ind w:left="480" w:leftChars="200"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项目实施完成后，安排专人对项目进行全方位拍摄，包括但不限拍摄恢弘场景（高角度）、大场景拍摄（多角度）、项目周边环境的航拍素材、项目部、调蓄池和调蓄湖等工程单独拍摄全景及局部、绿化带等，充分展示项目积极正面的面貌；同时采访相关单位和周边市民，对项目所取得的效果进行评价，多角度展示工程的实施效果。</w:t>
      </w:r>
    </w:p>
    <w:p w14:paraId="761CFAD0">
      <w:pPr>
        <w:spacing w:line="480" w:lineRule="exact"/>
        <w:ind w:left="480" w:left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5、设备配备要求</w:t>
      </w:r>
    </w:p>
    <w:p w14:paraId="44B2AFEC">
      <w:pPr>
        <w:spacing w:line="480" w:lineRule="exact"/>
        <w:ind w:left="480" w:leftChars="200"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为拍摄团队配备包括但不限于一台照相机和配套设备、一套摄影器材和一台航拍无人机、拍摄用的灯光设备、辅助器材等。</w:t>
      </w:r>
    </w:p>
    <w:p w14:paraId="13156ECE">
      <w:pPr>
        <w:spacing w:line="480" w:lineRule="exact"/>
        <w:ind w:left="480" w:left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6、拍摄格式要求</w:t>
      </w:r>
    </w:p>
    <w:p w14:paraId="694C518A">
      <w:pPr>
        <w:spacing w:line="480" w:lineRule="exact"/>
        <w:ind w:left="480" w:leftChars="200" w:firstLine="480" w:firstLineChars="200"/>
        <w:rPr>
          <w:color w:val="auto"/>
          <w:sz w:val="22"/>
          <w:szCs w:val="20"/>
          <w:highlight w:val="none"/>
        </w:rPr>
      </w:pPr>
      <w:r>
        <w:rPr>
          <w:rFonts w:hint="eastAsia" w:ascii="仿宋_GB2312" w:hAnsi="仿宋_GB2312" w:eastAsia="仿宋_GB2312" w:cs="仿宋_GB2312"/>
          <w:color w:val="auto"/>
          <w:highlight w:val="none"/>
        </w:rPr>
        <w:t>包括但不限于照片、视频等格式。</w:t>
      </w:r>
    </w:p>
    <w:p w14:paraId="28028EE2">
      <w:pPr>
        <w:spacing w:line="480" w:lineRule="exact"/>
        <w:ind w:left="480" w:left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 其他合同未明示的相关工作。</w:t>
      </w:r>
    </w:p>
    <w:p w14:paraId="3E56D37B">
      <w:pPr>
        <w:ind w:firstLine="482" w:firstLineChars="200"/>
        <w:rPr>
          <w:b/>
          <w:bCs/>
          <w:color w:val="auto"/>
          <w:szCs w:val="21"/>
          <w:highlight w:val="none"/>
        </w:rPr>
      </w:pPr>
      <w:r>
        <w:rPr>
          <w:rFonts w:hint="eastAsia"/>
          <w:b/>
          <w:bCs/>
          <w:color w:val="auto"/>
          <w:szCs w:val="21"/>
          <w:highlight w:val="none"/>
        </w:rPr>
        <w:t>第三条  时间要求及成果要求</w:t>
      </w:r>
    </w:p>
    <w:p w14:paraId="1DF71D8F">
      <w:pPr>
        <w:ind w:firstLine="480" w:firstLineChars="200"/>
        <w:rPr>
          <w:color w:val="auto"/>
          <w:szCs w:val="21"/>
          <w:highlight w:val="none"/>
        </w:rPr>
      </w:pPr>
      <w:r>
        <w:rPr>
          <w:rFonts w:hint="eastAsia"/>
          <w:color w:val="auto"/>
          <w:szCs w:val="21"/>
          <w:highlight w:val="none"/>
        </w:rPr>
        <w:t>1、合同签订</w:t>
      </w:r>
      <w:r>
        <w:rPr>
          <w:rFonts w:hint="eastAsia"/>
          <w:color w:val="auto"/>
          <w:szCs w:val="21"/>
          <w:highlight w:val="none"/>
          <w:u w:val="single"/>
        </w:rPr>
        <w:t xml:space="preserve">  </w:t>
      </w:r>
      <w:r>
        <w:rPr>
          <w:rFonts w:hint="eastAsia"/>
          <w:color w:val="auto"/>
          <w:szCs w:val="21"/>
          <w:highlight w:val="none"/>
        </w:rPr>
        <w:t>天内完成项目实施的准备工作，包括工作大纲和实施细则的编制；在甲方要求时间内交付相关成果文件。</w:t>
      </w:r>
    </w:p>
    <w:p w14:paraId="67E3F650">
      <w:pPr>
        <w:spacing w:line="480" w:lineRule="exact"/>
        <w:ind w:left="480" w:leftChars="200"/>
        <w:rPr>
          <w:color w:val="auto"/>
          <w:highlight w:val="none"/>
        </w:rPr>
      </w:pPr>
      <w:r>
        <w:rPr>
          <w:rFonts w:hint="eastAsia"/>
          <w:color w:val="auto"/>
          <w:highlight w:val="none"/>
          <w:lang w:val="en-US" w:eastAsia="zh-CN"/>
        </w:rPr>
        <w:t>2</w:t>
      </w:r>
      <w:r>
        <w:rPr>
          <w:rFonts w:hint="eastAsia"/>
          <w:color w:val="auto"/>
          <w:highlight w:val="none"/>
        </w:rPr>
        <w:t>、“项目介绍”视频</w:t>
      </w:r>
    </w:p>
    <w:p w14:paraId="665C1424">
      <w:pPr>
        <w:pStyle w:val="17"/>
        <w:spacing w:line="480" w:lineRule="exact"/>
        <w:ind w:left="480" w:leftChars="200" w:firstLine="480" w:firstLineChars="200"/>
        <w:rPr>
          <w:b w:val="0"/>
          <w:bCs w:val="0"/>
          <w:color w:val="auto"/>
          <w:highlight w:val="none"/>
        </w:rPr>
      </w:pPr>
      <w:r>
        <w:rPr>
          <w:rFonts w:hint="eastAsia"/>
          <w:b w:val="0"/>
          <w:bCs w:val="0"/>
          <w:color w:val="auto"/>
          <w:highlight w:val="none"/>
        </w:rPr>
        <w:t>（1）视频时长：6分钟；</w:t>
      </w:r>
    </w:p>
    <w:p w14:paraId="2708A9A7">
      <w:pPr>
        <w:pStyle w:val="17"/>
        <w:spacing w:line="480" w:lineRule="exact"/>
        <w:ind w:left="480" w:leftChars="200" w:firstLine="480" w:firstLineChars="200"/>
        <w:rPr>
          <w:b w:val="0"/>
          <w:bCs w:val="0"/>
          <w:color w:val="auto"/>
          <w:highlight w:val="none"/>
        </w:rPr>
      </w:pPr>
      <w:r>
        <w:rPr>
          <w:rFonts w:hint="eastAsia"/>
          <w:b w:val="0"/>
          <w:bCs w:val="0"/>
          <w:color w:val="auto"/>
          <w:highlight w:val="none"/>
        </w:rPr>
        <w:t>（2）内容包括但不限于工程简介、建设规范、设计优秀、施工先进、质量优良、运行可靠、效益显著七个方面。</w:t>
      </w:r>
    </w:p>
    <w:p w14:paraId="5ACE9A59">
      <w:pPr>
        <w:pStyle w:val="17"/>
        <w:spacing w:line="480" w:lineRule="exact"/>
        <w:ind w:left="480" w:leftChars="200" w:firstLine="480" w:firstLineChars="200"/>
        <w:rPr>
          <w:b w:val="0"/>
          <w:bCs w:val="0"/>
          <w:color w:val="auto"/>
          <w:highlight w:val="none"/>
        </w:rPr>
      </w:pPr>
      <w:r>
        <w:rPr>
          <w:rFonts w:hint="eastAsia"/>
          <w:b w:val="0"/>
          <w:bCs w:val="0"/>
          <w:color w:val="auto"/>
          <w:highlight w:val="none"/>
        </w:rPr>
        <w:t>（3）针对本工程施工过程中的特色施工技术，利用三维工业动画技术设计动画画面，模拟真实场景与物体，通过各种表现形式将复杂的科学原理、创新技术等简化、生动、形象、精准的表现出来，更具直观性、更容易被理解与接受，要求制作80秒左右，根据视频整体需要再进行选取不少于30秒。</w:t>
      </w:r>
    </w:p>
    <w:p w14:paraId="089DFB26">
      <w:pPr>
        <w:pStyle w:val="17"/>
        <w:spacing w:line="480" w:lineRule="exact"/>
        <w:ind w:left="480" w:leftChars="200" w:firstLine="480" w:firstLineChars="200"/>
        <w:rPr>
          <w:b w:val="0"/>
          <w:bCs w:val="0"/>
          <w:color w:val="auto"/>
          <w:highlight w:val="none"/>
        </w:rPr>
      </w:pPr>
      <w:r>
        <w:rPr>
          <w:rFonts w:hint="eastAsia"/>
          <w:b w:val="0"/>
          <w:bCs w:val="0"/>
          <w:color w:val="auto"/>
          <w:highlight w:val="none"/>
        </w:rPr>
        <w:t>（4）拍摄素材分辨率为4K 4096*2160,成片分辨率为1920*1080；</w:t>
      </w:r>
    </w:p>
    <w:p w14:paraId="1B5B8983">
      <w:pPr>
        <w:pStyle w:val="17"/>
        <w:spacing w:line="480" w:lineRule="exact"/>
        <w:ind w:left="480" w:leftChars="200" w:firstLine="480" w:firstLineChars="200"/>
        <w:rPr>
          <w:b w:val="0"/>
          <w:bCs w:val="0"/>
          <w:color w:val="auto"/>
          <w:highlight w:val="none"/>
        </w:rPr>
      </w:pPr>
      <w:r>
        <w:rPr>
          <w:rFonts w:hint="eastAsia"/>
          <w:b w:val="0"/>
          <w:bCs w:val="0"/>
          <w:color w:val="auto"/>
          <w:highlight w:val="none"/>
        </w:rPr>
        <w:t>（5）音效：2.1立体声；</w:t>
      </w:r>
    </w:p>
    <w:p w14:paraId="586D4E9C">
      <w:pPr>
        <w:pStyle w:val="17"/>
        <w:spacing w:line="480" w:lineRule="exact"/>
        <w:ind w:left="480" w:leftChars="200" w:firstLine="480" w:firstLineChars="200"/>
        <w:rPr>
          <w:b w:val="0"/>
          <w:bCs w:val="0"/>
          <w:color w:val="auto"/>
          <w:highlight w:val="none"/>
        </w:rPr>
      </w:pPr>
      <w:r>
        <w:rPr>
          <w:rFonts w:hint="eastAsia"/>
          <w:b w:val="0"/>
          <w:bCs w:val="0"/>
          <w:color w:val="auto"/>
          <w:highlight w:val="none"/>
        </w:rPr>
        <w:t>（6）版本：中文配音并叠加中文字幕；</w:t>
      </w:r>
    </w:p>
    <w:p w14:paraId="68DF84A9">
      <w:pPr>
        <w:pStyle w:val="17"/>
        <w:spacing w:line="480" w:lineRule="exact"/>
        <w:ind w:left="480" w:leftChars="200" w:firstLine="480" w:firstLineChars="200"/>
        <w:rPr>
          <w:b w:val="0"/>
          <w:bCs w:val="0"/>
          <w:color w:val="auto"/>
          <w:highlight w:val="none"/>
        </w:rPr>
      </w:pPr>
      <w:r>
        <w:rPr>
          <w:rFonts w:hint="eastAsia"/>
          <w:b w:val="0"/>
          <w:bCs w:val="0"/>
          <w:color w:val="auto"/>
          <w:highlight w:val="none"/>
        </w:rPr>
        <w:t>（7）拍摄器材及拍摄手法采用高清4K拍摄、无人机航拍、延时拍摄及灯光设备和辅助器材等；</w:t>
      </w:r>
    </w:p>
    <w:p w14:paraId="15A238F4">
      <w:pPr>
        <w:pStyle w:val="17"/>
        <w:spacing w:line="480" w:lineRule="exact"/>
        <w:ind w:left="480" w:leftChars="200" w:firstLine="480" w:firstLineChars="200"/>
        <w:rPr>
          <w:b w:val="0"/>
          <w:bCs w:val="0"/>
          <w:color w:val="auto"/>
          <w:highlight w:val="none"/>
        </w:rPr>
      </w:pPr>
      <w:r>
        <w:rPr>
          <w:rFonts w:hint="eastAsia"/>
          <w:b w:val="0"/>
          <w:bCs w:val="0"/>
          <w:color w:val="auto"/>
          <w:highlight w:val="none"/>
        </w:rPr>
        <w:t>（8）后期制作采用高清非线性编辑系统，配合达芬奇调色、AE特效包装，动画辅助等；</w:t>
      </w:r>
    </w:p>
    <w:p w14:paraId="142105D0">
      <w:pPr>
        <w:pStyle w:val="17"/>
        <w:spacing w:line="480" w:lineRule="exact"/>
        <w:ind w:left="480" w:leftChars="200" w:firstLine="480" w:firstLineChars="200"/>
        <w:rPr>
          <w:b w:val="0"/>
          <w:bCs w:val="0"/>
          <w:color w:val="auto"/>
          <w:highlight w:val="none"/>
        </w:rPr>
      </w:pPr>
      <w:r>
        <w:rPr>
          <w:rFonts w:hint="eastAsia"/>
          <w:b w:val="0"/>
          <w:bCs w:val="0"/>
          <w:color w:val="auto"/>
          <w:highlight w:val="none"/>
        </w:rPr>
        <w:t>（9）成片格式：MP4、MOV或者AVI，可根据需求选择。</w:t>
      </w:r>
    </w:p>
    <w:p w14:paraId="15C0F78F">
      <w:pPr>
        <w:pStyle w:val="17"/>
        <w:spacing w:line="480" w:lineRule="exact"/>
        <w:ind w:left="480" w:leftChars="200" w:firstLine="480" w:firstLineChars="200"/>
        <w:rPr>
          <w:b w:val="0"/>
          <w:bCs w:val="0"/>
          <w:color w:val="auto"/>
          <w:highlight w:val="none"/>
        </w:rPr>
      </w:pPr>
      <w:r>
        <w:rPr>
          <w:rFonts w:hint="eastAsia"/>
          <w:b w:val="0"/>
          <w:bCs w:val="0"/>
          <w:color w:val="auto"/>
          <w:highlight w:val="none"/>
        </w:rPr>
        <w:t>（10）阶段成果验收：在甲方要求时间内完成该成果内容，并且获得甲方认可。</w:t>
      </w:r>
    </w:p>
    <w:p w14:paraId="70AAC6DA">
      <w:pPr>
        <w:spacing w:line="480" w:lineRule="exact"/>
        <w:ind w:left="480" w:leftChars="200"/>
        <w:rPr>
          <w:color w:val="auto"/>
          <w:highlight w:val="none"/>
        </w:rPr>
      </w:pPr>
      <w:r>
        <w:rPr>
          <w:rFonts w:hint="eastAsia"/>
          <w:color w:val="auto"/>
          <w:highlight w:val="none"/>
          <w:lang w:val="en-US" w:eastAsia="zh-CN"/>
        </w:rPr>
        <w:t>3</w:t>
      </w:r>
      <w:r>
        <w:rPr>
          <w:rFonts w:hint="eastAsia"/>
          <w:color w:val="auto"/>
          <w:highlight w:val="none"/>
        </w:rPr>
        <w:t>、“项目实施纪实”视频</w:t>
      </w:r>
    </w:p>
    <w:p w14:paraId="6D72440B">
      <w:pPr>
        <w:pStyle w:val="17"/>
        <w:spacing w:line="480" w:lineRule="exact"/>
        <w:ind w:left="480" w:leftChars="200" w:firstLine="480" w:firstLineChars="200"/>
        <w:rPr>
          <w:b w:val="0"/>
          <w:bCs w:val="0"/>
          <w:color w:val="auto"/>
          <w:highlight w:val="none"/>
        </w:rPr>
      </w:pPr>
      <w:r>
        <w:rPr>
          <w:rFonts w:hint="eastAsia"/>
          <w:b w:val="0"/>
          <w:bCs w:val="0"/>
          <w:color w:val="auto"/>
          <w:highlight w:val="none"/>
        </w:rPr>
        <w:t>（1）视频时长：10分钟；</w:t>
      </w:r>
    </w:p>
    <w:p w14:paraId="40039088">
      <w:pPr>
        <w:pStyle w:val="17"/>
        <w:spacing w:line="480" w:lineRule="exact"/>
        <w:ind w:left="480" w:leftChars="200" w:firstLine="480" w:firstLineChars="200"/>
        <w:rPr>
          <w:b w:val="0"/>
          <w:bCs w:val="0"/>
          <w:color w:val="auto"/>
          <w:highlight w:val="none"/>
        </w:rPr>
      </w:pPr>
      <w:r>
        <w:rPr>
          <w:rFonts w:hint="eastAsia"/>
          <w:b w:val="0"/>
          <w:bCs w:val="0"/>
          <w:color w:val="auto"/>
          <w:highlight w:val="none"/>
        </w:rPr>
        <w:t>（2）收集前期影像资料和后期拍摄资料，根据素材对内容进行分割，梳理框架分篇章，每个篇章拟定一句宣传语。</w:t>
      </w:r>
    </w:p>
    <w:p w14:paraId="462BF7B1">
      <w:pPr>
        <w:pStyle w:val="17"/>
        <w:spacing w:line="480" w:lineRule="exact"/>
        <w:ind w:left="480" w:leftChars="200" w:firstLine="480" w:firstLineChars="200"/>
        <w:rPr>
          <w:b w:val="0"/>
          <w:bCs w:val="0"/>
          <w:color w:val="auto"/>
          <w:highlight w:val="none"/>
        </w:rPr>
      </w:pPr>
      <w:r>
        <w:rPr>
          <w:rFonts w:hint="eastAsia"/>
          <w:b w:val="0"/>
          <w:bCs w:val="0"/>
          <w:color w:val="auto"/>
          <w:highlight w:val="none"/>
        </w:rPr>
        <w:t>（3）成片分辨率为1920*1080；</w:t>
      </w:r>
    </w:p>
    <w:p w14:paraId="1F94E3AA">
      <w:pPr>
        <w:pStyle w:val="17"/>
        <w:spacing w:line="480" w:lineRule="exact"/>
        <w:ind w:left="480" w:leftChars="200" w:firstLine="480" w:firstLineChars="200"/>
        <w:rPr>
          <w:b w:val="0"/>
          <w:bCs w:val="0"/>
          <w:color w:val="auto"/>
          <w:highlight w:val="none"/>
        </w:rPr>
      </w:pPr>
      <w:r>
        <w:rPr>
          <w:rFonts w:hint="eastAsia"/>
          <w:b w:val="0"/>
          <w:bCs w:val="0"/>
          <w:color w:val="auto"/>
          <w:highlight w:val="none"/>
        </w:rPr>
        <w:t>（4）音效：2.1立体声；</w:t>
      </w:r>
    </w:p>
    <w:p w14:paraId="2121D51E">
      <w:pPr>
        <w:pStyle w:val="17"/>
        <w:spacing w:line="480" w:lineRule="exact"/>
        <w:ind w:left="480" w:leftChars="200" w:firstLine="480" w:firstLineChars="200"/>
        <w:rPr>
          <w:b w:val="0"/>
          <w:bCs w:val="0"/>
          <w:color w:val="auto"/>
          <w:highlight w:val="none"/>
        </w:rPr>
      </w:pPr>
      <w:r>
        <w:rPr>
          <w:rFonts w:hint="eastAsia"/>
          <w:b w:val="0"/>
          <w:bCs w:val="0"/>
          <w:color w:val="auto"/>
          <w:highlight w:val="none"/>
        </w:rPr>
        <w:t>（5）成片格式：MP4、MOV或者AVI，可根据需求选择。</w:t>
      </w:r>
    </w:p>
    <w:p w14:paraId="3D85B093">
      <w:pPr>
        <w:pStyle w:val="17"/>
        <w:spacing w:line="480" w:lineRule="exact"/>
        <w:ind w:left="480" w:leftChars="200" w:firstLine="480" w:firstLineChars="200"/>
        <w:rPr>
          <w:b w:val="0"/>
          <w:bCs w:val="0"/>
          <w:color w:val="auto"/>
          <w:highlight w:val="none"/>
        </w:rPr>
      </w:pPr>
      <w:r>
        <w:rPr>
          <w:rFonts w:hint="eastAsia"/>
          <w:b w:val="0"/>
          <w:bCs w:val="0"/>
          <w:color w:val="auto"/>
          <w:highlight w:val="none"/>
        </w:rPr>
        <w:t>（6）阶段成果验收：在甲方要求时间内完成该成果内容，并且获得甲方认可。</w:t>
      </w:r>
    </w:p>
    <w:p w14:paraId="30B9A7D1">
      <w:pPr>
        <w:spacing w:line="480" w:lineRule="exact"/>
        <w:ind w:left="480" w:leftChars="200"/>
        <w:rPr>
          <w:color w:val="auto"/>
          <w:highlight w:val="none"/>
        </w:rPr>
      </w:pPr>
      <w:r>
        <w:rPr>
          <w:rFonts w:hint="eastAsia"/>
          <w:color w:val="auto"/>
          <w:highlight w:val="none"/>
          <w:lang w:val="en-US" w:eastAsia="zh-CN"/>
        </w:rPr>
        <w:t>4</w:t>
      </w:r>
      <w:r>
        <w:rPr>
          <w:rFonts w:hint="eastAsia"/>
          <w:color w:val="auto"/>
          <w:highlight w:val="none"/>
        </w:rPr>
        <w:t>、“项目效果及评价”视频</w:t>
      </w:r>
    </w:p>
    <w:p w14:paraId="2C12F5EA">
      <w:pPr>
        <w:pStyle w:val="17"/>
        <w:spacing w:line="480" w:lineRule="exact"/>
        <w:ind w:left="480" w:leftChars="200" w:firstLine="480" w:firstLineChars="200"/>
        <w:rPr>
          <w:b w:val="0"/>
          <w:bCs w:val="0"/>
          <w:color w:val="auto"/>
          <w:highlight w:val="none"/>
        </w:rPr>
      </w:pPr>
      <w:r>
        <w:rPr>
          <w:rFonts w:hint="eastAsia"/>
          <w:b w:val="0"/>
          <w:bCs w:val="0"/>
          <w:color w:val="auto"/>
          <w:highlight w:val="none"/>
        </w:rPr>
        <w:t>（1）视频时长：4分钟；</w:t>
      </w:r>
    </w:p>
    <w:p w14:paraId="3F578C6A">
      <w:pPr>
        <w:pStyle w:val="17"/>
        <w:spacing w:line="480" w:lineRule="exact"/>
        <w:ind w:left="480" w:leftChars="200" w:firstLine="480" w:firstLineChars="200"/>
        <w:rPr>
          <w:b w:val="0"/>
          <w:bCs w:val="0"/>
          <w:color w:val="auto"/>
          <w:highlight w:val="none"/>
        </w:rPr>
      </w:pPr>
      <w:r>
        <w:rPr>
          <w:rFonts w:hint="eastAsia"/>
          <w:b w:val="0"/>
          <w:bCs w:val="0"/>
          <w:color w:val="auto"/>
          <w:highlight w:val="none"/>
        </w:rPr>
        <w:t>（2）内容包括但不限于工程实施效果的展示、采访相关单位和周边市民，对项目所取得的效果进行评价。</w:t>
      </w:r>
    </w:p>
    <w:p w14:paraId="3793CE8B">
      <w:pPr>
        <w:pStyle w:val="17"/>
        <w:spacing w:line="480" w:lineRule="exact"/>
        <w:ind w:left="480" w:leftChars="200" w:firstLine="480" w:firstLineChars="200"/>
        <w:rPr>
          <w:b w:val="0"/>
          <w:bCs w:val="0"/>
          <w:color w:val="auto"/>
          <w:highlight w:val="none"/>
        </w:rPr>
      </w:pPr>
      <w:r>
        <w:rPr>
          <w:rFonts w:hint="eastAsia"/>
          <w:b w:val="0"/>
          <w:bCs w:val="0"/>
          <w:color w:val="auto"/>
          <w:highlight w:val="none"/>
        </w:rPr>
        <w:t>（3）拍摄素材分辨率为4K 4096*2160,成片分辨率为1920*1080；</w:t>
      </w:r>
    </w:p>
    <w:p w14:paraId="4EDBF71E">
      <w:pPr>
        <w:pStyle w:val="17"/>
        <w:spacing w:line="480" w:lineRule="exact"/>
        <w:ind w:left="480" w:leftChars="200" w:firstLine="480" w:firstLineChars="200"/>
        <w:rPr>
          <w:b w:val="0"/>
          <w:bCs w:val="0"/>
          <w:color w:val="auto"/>
          <w:highlight w:val="none"/>
        </w:rPr>
      </w:pPr>
      <w:r>
        <w:rPr>
          <w:rFonts w:hint="eastAsia"/>
          <w:b w:val="0"/>
          <w:bCs w:val="0"/>
          <w:color w:val="auto"/>
          <w:highlight w:val="none"/>
        </w:rPr>
        <w:t>（4）音效：2.1立体声；</w:t>
      </w:r>
    </w:p>
    <w:p w14:paraId="5AB0C524">
      <w:pPr>
        <w:pStyle w:val="17"/>
        <w:spacing w:line="480" w:lineRule="exact"/>
        <w:ind w:left="480" w:leftChars="200" w:firstLine="480" w:firstLineChars="200"/>
        <w:rPr>
          <w:b w:val="0"/>
          <w:bCs w:val="0"/>
          <w:color w:val="auto"/>
          <w:highlight w:val="none"/>
        </w:rPr>
      </w:pPr>
      <w:r>
        <w:rPr>
          <w:rFonts w:hint="eastAsia"/>
          <w:b w:val="0"/>
          <w:bCs w:val="0"/>
          <w:color w:val="auto"/>
          <w:highlight w:val="none"/>
        </w:rPr>
        <w:t>（5）版本：中文字幕；</w:t>
      </w:r>
    </w:p>
    <w:p w14:paraId="43E68432">
      <w:pPr>
        <w:pStyle w:val="17"/>
        <w:spacing w:line="480" w:lineRule="exact"/>
        <w:ind w:left="480" w:leftChars="200" w:firstLine="480" w:firstLineChars="200"/>
        <w:rPr>
          <w:b w:val="0"/>
          <w:bCs w:val="0"/>
          <w:color w:val="auto"/>
          <w:highlight w:val="none"/>
        </w:rPr>
      </w:pPr>
      <w:r>
        <w:rPr>
          <w:rFonts w:hint="eastAsia"/>
          <w:b w:val="0"/>
          <w:bCs w:val="0"/>
          <w:color w:val="auto"/>
          <w:highlight w:val="none"/>
        </w:rPr>
        <w:t>（6）拍摄器材及拍摄手法采用高清4K拍摄、延时拍摄及灯光设备和辅助器材等；</w:t>
      </w:r>
    </w:p>
    <w:p w14:paraId="48D2CB3B">
      <w:pPr>
        <w:pStyle w:val="17"/>
        <w:spacing w:line="480" w:lineRule="exact"/>
        <w:ind w:left="480" w:leftChars="200" w:firstLine="480" w:firstLineChars="200"/>
        <w:rPr>
          <w:b w:val="0"/>
          <w:bCs w:val="0"/>
          <w:color w:val="auto"/>
          <w:highlight w:val="none"/>
        </w:rPr>
      </w:pPr>
      <w:r>
        <w:rPr>
          <w:rFonts w:hint="eastAsia"/>
          <w:b w:val="0"/>
          <w:bCs w:val="0"/>
          <w:color w:val="auto"/>
          <w:highlight w:val="none"/>
        </w:rPr>
        <w:t>（7）成片格式：MP4、MOV或者AVI，可根据需求选择。</w:t>
      </w:r>
    </w:p>
    <w:p w14:paraId="44AB36FF">
      <w:pPr>
        <w:pStyle w:val="17"/>
        <w:spacing w:line="480" w:lineRule="exact"/>
        <w:ind w:left="480" w:leftChars="200" w:firstLine="480" w:firstLineChars="200"/>
        <w:rPr>
          <w:color w:val="auto"/>
          <w:highlight w:val="none"/>
        </w:rPr>
      </w:pPr>
      <w:r>
        <w:rPr>
          <w:rFonts w:hint="eastAsia"/>
          <w:b w:val="0"/>
          <w:bCs w:val="0"/>
          <w:color w:val="auto"/>
          <w:highlight w:val="none"/>
        </w:rPr>
        <w:t>（8）阶段成果验收：在甲方要求时间内完成该成果内容，并且获得甲方认可。</w:t>
      </w:r>
    </w:p>
    <w:p w14:paraId="202F4E31">
      <w:pPr>
        <w:spacing w:line="480" w:lineRule="exact"/>
        <w:ind w:left="480" w:leftChars="200"/>
        <w:rPr>
          <w:color w:val="auto"/>
          <w:highlight w:val="none"/>
        </w:rPr>
      </w:pPr>
      <w:r>
        <w:rPr>
          <w:rFonts w:hint="eastAsia"/>
          <w:color w:val="auto"/>
          <w:highlight w:val="none"/>
          <w:lang w:val="en-US" w:eastAsia="zh-CN"/>
        </w:rPr>
        <w:t>5</w:t>
      </w:r>
      <w:r>
        <w:rPr>
          <w:rFonts w:hint="eastAsia"/>
          <w:color w:val="auto"/>
          <w:highlight w:val="none"/>
        </w:rPr>
        <w:t>、项目宣传册</w:t>
      </w:r>
    </w:p>
    <w:p w14:paraId="3DFDF04A">
      <w:pPr>
        <w:pStyle w:val="17"/>
        <w:spacing w:line="480" w:lineRule="exact"/>
        <w:ind w:left="480" w:leftChars="200" w:firstLine="480" w:firstLineChars="200"/>
        <w:rPr>
          <w:b w:val="0"/>
          <w:bCs w:val="0"/>
          <w:color w:val="auto"/>
          <w:highlight w:val="none"/>
        </w:rPr>
      </w:pPr>
      <w:r>
        <w:rPr>
          <w:rFonts w:hint="eastAsia"/>
          <w:b w:val="0"/>
          <w:bCs w:val="0"/>
          <w:color w:val="auto"/>
          <w:highlight w:val="none"/>
        </w:rPr>
        <w:t>（1）将项目整理成宣传册，要求30页，尺寸210*285mm（大16k）；</w:t>
      </w:r>
    </w:p>
    <w:p w14:paraId="5D245281">
      <w:pPr>
        <w:pStyle w:val="17"/>
        <w:spacing w:line="480" w:lineRule="exact"/>
        <w:ind w:left="480" w:leftChars="200" w:firstLine="480" w:firstLineChars="200"/>
        <w:rPr>
          <w:b w:val="0"/>
          <w:bCs w:val="0"/>
          <w:color w:val="auto"/>
          <w:highlight w:val="none"/>
        </w:rPr>
      </w:pPr>
      <w:r>
        <w:rPr>
          <w:rFonts w:hint="eastAsia"/>
          <w:b w:val="0"/>
          <w:bCs w:val="0"/>
          <w:color w:val="auto"/>
          <w:highlight w:val="none"/>
        </w:rPr>
        <w:t>（2）印刷成册，册数400份；</w:t>
      </w:r>
    </w:p>
    <w:p w14:paraId="5470FD38">
      <w:pPr>
        <w:pStyle w:val="17"/>
        <w:spacing w:line="480" w:lineRule="exact"/>
        <w:ind w:left="480" w:leftChars="200" w:firstLine="480" w:firstLineChars="200"/>
        <w:rPr>
          <w:b w:val="0"/>
          <w:bCs w:val="0"/>
          <w:color w:val="auto"/>
          <w:highlight w:val="none"/>
        </w:rPr>
      </w:pPr>
      <w:r>
        <w:rPr>
          <w:rFonts w:hint="eastAsia"/>
          <w:b w:val="0"/>
          <w:bCs w:val="0"/>
          <w:color w:val="auto"/>
          <w:highlight w:val="none"/>
        </w:rPr>
        <w:t>（3）收集项目资料，进行框架策划、文字再编辑、标题润色、广告语点缀语等；</w:t>
      </w:r>
    </w:p>
    <w:p w14:paraId="2F955E27">
      <w:pPr>
        <w:pStyle w:val="17"/>
        <w:spacing w:line="480" w:lineRule="exact"/>
        <w:ind w:left="480" w:leftChars="200" w:firstLine="480" w:firstLineChars="200"/>
        <w:rPr>
          <w:b w:val="0"/>
          <w:bCs w:val="0"/>
          <w:color w:val="auto"/>
          <w:highlight w:val="none"/>
        </w:rPr>
      </w:pPr>
      <w:r>
        <w:rPr>
          <w:rFonts w:hint="eastAsia"/>
          <w:b w:val="0"/>
          <w:bCs w:val="0"/>
          <w:color w:val="auto"/>
          <w:highlight w:val="none"/>
        </w:rPr>
        <w:t>（4）对图片进行精修和特殊处理；</w:t>
      </w:r>
    </w:p>
    <w:p w14:paraId="45FA6ACD">
      <w:pPr>
        <w:pStyle w:val="17"/>
        <w:spacing w:line="480" w:lineRule="exact"/>
        <w:ind w:left="480" w:leftChars="200" w:firstLine="480" w:firstLineChars="200"/>
        <w:rPr>
          <w:color w:val="auto"/>
          <w:highlight w:val="none"/>
        </w:rPr>
      </w:pPr>
      <w:r>
        <w:rPr>
          <w:rFonts w:hint="eastAsia"/>
          <w:b w:val="0"/>
          <w:bCs w:val="0"/>
          <w:color w:val="auto"/>
          <w:highlight w:val="none"/>
        </w:rPr>
        <w:t>（5）阶段成果验收：在甲方要求时间内完成该成果内容，并且获得甲方认可。</w:t>
      </w:r>
    </w:p>
    <w:p w14:paraId="4C62948E">
      <w:pPr>
        <w:spacing w:line="480" w:lineRule="exact"/>
        <w:ind w:left="480" w:leftChars="200"/>
        <w:rPr>
          <w:color w:val="auto"/>
          <w:highlight w:val="none"/>
        </w:rPr>
      </w:pPr>
      <w:r>
        <w:rPr>
          <w:rFonts w:hint="eastAsia"/>
          <w:color w:val="auto"/>
          <w:highlight w:val="none"/>
          <w:lang w:val="en-US" w:eastAsia="zh-CN"/>
        </w:rPr>
        <w:t>6</w:t>
      </w:r>
      <w:r>
        <w:rPr>
          <w:rFonts w:hint="eastAsia"/>
          <w:color w:val="auto"/>
          <w:highlight w:val="none"/>
        </w:rPr>
        <w:t>、其他项目实施过程中可能需要的成果文件。</w:t>
      </w:r>
    </w:p>
    <w:p w14:paraId="4934CAA4">
      <w:pPr>
        <w:ind w:firstLine="482" w:firstLineChars="200"/>
        <w:rPr>
          <w:b/>
          <w:bCs/>
          <w:color w:val="auto"/>
          <w:szCs w:val="21"/>
          <w:highlight w:val="none"/>
        </w:rPr>
      </w:pPr>
      <w:r>
        <w:rPr>
          <w:rFonts w:hint="eastAsia"/>
          <w:b/>
          <w:bCs/>
          <w:color w:val="auto"/>
          <w:szCs w:val="21"/>
          <w:highlight w:val="none"/>
        </w:rPr>
        <w:t>第四条  咨询服务资料归属</w:t>
      </w:r>
    </w:p>
    <w:p w14:paraId="5BD40692">
      <w:pPr>
        <w:ind w:firstLine="480" w:firstLineChars="200"/>
        <w:rPr>
          <w:color w:val="auto"/>
          <w:highlight w:val="none"/>
        </w:rPr>
      </w:pPr>
      <w:r>
        <w:rPr>
          <w:color w:val="auto"/>
          <w:highlight w:val="none"/>
        </w:rPr>
        <w:t>1</w:t>
      </w:r>
      <w:r>
        <w:rPr>
          <w:rFonts w:hint="eastAsia"/>
          <w:color w:val="auto"/>
          <w:highlight w:val="none"/>
        </w:rPr>
        <w:t>、</w:t>
      </w:r>
      <w:r>
        <w:rPr>
          <w:color w:val="auto"/>
          <w:highlight w:val="none"/>
        </w:rPr>
        <w:t>所有提交给</w:t>
      </w:r>
      <w:r>
        <w:rPr>
          <w:rFonts w:hint="eastAsia"/>
          <w:color w:val="auto"/>
          <w:highlight w:val="none"/>
        </w:rPr>
        <w:t>甲</w:t>
      </w:r>
      <w:r>
        <w:rPr>
          <w:color w:val="auto"/>
          <w:highlight w:val="none"/>
        </w:rPr>
        <w:t>方的咨询服务</w:t>
      </w:r>
      <w:r>
        <w:rPr>
          <w:rFonts w:hint="eastAsia"/>
          <w:color w:val="auto"/>
          <w:highlight w:val="none"/>
        </w:rPr>
        <w:t>文件</w:t>
      </w:r>
      <w:r>
        <w:rPr>
          <w:color w:val="auto"/>
          <w:highlight w:val="none"/>
        </w:rPr>
        <w:t>及相关的资料的最后文本，包括</w:t>
      </w:r>
      <w:r>
        <w:rPr>
          <w:rFonts w:hint="eastAsia"/>
          <w:color w:val="auto"/>
          <w:highlight w:val="none"/>
        </w:rPr>
        <w:t>但不限于</w:t>
      </w:r>
      <w:r>
        <w:rPr>
          <w:color w:val="auto"/>
          <w:highlight w:val="none"/>
        </w:rPr>
        <w:t>为履行技术咨询服务范围所编制的计划</w:t>
      </w:r>
      <w:r>
        <w:rPr>
          <w:rFonts w:hint="eastAsia"/>
          <w:color w:val="auto"/>
          <w:highlight w:val="none"/>
        </w:rPr>
        <w:t>、方案</w:t>
      </w:r>
      <w:r>
        <w:rPr>
          <w:color w:val="auto"/>
          <w:highlight w:val="none"/>
        </w:rPr>
        <w:t>、</w:t>
      </w:r>
      <w:r>
        <w:rPr>
          <w:rFonts w:hint="eastAsia"/>
          <w:color w:val="auto"/>
          <w:highlight w:val="none"/>
        </w:rPr>
        <w:t>脚本、素材</w:t>
      </w:r>
      <w:r>
        <w:rPr>
          <w:color w:val="auto"/>
          <w:highlight w:val="none"/>
        </w:rPr>
        <w:t>和证明资料等，都属于</w:t>
      </w:r>
      <w:r>
        <w:rPr>
          <w:rFonts w:hint="eastAsia"/>
          <w:color w:val="auto"/>
          <w:highlight w:val="none"/>
        </w:rPr>
        <w:t>甲</w:t>
      </w:r>
      <w:r>
        <w:rPr>
          <w:color w:val="auto"/>
          <w:highlight w:val="none"/>
        </w:rPr>
        <w:t>方的财产，</w:t>
      </w:r>
      <w:r>
        <w:rPr>
          <w:rFonts w:hint="eastAsia"/>
          <w:color w:val="auto"/>
          <w:szCs w:val="21"/>
          <w:highlight w:val="none"/>
        </w:rPr>
        <w:t>乙</w:t>
      </w:r>
      <w:r>
        <w:rPr>
          <w:color w:val="auto"/>
          <w:highlight w:val="none"/>
        </w:rPr>
        <w:t>方在提交给</w:t>
      </w:r>
      <w:r>
        <w:rPr>
          <w:rFonts w:hint="eastAsia"/>
          <w:color w:val="auto"/>
          <w:highlight w:val="none"/>
        </w:rPr>
        <w:t>甲</w:t>
      </w:r>
      <w:r>
        <w:rPr>
          <w:color w:val="auto"/>
          <w:highlight w:val="none"/>
        </w:rPr>
        <w:t>方之前应将上述资料进行整理归类和编制索引</w:t>
      </w:r>
      <w:r>
        <w:rPr>
          <w:rFonts w:hint="eastAsia"/>
          <w:color w:val="auto"/>
          <w:highlight w:val="none"/>
        </w:rPr>
        <w:t>。</w:t>
      </w:r>
    </w:p>
    <w:p w14:paraId="3A815D35">
      <w:pPr>
        <w:ind w:firstLine="480" w:firstLineChars="200"/>
        <w:rPr>
          <w:color w:val="auto"/>
          <w:highlight w:val="none"/>
        </w:rPr>
      </w:pPr>
      <w:r>
        <w:rPr>
          <w:color w:val="auto"/>
          <w:highlight w:val="none"/>
        </w:rPr>
        <w:t>2</w:t>
      </w:r>
      <w:r>
        <w:rPr>
          <w:rFonts w:hint="eastAsia"/>
          <w:color w:val="auto"/>
          <w:highlight w:val="none"/>
        </w:rPr>
        <w:t>、</w:t>
      </w:r>
      <w:r>
        <w:rPr>
          <w:rFonts w:hint="eastAsia"/>
          <w:color w:val="auto"/>
          <w:szCs w:val="21"/>
          <w:highlight w:val="none"/>
        </w:rPr>
        <w:t>乙</w:t>
      </w:r>
      <w:r>
        <w:rPr>
          <w:color w:val="auto"/>
          <w:highlight w:val="none"/>
        </w:rPr>
        <w:t>方未经</w:t>
      </w:r>
      <w:r>
        <w:rPr>
          <w:rFonts w:hint="eastAsia"/>
          <w:color w:val="auto"/>
          <w:highlight w:val="none"/>
        </w:rPr>
        <w:t>甲</w:t>
      </w:r>
      <w:r>
        <w:rPr>
          <w:color w:val="auto"/>
          <w:highlight w:val="none"/>
        </w:rPr>
        <w:t>方的书面同意，不得将上述资料用于与本咨询服务项目之外的任何项目</w:t>
      </w:r>
      <w:r>
        <w:rPr>
          <w:rFonts w:hint="eastAsia"/>
          <w:color w:val="auto"/>
          <w:highlight w:val="none"/>
        </w:rPr>
        <w:t>。</w:t>
      </w:r>
    </w:p>
    <w:p w14:paraId="152C0A9C">
      <w:pPr>
        <w:ind w:firstLine="480" w:firstLineChars="200"/>
        <w:rPr>
          <w:color w:val="auto"/>
          <w:highlight w:val="none"/>
        </w:rPr>
      </w:pPr>
      <w:r>
        <w:rPr>
          <w:rFonts w:hint="eastAsia"/>
          <w:color w:val="auto"/>
          <w:highlight w:val="none"/>
        </w:rPr>
        <w:t>3、</w:t>
      </w:r>
      <w:r>
        <w:rPr>
          <w:color w:val="auto"/>
          <w:highlight w:val="none"/>
        </w:rPr>
        <w:t>合同履行</w:t>
      </w:r>
      <w:r>
        <w:rPr>
          <w:rFonts w:hint="eastAsia"/>
          <w:color w:val="auto"/>
          <w:highlight w:val="none"/>
        </w:rPr>
        <w:t>完毕，</w:t>
      </w:r>
      <w:r>
        <w:rPr>
          <w:color w:val="auto"/>
          <w:highlight w:val="none"/>
        </w:rPr>
        <w:t>未经</w:t>
      </w:r>
      <w:r>
        <w:rPr>
          <w:rFonts w:hint="eastAsia"/>
          <w:color w:val="auto"/>
          <w:highlight w:val="none"/>
        </w:rPr>
        <w:t>甲</w:t>
      </w:r>
      <w:r>
        <w:rPr>
          <w:color w:val="auto"/>
          <w:highlight w:val="none"/>
        </w:rPr>
        <w:t>方的书面同意</w:t>
      </w:r>
      <w:r>
        <w:rPr>
          <w:rFonts w:hint="eastAsia"/>
          <w:color w:val="auto"/>
          <w:highlight w:val="none"/>
        </w:rPr>
        <w:t>，</w:t>
      </w:r>
      <w:r>
        <w:rPr>
          <w:rFonts w:hint="eastAsia"/>
          <w:color w:val="auto"/>
          <w:szCs w:val="21"/>
          <w:highlight w:val="none"/>
        </w:rPr>
        <w:t>乙</w:t>
      </w:r>
      <w:r>
        <w:rPr>
          <w:color w:val="auto"/>
          <w:highlight w:val="none"/>
        </w:rPr>
        <w:t>方</w:t>
      </w:r>
      <w:r>
        <w:rPr>
          <w:rFonts w:hint="eastAsia"/>
          <w:color w:val="auto"/>
          <w:highlight w:val="none"/>
        </w:rPr>
        <w:t>不得保存在</w:t>
      </w:r>
      <w:r>
        <w:rPr>
          <w:color w:val="auto"/>
          <w:highlight w:val="none"/>
        </w:rPr>
        <w:t>履行合同过程中所获得或接触到的任何</w:t>
      </w:r>
      <w:r>
        <w:rPr>
          <w:rFonts w:hint="eastAsia"/>
          <w:color w:val="auto"/>
          <w:szCs w:val="21"/>
          <w:highlight w:val="none"/>
        </w:rPr>
        <w:t>内部数据资料。</w:t>
      </w:r>
    </w:p>
    <w:p w14:paraId="321CCA9F">
      <w:pPr>
        <w:ind w:firstLine="482" w:firstLineChars="200"/>
        <w:rPr>
          <w:b/>
          <w:bCs/>
          <w:color w:val="auto"/>
          <w:szCs w:val="21"/>
          <w:highlight w:val="none"/>
        </w:rPr>
      </w:pPr>
      <w:r>
        <w:rPr>
          <w:rFonts w:hint="eastAsia"/>
          <w:b/>
          <w:bCs/>
          <w:color w:val="auto"/>
          <w:szCs w:val="21"/>
          <w:highlight w:val="none"/>
        </w:rPr>
        <w:t>第五条  甲方的义务</w:t>
      </w:r>
    </w:p>
    <w:p w14:paraId="328D6C76">
      <w:pPr>
        <w:ind w:firstLine="480" w:firstLineChars="200"/>
        <w:rPr>
          <w:color w:val="auto"/>
          <w:szCs w:val="21"/>
          <w:highlight w:val="none"/>
        </w:rPr>
      </w:pPr>
      <w:r>
        <w:rPr>
          <w:rFonts w:hint="eastAsia"/>
          <w:color w:val="auto"/>
          <w:szCs w:val="21"/>
          <w:highlight w:val="none"/>
        </w:rPr>
        <w:t>1、负责与本咨询服务项目有关的第三方的协调，提供开展咨询服务工作的外部条件。</w:t>
      </w:r>
    </w:p>
    <w:p w14:paraId="363203C1">
      <w:pPr>
        <w:ind w:firstLine="480" w:firstLineChars="200"/>
        <w:rPr>
          <w:color w:val="auto"/>
          <w:szCs w:val="21"/>
          <w:highlight w:val="none"/>
        </w:rPr>
      </w:pPr>
      <w:r>
        <w:rPr>
          <w:rFonts w:hint="eastAsia"/>
          <w:color w:val="auto"/>
          <w:szCs w:val="21"/>
          <w:highlight w:val="none"/>
        </w:rPr>
        <w:t>2、向乙方提供与本项目咨询服务工作有关的资料。</w:t>
      </w:r>
    </w:p>
    <w:p w14:paraId="0B2B3780">
      <w:pPr>
        <w:ind w:firstLine="480" w:firstLineChars="200"/>
        <w:rPr>
          <w:color w:val="auto"/>
          <w:szCs w:val="21"/>
          <w:highlight w:val="none"/>
        </w:rPr>
      </w:pPr>
      <w:r>
        <w:rPr>
          <w:rFonts w:hint="eastAsia"/>
          <w:color w:val="auto"/>
          <w:szCs w:val="21"/>
          <w:highlight w:val="none"/>
        </w:rPr>
        <w:t>3、负责组织有关人员对项目成果、内容的评审。</w:t>
      </w:r>
    </w:p>
    <w:p w14:paraId="0A801267">
      <w:pPr>
        <w:ind w:firstLine="482" w:firstLineChars="200"/>
        <w:rPr>
          <w:b/>
          <w:bCs/>
          <w:color w:val="auto"/>
          <w:szCs w:val="21"/>
          <w:highlight w:val="none"/>
        </w:rPr>
      </w:pPr>
      <w:r>
        <w:rPr>
          <w:rFonts w:hint="eastAsia"/>
          <w:b/>
          <w:bCs/>
          <w:color w:val="auto"/>
          <w:szCs w:val="21"/>
          <w:highlight w:val="none"/>
        </w:rPr>
        <w:t>第七条　乙方的义务</w:t>
      </w:r>
    </w:p>
    <w:p w14:paraId="52FE75FA">
      <w:pPr>
        <w:ind w:firstLine="480" w:firstLineChars="200"/>
        <w:rPr>
          <w:color w:val="auto"/>
          <w:szCs w:val="21"/>
          <w:highlight w:val="none"/>
        </w:rPr>
      </w:pPr>
      <w:r>
        <w:rPr>
          <w:rFonts w:hint="eastAsia"/>
          <w:color w:val="auto"/>
          <w:szCs w:val="21"/>
          <w:highlight w:val="none"/>
        </w:rPr>
        <w:t>１、应按照招标文件、乙方投标文件要求按期完成本项目咨询服务工作。</w:t>
      </w:r>
    </w:p>
    <w:p w14:paraId="436435F8">
      <w:pPr>
        <w:ind w:firstLine="480" w:firstLineChars="200"/>
        <w:rPr>
          <w:color w:val="auto"/>
          <w:szCs w:val="21"/>
          <w:highlight w:val="none"/>
        </w:rPr>
      </w:pPr>
      <w:r>
        <w:rPr>
          <w:rFonts w:hint="eastAsia"/>
          <w:color w:val="auto"/>
          <w:szCs w:val="21"/>
          <w:highlight w:val="none"/>
        </w:rPr>
        <w:t>2、负责组织项目的实施，保证项目进度和成果文件工作质量，并满足甲方相关要求内容。</w:t>
      </w:r>
    </w:p>
    <w:p w14:paraId="3BD009BA">
      <w:pPr>
        <w:ind w:firstLine="480" w:firstLineChars="200"/>
        <w:rPr>
          <w:color w:val="auto"/>
          <w:szCs w:val="21"/>
          <w:highlight w:val="none"/>
        </w:rPr>
      </w:pPr>
      <w:r>
        <w:rPr>
          <w:rFonts w:hint="eastAsia"/>
          <w:color w:val="auto"/>
          <w:szCs w:val="21"/>
          <w:highlight w:val="none"/>
        </w:rPr>
        <w:t>3、</w:t>
      </w:r>
      <w:r>
        <w:rPr>
          <w:rFonts w:hint="eastAsia"/>
          <w:color w:val="auto"/>
          <w:highlight w:val="none"/>
        </w:rPr>
        <w:t>向甲方提交</w:t>
      </w:r>
      <w:r>
        <w:rPr>
          <w:rFonts w:hint="eastAsia"/>
          <w:color w:val="auto"/>
          <w:highlight w:val="none"/>
          <w:lang w:eastAsia="zh-CN"/>
        </w:rPr>
        <w:t>符合</w:t>
      </w:r>
      <w:r>
        <w:rPr>
          <w:rFonts w:hint="eastAsia"/>
          <w:color w:val="auto"/>
          <w:highlight w:val="none"/>
        </w:rPr>
        <w:t>要求的成果文件，并将阶段文件、素材存档并交付给甲方。</w:t>
      </w:r>
    </w:p>
    <w:p w14:paraId="64F28825">
      <w:pPr>
        <w:ind w:firstLine="480" w:firstLineChars="200"/>
        <w:rPr>
          <w:color w:val="auto"/>
          <w:szCs w:val="21"/>
          <w:highlight w:val="none"/>
        </w:rPr>
      </w:pPr>
      <w:r>
        <w:rPr>
          <w:rFonts w:hint="eastAsia"/>
          <w:color w:val="auto"/>
          <w:szCs w:val="21"/>
          <w:highlight w:val="none"/>
        </w:rPr>
        <w:t>4、在履行合同期间或合同规定期限内，不得泄露与本合同规定业务活动有关的保密资料。</w:t>
      </w:r>
    </w:p>
    <w:p w14:paraId="2B7D9810">
      <w:pPr>
        <w:ind w:firstLine="482" w:firstLineChars="200"/>
        <w:rPr>
          <w:b/>
          <w:bCs/>
          <w:color w:val="auto"/>
          <w:szCs w:val="21"/>
          <w:highlight w:val="none"/>
        </w:rPr>
      </w:pPr>
      <w:r>
        <w:rPr>
          <w:rFonts w:hint="eastAsia"/>
          <w:b/>
          <w:bCs/>
          <w:color w:val="auto"/>
          <w:szCs w:val="21"/>
          <w:highlight w:val="none"/>
        </w:rPr>
        <w:t>第八条  甲方的权利</w:t>
      </w:r>
    </w:p>
    <w:p w14:paraId="68486B5C">
      <w:pPr>
        <w:ind w:firstLine="480" w:firstLineChars="200"/>
        <w:rPr>
          <w:color w:val="auto"/>
          <w:szCs w:val="21"/>
          <w:highlight w:val="none"/>
        </w:rPr>
      </w:pPr>
      <w:r>
        <w:rPr>
          <w:color w:val="auto"/>
          <w:szCs w:val="21"/>
          <w:highlight w:val="none"/>
        </w:rPr>
        <w:t>1</w:t>
      </w:r>
      <w:r>
        <w:rPr>
          <w:rFonts w:hint="eastAsia"/>
          <w:color w:val="auto"/>
          <w:szCs w:val="21"/>
          <w:highlight w:val="none"/>
        </w:rPr>
        <w:t>、有权向乙方询问工作进展情况及相关的内容。</w:t>
      </w:r>
    </w:p>
    <w:p w14:paraId="6DD6BB57">
      <w:pPr>
        <w:ind w:firstLine="480" w:firstLineChars="200"/>
        <w:rPr>
          <w:color w:val="auto"/>
          <w:szCs w:val="21"/>
          <w:highlight w:val="none"/>
        </w:rPr>
      </w:pPr>
      <w:r>
        <w:rPr>
          <w:color w:val="auto"/>
          <w:szCs w:val="21"/>
          <w:highlight w:val="none"/>
        </w:rPr>
        <w:t>2</w:t>
      </w:r>
      <w:r>
        <w:rPr>
          <w:rFonts w:hint="eastAsia"/>
          <w:color w:val="auto"/>
          <w:szCs w:val="21"/>
          <w:highlight w:val="none"/>
        </w:rPr>
        <w:t>、有权阐述对具体问题的意见和建议。</w:t>
      </w:r>
    </w:p>
    <w:p w14:paraId="75236829">
      <w:pPr>
        <w:ind w:firstLine="480" w:firstLineChars="200"/>
        <w:rPr>
          <w:rFonts w:hint="eastAsia"/>
          <w:color w:val="auto"/>
          <w:szCs w:val="21"/>
          <w:highlight w:val="none"/>
        </w:rPr>
      </w:pPr>
      <w:r>
        <w:rPr>
          <w:color w:val="auto"/>
          <w:szCs w:val="21"/>
          <w:highlight w:val="none"/>
        </w:rPr>
        <w:t>3</w:t>
      </w:r>
      <w:r>
        <w:rPr>
          <w:rFonts w:hint="eastAsia"/>
          <w:color w:val="auto"/>
          <w:szCs w:val="21"/>
          <w:highlight w:val="none"/>
        </w:rPr>
        <w:t>、当甲方认定乙方人员不按合同履行其职责，或与第三人串通给甲方造成经济损失的，甲方有权要求更换人员，直至终止合同并要求乙方承担相应的赔偿责任。</w:t>
      </w:r>
    </w:p>
    <w:p w14:paraId="6289D2D1">
      <w:pPr>
        <w:pStyle w:val="2"/>
        <w:rPr>
          <w:color w:val="auto"/>
          <w:highlight w:val="none"/>
        </w:rPr>
      </w:pPr>
      <w:r>
        <w:rPr>
          <w:rFonts w:hint="eastAsia"/>
          <w:color w:val="auto"/>
          <w:szCs w:val="21"/>
          <w:highlight w:val="none"/>
          <w:lang w:val="en-US" w:eastAsia="zh-CN"/>
        </w:rPr>
        <w:t>4、</w:t>
      </w:r>
      <w:r>
        <w:rPr>
          <w:rFonts w:hint="eastAsia" w:ascii="宋体" w:hAnsi="宋体"/>
          <w:bCs/>
          <w:color w:val="auto"/>
          <w:sz w:val="24"/>
          <w:szCs w:val="24"/>
          <w:highlight w:val="none"/>
        </w:rPr>
        <w:t>甲方有权对乙方服务进行监督，对服务成果提出修改、调整的建议和要求，乙方应积极主动给予配合，并在双方约定时间内完成调整。</w:t>
      </w:r>
    </w:p>
    <w:p w14:paraId="295D6D15">
      <w:pPr>
        <w:ind w:firstLine="482" w:firstLineChars="200"/>
        <w:rPr>
          <w:b/>
          <w:bCs/>
          <w:color w:val="auto"/>
          <w:szCs w:val="21"/>
          <w:highlight w:val="none"/>
        </w:rPr>
      </w:pPr>
      <w:r>
        <w:rPr>
          <w:rFonts w:hint="eastAsia"/>
          <w:b/>
          <w:bCs/>
          <w:color w:val="auto"/>
          <w:szCs w:val="21"/>
          <w:highlight w:val="none"/>
        </w:rPr>
        <w:t>第九条  乙方的权利</w:t>
      </w:r>
    </w:p>
    <w:p w14:paraId="28832581">
      <w:pPr>
        <w:ind w:firstLine="480" w:firstLineChars="200"/>
        <w:rPr>
          <w:rFonts w:hint="eastAsia"/>
          <w:bCs/>
          <w:color w:val="auto"/>
          <w:szCs w:val="24"/>
          <w:highlight w:val="none"/>
        </w:rPr>
      </w:pPr>
      <w:r>
        <w:rPr>
          <w:color w:val="auto"/>
          <w:szCs w:val="21"/>
          <w:highlight w:val="none"/>
        </w:rPr>
        <w:t>1</w:t>
      </w:r>
      <w:r>
        <w:rPr>
          <w:rFonts w:hint="eastAsia"/>
          <w:color w:val="auto"/>
          <w:szCs w:val="21"/>
          <w:highlight w:val="none"/>
        </w:rPr>
        <w:t>、乙方在本项目服务过程中</w:t>
      </w:r>
      <w:r>
        <w:rPr>
          <w:rFonts w:hint="eastAsia"/>
          <w:bCs/>
          <w:color w:val="auto"/>
          <w:szCs w:val="24"/>
          <w:highlight w:val="none"/>
        </w:rPr>
        <w:t>，如甲方提供的资料不明确时可向甲方提出书面报告。</w:t>
      </w:r>
    </w:p>
    <w:p w14:paraId="17A5A554">
      <w:pPr>
        <w:ind w:firstLine="480" w:firstLineChars="200"/>
        <w:rPr>
          <w:color w:val="auto"/>
          <w:szCs w:val="21"/>
          <w:highlight w:val="none"/>
        </w:rPr>
      </w:pPr>
      <w:r>
        <w:rPr>
          <w:rFonts w:hint="eastAsia"/>
          <w:bCs/>
          <w:color w:val="auto"/>
          <w:szCs w:val="24"/>
          <w:highlight w:val="none"/>
        </w:rPr>
        <w:t>2、乙方在本项目服务过程中，有权对第三方</w:t>
      </w:r>
      <w:r>
        <w:rPr>
          <w:rFonts w:hint="eastAsia"/>
          <w:color w:val="auto"/>
          <w:szCs w:val="21"/>
          <w:highlight w:val="none"/>
        </w:rPr>
        <w:t>提出与本咨询服务业务有关的问题进行核对或查问。</w:t>
      </w:r>
    </w:p>
    <w:p w14:paraId="52931876">
      <w:pPr>
        <w:ind w:firstLine="480" w:firstLineChars="200"/>
        <w:rPr>
          <w:rFonts w:hint="eastAsia"/>
          <w:color w:val="auto"/>
          <w:szCs w:val="21"/>
          <w:highlight w:val="none"/>
        </w:rPr>
      </w:pPr>
      <w:r>
        <w:rPr>
          <w:color w:val="auto"/>
          <w:szCs w:val="21"/>
          <w:highlight w:val="none"/>
        </w:rPr>
        <w:t>3</w:t>
      </w:r>
      <w:r>
        <w:rPr>
          <w:rFonts w:hint="eastAsia"/>
          <w:color w:val="auto"/>
          <w:szCs w:val="21"/>
          <w:highlight w:val="none"/>
        </w:rPr>
        <w:t>、乙方在本项目服务过程中，有到工程现场勘察的权利。</w:t>
      </w:r>
    </w:p>
    <w:p w14:paraId="33900D11">
      <w:pPr>
        <w:ind w:firstLine="482" w:firstLineChars="200"/>
        <w:rPr>
          <w:b/>
          <w:bCs/>
          <w:color w:val="auto"/>
          <w:szCs w:val="21"/>
          <w:highlight w:val="none"/>
        </w:rPr>
      </w:pPr>
      <w:r>
        <w:rPr>
          <w:rFonts w:hint="eastAsia"/>
          <w:b/>
          <w:bCs/>
          <w:color w:val="auto"/>
          <w:szCs w:val="21"/>
          <w:highlight w:val="none"/>
        </w:rPr>
        <w:t>第十条  甲方的责任</w:t>
      </w:r>
    </w:p>
    <w:p w14:paraId="7171C14A">
      <w:pPr>
        <w:ind w:firstLine="480" w:firstLineChars="200"/>
        <w:rPr>
          <w:color w:val="auto"/>
          <w:szCs w:val="21"/>
          <w:highlight w:val="none"/>
        </w:rPr>
      </w:pPr>
      <w:r>
        <w:rPr>
          <w:rFonts w:hint="eastAsia"/>
          <w:color w:val="auto"/>
          <w:szCs w:val="21"/>
          <w:highlight w:val="none"/>
        </w:rPr>
        <w:t>1、应当履行本合同约定的义务，如有违反则应当承担违约责任，赔偿给乙方造成的损失。</w:t>
      </w:r>
    </w:p>
    <w:p w14:paraId="1A9DA22E">
      <w:pPr>
        <w:ind w:firstLine="480" w:firstLineChars="200"/>
        <w:rPr>
          <w:color w:val="auto"/>
          <w:szCs w:val="21"/>
          <w:highlight w:val="none"/>
        </w:rPr>
      </w:pPr>
      <w:r>
        <w:rPr>
          <w:rFonts w:hint="eastAsia"/>
          <w:color w:val="auto"/>
          <w:szCs w:val="21"/>
          <w:highlight w:val="none"/>
        </w:rPr>
        <w:t>2、甲方向乙方提出赔偿要求不能成立时，则应补偿由于该赔偿或其他要求所导致乙方的各种费用的支出。</w:t>
      </w:r>
    </w:p>
    <w:p w14:paraId="0A6B88EE">
      <w:pPr>
        <w:ind w:firstLine="482" w:firstLineChars="200"/>
        <w:rPr>
          <w:b/>
          <w:bCs/>
          <w:color w:val="auto"/>
          <w:szCs w:val="21"/>
          <w:highlight w:val="none"/>
        </w:rPr>
      </w:pPr>
      <w:r>
        <w:rPr>
          <w:rFonts w:hint="eastAsia"/>
          <w:b/>
          <w:bCs/>
          <w:color w:val="auto"/>
          <w:szCs w:val="21"/>
          <w:highlight w:val="none"/>
        </w:rPr>
        <w:t>第十一条  乙方的责任</w:t>
      </w:r>
    </w:p>
    <w:p w14:paraId="4BC4D27F">
      <w:pPr>
        <w:ind w:firstLine="480" w:firstLineChars="200"/>
        <w:rPr>
          <w:color w:val="auto"/>
          <w:szCs w:val="21"/>
          <w:highlight w:val="none"/>
        </w:rPr>
      </w:pPr>
      <w:r>
        <w:rPr>
          <w:rFonts w:hint="eastAsia"/>
          <w:color w:val="auto"/>
          <w:szCs w:val="21"/>
          <w:highlight w:val="none"/>
        </w:rPr>
        <w:t>1、乙方的责任期即本合同有效期。如因非乙方的责任造成进度的推迟或延误而超过约定的日期，双方应进一步约定相应延长合同有效期。</w:t>
      </w:r>
    </w:p>
    <w:p w14:paraId="604E7FE8">
      <w:pPr>
        <w:ind w:firstLine="480" w:firstLineChars="200"/>
        <w:rPr>
          <w:color w:val="auto"/>
          <w:szCs w:val="21"/>
          <w:highlight w:val="none"/>
        </w:rPr>
      </w:pPr>
      <w:r>
        <w:rPr>
          <w:rFonts w:hint="eastAsia"/>
          <w:color w:val="auto"/>
          <w:szCs w:val="21"/>
          <w:highlight w:val="none"/>
        </w:rPr>
        <w:t>2、乙方的责任期内，应当履行本合同中约定的义务，因乙方的单方过失造成的经济损失，应当向甲方进行赔偿。</w:t>
      </w:r>
    </w:p>
    <w:p w14:paraId="7A64C68F">
      <w:pPr>
        <w:ind w:firstLine="480" w:firstLineChars="200"/>
        <w:rPr>
          <w:color w:val="auto"/>
          <w:szCs w:val="21"/>
          <w:highlight w:val="none"/>
        </w:rPr>
      </w:pPr>
      <w:r>
        <w:rPr>
          <w:rFonts w:hint="eastAsia"/>
          <w:color w:val="auto"/>
          <w:szCs w:val="21"/>
          <w:highlight w:val="none"/>
        </w:rPr>
        <w:t>3、乙方对甲方或第三方所提出的问题不能及时核对或答复，导致合同不能全部或部分履行，乙方应承担责任。</w:t>
      </w:r>
    </w:p>
    <w:p w14:paraId="24AA3549">
      <w:pPr>
        <w:ind w:firstLine="480" w:firstLineChars="200"/>
        <w:rPr>
          <w:color w:val="auto"/>
          <w:szCs w:val="21"/>
          <w:highlight w:val="none"/>
        </w:rPr>
      </w:pPr>
      <w:r>
        <w:rPr>
          <w:rFonts w:hint="eastAsia"/>
          <w:color w:val="auto"/>
          <w:szCs w:val="21"/>
          <w:highlight w:val="none"/>
        </w:rPr>
        <w:t>4、乙方向甲方提出赔偿要求不能成立时，则应补偿由于该赔偿或其他要求所导致甲方的各种费用的支出。</w:t>
      </w:r>
    </w:p>
    <w:p w14:paraId="152D91B1">
      <w:pPr>
        <w:ind w:firstLine="482" w:firstLineChars="200"/>
        <w:rPr>
          <w:b/>
          <w:bCs/>
          <w:color w:val="auto"/>
          <w:szCs w:val="21"/>
          <w:highlight w:val="none"/>
        </w:rPr>
      </w:pPr>
      <w:r>
        <w:rPr>
          <w:rFonts w:hint="eastAsia"/>
          <w:b/>
          <w:bCs/>
          <w:color w:val="auto"/>
          <w:szCs w:val="21"/>
          <w:highlight w:val="none"/>
        </w:rPr>
        <w:t>第十二条  人员要求</w:t>
      </w:r>
    </w:p>
    <w:p w14:paraId="750CF2CE">
      <w:pPr>
        <w:ind w:firstLine="480" w:firstLineChars="200"/>
        <w:rPr>
          <w:color w:val="auto"/>
          <w:szCs w:val="21"/>
          <w:highlight w:val="none"/>
        </w:rPr>
      </w:pPr>
      <w:r>
        <w:rPr>
          <w:rFonts w:hint="eastAsia"/>
          <w:color w:val="auto"/>
          <w:szCs w:val="21"/>
          <w:highlight w:val="none"/>
        </w:rPr>
        <w:t>1、参加本项目实施的人员必须具有国家和有关部门规定的相应资质。</w:t>
      </w:r>
    </w:p>
    <w:p w14:paraId="5CBCE9C8">
      <w:pPr>
        <w:ind w:firstLine="480" w:firstLineChars="200"/>
        <w:rPr>
          <w:color w:val="auto"/>
          <w:szCs w:val="21"/>
          <w:highlight w:val="none"/>
        </w:rPr>
      </w:pPr>
      <w:r>
        <w:rPr>
          <w:rFonts w:hint="eastAsia"/>
          <w:color w:val="auto"/>
          <w:szCs w:val="21"/>
          <w:highlight w:val="none"/>
        </w:rPr>
        <w:t>2、 参加本项目的实施人员的配置必须与投标文件中的服务承诺书和实施服务组织实施方案一致。</w:t>
      </w:r>
    </w:p>
    <w:p w14:paraId="5CE7E9E8">
      <w:pPr>
        <w:ind w:firstLine="480" w:firstLineChars="200"/>
        <w:rPr>
          <w:color w:val="auto"/>
          <w:szCs w:val="21"/>
          <w:highlight w:val="none"/>
        </w:rPr>
      </w:pPr>
      <w:r>
        <w:rPr>
          <w:rFonts w:hint="eastAsia"/>
          <w:color w:val="auto"/>
          <w:szCs w:val="21"/>
          <w:highlight w:val="none"/>
        </w:rPr>
        <w:t>3、必须以直属实施人员参与本项目服务，不得使用挂靠队伍。</w:t>
      </w:r>
    </w:p>
    <w:p w14:paraId="4096680A">
      <w:pPr>
        <w:ind w:firstLine="482" w:firstLineChars="200"/>
        <w:rPr>
          <w:b/>
          <w:bCs/>
          <w:color w:val="auto"/>
          <w:szCs w:val="21"/>
          <w:highlight w:val="none"/>
        </w:rPr>
      </w:pPr>
      <w:r>
        <w:rPr>
          <w:rFonts w:hint="eastAsia"/>
          <w:b/>
          <w:bCs/>
          <w:color w:val="auto"/>
          <w:szCs w:val="21"/>
          <w:highlight w:val="none"/>
        </w:rPr>
        <w:t>第十三条  乙方咨询服务工具要求</w:t>
      </w:r>
    </w:p>
    <w:p w14:paraId="290E662E">
      <w:pPr>
        <w:ind w:firstLine="480" w:firstLineChars="200"/>
        <w:rPr>
          <w:color w:val="auto"/>
          <w:szCs w:val="21"/>
          <w:highlight w:val="none"/>
        </w:rPr>
      </w:pPr>
      <w:r>
        <w:rPr>
          <w:rFonts w:hint="eastAsia"/>
          <w:color w:val="auto"/>
          <w:szCs w:val="21"/>
          <w:highlight w:val="none"/>
        </w:rPr>
        <w:t>1、乙方应配备中标项目所需的足够数量的仪器工具等设备。用户不需向乙方提供施工工具和仪器、仪表。</w:t>
      </w:r>
    </w:p>
    <w:p w14:paraId="40B7A334">
      <w:pPr>
        <w:ind w:firstLine="480" w:firstLineChars="200"/>
        <w:rPr>
          <w:color w:val="auto"/>
          <w:szCs w:val="21"/>
          <w:highlight w:val="none"/>
        </w:rPr>
      </w:pPr>
      <w:r>
        <w:rPr>
          <w:rFonts w:hint="eastAsia"/>
          <w:color w:val="auto"/>
          <w:szCs w:val="21"/>
          <w:highlight w:val="none"/>
        </w:rPr>
        <w:t>2、乙方在提供服务过程中应自备车辆。</w:t>
      </w:r>
    </w:p>
    <w:p w14:paraId="4D30C4B8">
      <w:pPr>
        <w:ind w:firstLine="482" w:firstLineChars="200"/>
        <w:rPr>
          <w:b/>
          <w:bCs/>
          <w:color w:val="auto"/>
          <w:szCs w:val="21"/>
          <w:highlight w:val="none"/>
        </w:rPr>
      </w:pPr>
      <w:r>
        <w:rPr>
          <w:rFonts w:hint="eastAsia"/>
          <w:b/>
          <w:bCs/>
          <w:color w:val="auto"/>
          <w:szCs w:val="21"/>
          <w:highlight w:val="none"/>
        </w:rPr>
        <w:t>第十四条  保密要求</w:t>
      </w:r>
    </w:p>
    <w:p w14:paraId="5AF20836">
      <w:pPr>
        <w:ind w:firstLine="480" w:firstLineChars="200"/>
        <w:rPr>
          <w:color w:val="auto"/>
          <w:szCs w:val="21"/>
          <w:highlight w:val="none"/>
        </w:rPr>
      </w:pPr>
      <w:r>
        <w:rPr>
          <w:rFonts w:hint="eastAsia"/>
          <w:color w:val="auto"/>
          <w:szCs w:val="21"/>
          <w:highlight w:val="none"/>
        </w:rPr>
        <w:t>1、</w:t>
      </w:r>
      <w:r>
        <w:rPr>
          <w:color w:val="auto"/>
          <w:szCs w:val="21"/>
          <w:highlight w:val="none"/>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1766F447">
      <w:pPr>
        <w:ind w:firstLine="480" w:firstLineChars="200"/>
        <w:rPr>
          <w:color w:val="auto"/>
          <w:szCs w:val="21"/>
          <w:highlight w:val="none"/>
        </w:rPr>
      </w:pPr>
      <w:r>
        <w:rPr>
          <w:rFonts w:hint="eastAsia"/>
          <w:color w:val="auto"/>
          <w:szCs w:val="21"/>
          <w:highlight w:val="none"/>
        </w:rPr>
        <w:t>2、</w:t>
      </w:r>
      <w:r>
        <w:rPr>
          <w:color w:val="auto"/>
          <w:szCs w:val="21"/>
          <w:highlight w:val="none"/>
        </w:rPr>
        <w:t>乙方在履行合同过程中所获得或接触到的任何</w:t>
      </w:r>
      <w:r>
        <w:rPr>
          <w:rFonts w:hint="eastAsia"/>
          <w:color w:val="auto"/>
          <w:szCs w:val="21"/>
          <w:highlight w:val="none"/>
        </w:rPr>
        <w:t>内部数据资料，未经甲方同意，不得向第三方透露。</w:t>
      </w:r>
    </w:p>
    <w:p w14:paraId="3C4D57DE">
      <w:pPr>
        <w:ind w:firstLine="480" w:firstLineChars="200"/>
        <w:rPr>
          <w:color w:val="auto"/>
          <w:szCs w:val="21"/>
          <w:highlight w:val="none"/>
        </w:rPr>
      </w:pPr>
      <w:r>
        <w:rPr>
          <w:rFonts w:hint="eastAsia"/>
          <w:color w:val="auto"/>
          <w:szCs w:val="21"/>
          <w:highlight w:val="none"/>
        </w:rPr>
        <w:t>3、</w:t>
      </w:r>
      <w:r>
        <w:rPr>
          <w:color w:val="auto"/>
          <w:szCs w:val="21"/>
          <w:highlight w:val="none"/>
        </w:rPr>
        <w:t>乙方</w:t>
      </w:r>
      <w:r>
        <w:rPr>
          <w:rFonts w:hint="eastAsia"/>
          <w:color w:val="auto"/>
          <w:szCs w:val="21"/>
          <w:highlight w:val="none"/>
        </w:rPr>
        <w:t>实施项目的一切程序都应符合国家安全、保密的有关规定和标准。</w:t>
      </w:r>
    </w:p>
    <w:p w14:paraId="73FD7923">
      <w:pPr>
        <w:ind w:firstLine="480" w:firstLineChars="200"/>
        <w:rPr>
          <w:color w:val="auto"/>
          <w:szCs w:val="21"/>
          <w:highlight w:val="none"/>
        </w:rPr>
      </w:pPr>
      <w:r>
        <w:rPr>
          <w:rFonts w:hint="eastAsia"/>
          <w:color w:val="auto"/>
          <w:szCs w:val="21"/>
          <w:highlight w:val="none"/>
        </w:rPr>
        <w:t>4、</w:t>
      </w:r>
      <w:r>
        <w:rPr>
          <w:color w:val="auto"/>
          <w:szCs w:val="21"/>
          <w:highlight w:val="none"/>
        </w:rPr>
        <w:t>乙方</w:t>
      </w:r>
      <w:r>
        <w:rPr>
          <w:rFonts w:hint="eastAsia"/>
          <w:color w:val="auto"/>
          <w:szCs w:val="21"/>
          <w:highlight w:val="none"/>
        </w:rPr>
        <w:t>参加项目的有关人员均需同甲方签订保密协议。</w:t>
      </w:r>
    </w:p>
    <w:p w14:paraId="53101655">
      <w:pPr>
        <w:ind w:firstLine="482" w:firstLineChars="200"/>
        <w:rPr>
          <w:b/>
          <w:bCs/>
          <w:color w:val="auto"/>
          <w:szCs w:val="21"/>
          <w:highlight w:val="none"/>
        </w:rPr>
      </w:pPr>
      <w:r>
        <w:rPr>
          <w:rFonts w:hint="eastAsia"/>
          <w:b/>
          <w:bCs/>
          <w:color w:val="auto"/>
          <w:szCs w:val="21"/>
          <w:highlight w:val="none"/>
        </w:rPr>
        <w:t xml:space="preserve">第十五条  成果验收     </w:t>
      </w:r>
    </w:p>
    <w:p w14:paraId="56CA4ADD">
      <w:pPr>
        <w:ind w:firstLine="480" w:firstLineChars="200"/>
        <w:rPr>
          <w:color w:val="auto"/>
          <w:szCs w:val="21"/>
          <w:highlight w:val="none"/>
        </w:rPr>
      </w:pPr>
      <w:r>
        <w:rPr>
          <w:rFonts w:hint="eastAsia"/>
          <w:color w:val="auto"/>
          <w:szCs w:val="21"/>
          <w:highlight w:val="none"/>
        </w:rPr>
        <w:t>1、完成本合同第三条 时间要求及成果要求内容要求。</w:t>
      </w:r>
    </w:p>
    <w:p w14:paraId="5FB68DD9">
      <w:pPr>
        <w:ind w:firstLine="480" w:firstLineChars="200"/>
        <w:rPr>
          <w:color w:val="auto"/>
          <w:szCs w:val="21"/>
          <w:highlight w:val="none"/>
        </w:rPr>
      </w:pPr>
      <w:r>
        <w:rPr>
          <w:rFonts w:hint="eastAsia"/>
          <w:color w:val="auto"/>
          <w:szCs w:val="21"/>
          <w:highlight w:val="none"/>
        </w:rPr>
        <w:t>2、配合甲方完成为完成本项目而需执行的可能遗漏的内容项目。</w:t>
      </w:r>
    </w:p>
    <w:p w14:paraId="6C18FF60">
      <w:pPr>
        <w:ind w:firstLine="480" w:firstLineChars="200"/>
        <w:rPr>
          <w:color w:val="auto"/>
          <w:szCs w:val="21"/>
          <w:highlight w:val="none"/>
        </w:rPr>
      </w:pPr>
      <w:r>
        <w:rPr>
          <w:rFonts w:hint="eastAsia"/>
          <w:color w:val="auto"/>
          <w:szCs w:val="21"/>
          <w:highlight w:val="none"/>
        </w:rPr>
        <w:t>3、本条内容以上两点要求获得甲方及其组织的专家评审认可。</w:t>
      </w:r>
    </w:p>
    <w:p w14:paraId="01EA1CF2">
      <w:pPr>
        <w:ind w:firstLine="482" w:firstLineChars="200"/>
        <w:rPr>
          <w:b/>
          <w:bCs/>
          <w:color w:val="auto"/>
          <w:szCs w:val="21"/>
          <w:highlight w:val="none"/>
        </w:rPr>
      </w:pPr>
      <w:r>
        <w:rPr>
          <w:rFonts w:hint="eastAsia"/>
          <w:b/>
          <w:bCs/>
          <w:color w:val="auto"/>
          <w:szCs w:val="21"/>
          <w:highlight w:val="none"/>
        </w:rPr>
        <w:t>第十六条  付款方式</w:t>
      </w:r>
    </w:p>
    <w:p w14:paraId="0F32F7C7">
      <w:pPr>
        <w:ind w:firstLine="480" w:firstLineChars="200"/>
        <w:rPr>
          <w:color w:val="auto"/>
          <w:szCs w:val="21"/>
          <w:highlight w:val="none"/>
        </w:rPr>
      </w:pPr>
      <w:r>
        <w:rPr>
          <w:rFonts w:hint="eastAsia"/>
          <w:color w:val="auto"/>
          <w:szCs w:val="21"/>
          <w:highlight w:val="none"/>
        </w:rPr>
        <w:t>1、本项目不提供预付款。</w:t>
      </w:r>
    </w:p>
    <w:p w14:paraId="279B4D64">
      <w:pPr>
        <w:ind w:firstLine="480" w:firstLineChars="200"/>
        <w:rPr>
          <w:rFonts w:hint="eastAsia"/>
          <w:color w:val="auto"/>
          <w:szCs w:val="21"/>
          <w:highlight w:val="none"/>
          <w:lang w:eastAsia="zh-CN"/>
        </w:rPr>
      </w:pPr>
      <w:r>
        <w:rPr>
          <w:rFonts w:hint="eastAsia"/>
          <w:color w:val="auto"/>
          <w:szCs w:val="21"/>
          <w:highlight w:val="none"/>
        </w:rPr>
        <w:t>2、完成阶段成果文件并取得甲方认可后，</w:t>
      </w:r>
      <w:r>
        <w:rPr>
          <w:rFonts w:hint="eastAsia"/>
          <w:color w:val="auto"/>
          <w:szCs w:val="21"/>
          <w:highlight w:val="none"/>
          <w:lang w:eastAsia="zh-CN"/>
        </w:rPr>
        <w:t>由</w:t>
      </w:r>
      <w:r>
        <w:rPr>
          <w:rFonts w:hint="eastAsia"/>
          <w:color w:val="auto"/>
          <w:szCs w:val="21"/>
          <w:highlight w:val="none"/>
        </w:rPr>
        <w:t>乙方向甲方提出</w:t>
      </w:r>
      <w:r>
        <w:rPr>
          <w:rFonts w:hint="eastAsia"/>
          <w:color w:val="auto"/>
          <w:szCs w:val="21"/>
          <w:highlight w:val="none"/>
          <w:lang w:eastAsia="zh-CN"/>
        </w:rPr>
        <w:t>履约评价考核申请，根据履约评价结果报送支付</w:t>
      </w:r>
      <w:r>
        <w:rPr>
          <w:rFonts w:hint="eastAsia"/>
          <w:color w:val="auto"/>
          <w:szCs w:val="21"/>
          <w:highlight w:val="none"/>
        </w:rPr>
        <w:t>申请书面</w:t>
      </w:r>
      <w:r>
        <w:rPr>
          <w:rFonts w:hint="eastAsia"/>
          <w:color w:val="auto"/>
          <w:szCs w:val="21"/>
          <w:highlight w:val="none"/>
          <w:lang w:eastAsia="zh-CN"/>
        </w:rPr>
        <w:t>报告及等额正规发票，</w:t>
      </w:r>
      <w:r>
        <w:rPr>
          <w:rFonts w:hint="eastAsia"/>
          <w:color w:val="auto"/>
          <w:szCs w:val="21"/>
          <w:highlight w:val="none"/>
        </w:rPr>
        <w:t>甲方</w:t>
      </w:r>
      <w:r>
        <w:rPr>
          <w:rFonts w:hint="eastAsia"/>
          <w:color w:val="auto"/>
          <w:szCs w:val="21"/>
          <w:highlight w:val="none"/>
          <w:lang w:eastAsia="zh-CN"/>
        </w:rPr>
        <w:t>审批后</w:t>
      </w:r>
      <w:r>
        <w:rPr>
          <w:rFonts w:hint="eastAsia"/>
          <w:color w:val="auto"/>
          <w:szCs w:val="21"/>
          <w:highlight w:val="none"/>
        </w:rPr>
        <w:t>向乙方支付至合同总价</w:t>
      </w:r>
      <w:r>
        <w:rPr>
          <w:rFonts w:hint="eastAsia"/>
          <w:color w:val="auto"/>
          <w:szCs w:val="21"/>
          <w:highlight w:val="none"/>
          <w:lang w:eastAsia="zh-CN"/>
        </w:rPr>
        <w:t>的</w:t>
      </w:r>
      <w:r>
        <w:rPr>
          <w:rFonts w:hint="eastAsia"/>
          <w:color w:val="auto"/>
          <w:szCs w:val="21"/>
          <w:highlight w:val="none"/>
        </w:rPr>
        <w:t xml:space="preserve"> 80 %</w:t>
      </w:r>
      <w:r>
        <w:rPr>
          <w:rFonts w:hint="eastAsia"/>
          <w:color w:val="auto"/>
          <w:szCs w:val="21"/>
          <w:highlight w:val="none"/>
          <w:lang w:eastAsia="zh-CN"/>
        </w:rPr>
        <w:t>。</w:t>
      </w:r>
    </w:p>
    <w:p w14:paraId="50B04F3A">
      <w:pPr>
        <w:ind w:firstLine="480" w:firstLineChars="200"/>
        <w:rPr>
          <w:rFonts w:hint="eastAsia"/>
          <w:color w:val="auto"/>
          <w:szCs w:val="21"/>
          <w:highlight w:val="none"/>
          <w:lang w:val="en-US" w:eastAsia="zh-CN"/>
        </w:rPr>
      </w:pPr>
      <w:r>
        <w:rPr>
          <w:rFonts w:hint="eastAsia"/>
          <w:color w:val="auto"/>
          <w:szCs w:val="21"/>
          <w:highlight w:val="none"/>
        </w:rPr>
        <w:t>3、最终结算款按造价站审核价为准，</w:t>
      </w:r>
      <w:r>
        <w:rPr>
          <w:rFonts w:hint="eastAsia"/>
          <w:color w:val="auto"/>
          <w:szCs w:val="21"/>
          <w:highlight w:val="none"/>
          <w:lang w:eastAsia="zh-CN"/>
        </w:rPr>
        <w:t>结算经造价站审定后</w:t>
      </w:r>
      <w:r>
        <w:rPr>
          <w:rFonts w:hint="eastAsia"/>
          <w:color w:val="auto"/>
          <w:szCs w:val="21"/>
          <w:highlight w:val="none"/>
          <w:lang w:val="en-US" w:eastAsia="zh-CN"/>
        </w:rPr>
        <w:t>30日内乙方向甲方提出书面申请，</w:t>
      </w:r>
      <w:r>
        <w:rPr>
          <w:rFonts w:hint="eastAsia"/>
          <w:color w:val="auto"/>
          <w:szCs w:val="21"/>
          <w:highlight w:val="none"/>
        </w:rPr>
        <w:t>甲方</w:t>
      </w:r>
      <w:r>
        <w:rPr>
          <w:rFonts w:hint="eastAsia"/>
          <w:color w:val="auto"/>
          <w:szCs w:val="21"/>
          <w:highlight w:val="none"/>
          <w:lang w:eastAsia="zh-CN"/>
        </w:rPr>
        <w:t>确认后</w:t>
      </w:r>
      <w:r>
        <w:rPr>
          <w:rFonts w:hint="eastAsia"/>
          <w:color w:val="auto"/>
          <w:szCs w:val="21"/>
          <w:highlight w:val="none"/>
        </w:rPr>
        <w:t>向乙方支付剩余的合同价款。</w:t>
      </w:r>
    </w:p>
    <w:p w14:paraId="084AB6DA">
      <w:pPr>
        <w:ind w:firstLine="482" w:firstLineChars="200"/>
        <w:rPr>
          <w:rFonts w:hint="eastAsia"/>
          <w:b/>
          <w:bCs/>
          <w:color w:val="auto"/>
          <w:szCs w:val="21"/>
          <w:highlight w:val="none"/>
          <w:lang w:val="en-US" w:eastAsia="zh-CN"/>
        </w:rPr>
      </w:pPr>
      <w:r>
        <w:rPr>
          <w:rFonts w:hint="eastAsia"/>
          <w:b/>
          <w:bCs/>
          <w:color w:val="auto"/>
          <w:szCs w:val="21"/>
          <w:highlight w:val="none"/>
          <w:lang w:val="en-US" w:eastAsia="zh-CN"/>
        </w:rPr>
        <w:t>第十七条  履约评价</w:t>
      </w:r>
    </w:p>
    <w:p w14:paraId="34DA93C3">
      <w:pPr>
        <w:ind w:firstLine="480" w:firstLineChars="200"/>
        <w:rPr>
          <w:rFonts w:hint="eastAsia"/>
          <w:color w:val="auto"/>
          <w:szCs w:val="21"/>
          <w:highlight w:val="none"/>
          <w:lang w:eastAsia="zh-CN"/>
        </w:rPr>
      </w:pPr>
      <w:r>
        <w:rPr>
          <w:rFonts w:hint="eastAsia"/>
          <w:color w:val="auto"/>
          <w:szCs w:val="21"/>
          <w:highlight w:val="none"/>
        </w:rPr>
        <w:t>履约评价由甲方指定的履约评价小组进行考评，具体考评办法详见甲方履约评价管理办法，</w:t>
      </w:r>
      <w:r>
        <w:rPr>
          <w:rFonts w:hint="eastAsia"/>
          <w:color w:val="auto"/>
          <w:szCs w:val="21"/>
          <w:highlight w:val="none"/>
          <w:lang w:eastAsia="zh-CN"/>
        </w:rPr>
        <w:t>履约评价表</w:t>
      </w:r>
      <w:r>
        <w:rPr>
          <w:rFonts w:hint="eastAsia"/>
          <w:color w:val="auto"/>
          <w:szCs w:val="21"/>
          <w:highlight w:val="none"/>
        </w:rPr>
        <w:t>详见附件。评分采用百分制，综合考评结果分为优秀（评分≥90分）、良好（80≤评分&lt;90分）、中等（70≤评分&lt;80分）、合格（60≤评分&lt;70分）、不合格(评分&lt;60分)五个等级</w:t>
      </w:r>
      <w:r>
        <w:rPr>
          <w:rFonts w:hint="eastAsia"/>
          <w:color w:val="auto"/>
          <w:szCs w:val="21"/>
          <w:highlight w:val="none"/>
          <w:lang w:eastAsia="zh-CN"/>
        </w:rPr>
        <w:t>。</w:t>
      </w:r>
    </w:p>
    <w:p w14:paraId="12820269">
      <w:pPr>
        <w:ind w:firstLine="482" w:firstLineChars="200"/>
        <w:rPr>
          <w:rFonts w:hint="eastAsia"/>
          <w:b/>
          <w:bCs/>
          <w:color w:val="auto"/>
          <w:szCs w:val="21"/>
          <w:highlight w:val="none"/>
          <w:lang w:val="en-US" w:eastAsia="zh-CN"/>
        </w:rPr>
      </w:pPr>
      <w:r>
        <w:rPr>
          <w:rFonts w:hint="eastAsia"/>
          <w:b/>
          <w:bCs/>
          <w:color w:val="auto"/>
          <w:szCs w:val="21"/>
          <w:highlight w:val="none"/>
          <w:lang w:val="en-US" w:eastAsia="zh-CN"/>
        </w:rPr>
        <w:t>第十八条  结算原则</w:t>
      </w:r>
    </w:p>
    <w:p w14:paraId="10B90675">
      <w:pPr>
        <w:ind w:firstLine="480" w:firstLineChars="200"/>
        <w:rPr>
          <w:rFonts w:hint="eastAsia"/>
          <w:color w:val="auto"/>
          <w:szCs w:val="21"/>
          <w:highlight w:val="none"/>
          <w:lang w:eastAsia="zh-CN"/>
        </w:rPr>
      </w:pPr>
      <w:r>
        <w:rPr>
          <w:rFonts w:hint="eastAsia"/>
          <w:color w:val="auto"/>
          <w:szCs w:val="21"/>
          <w:highlight w:val="none"/>
          <w:lang w:eastAsia="zh-CN"/>
        </w:rPr>
        <w:t>结算价=中标人的投标报价</w:t>
      </w:r>
      <w:r>
        <w:rPr>
          <w:rFonts w:hint="eastAsia"/>
          <w:color w:val="auto"/>
          <w:szCs w:val="21"/>
          <w:highlight w:val="none"/>
          <w:lang w:val="en-US" w:eastAsia="zh-CN"/>
        </w:rPr>
        <w:t>-违约金。</w:t>
      </w:r>
    </w:p>
    <w:p w14:paraId="4E634AF3">
      <w:pPr>
        <w:ind w:firstLine="480" w:firstLineChars="200"/>
        <w:rPr>
          <w:rFonts w:hint="eastAsia"/>
          <w:color w:val="auto"/>
          <w:szCs w:val="21"/>
          <w:highlight w:val="none"/>
          <w:lang w:eastAsia="zh-CN"/>
        </w:rPr>
      </w:pPr>
      <w:r>
        <w:rPr>
          <w:rFonts w:hint="eastAsia"/>
          <w:color w:val="auto"/>
          <w:szCs w:val="21"/>
          <w:highlight w:val="none"/>
          <w:lang w:eastAsia="zh-CN"/>
        </w:rPr>
        <w:t>最终结算价以造价站质量复核价为准，如被政府审计部门审计，则以政府审计部门审定价为准。</w:t>
      </w:r>
    </w:p>
    <w:p w14:paraId="16613A69">
      <w:pPr>
        <w:ind w:firstLine="482" w:firstLineChars="200"/>
        <w:rPr>
          <w:b/>
          <w:bCs/>
          <w:color w:val="auto"/>
          <w:szCs w:val="21"/>
          <w:highlight w:val="none"/>
        </w:rPr>
      </w:pPr>
      <w:r>
        <w:rPr>
          <w:rFonts w:hint="eastAsia"/>
          <w:b/>
          <w:bCs/>
          <w:color w:val="auto"/>
          <w:szCs w:val="21"/>
          <w:highlight w:val="none"/>
        </w:rPr>
        <w:t>第十</w:t>
      </w:r>
      <w:r>
        <w:rPr>
          <w:rFonts w:hint="eastAsia"/>
          <w:b/>
          <w:bCs/>
          <w:color w:val="auto"/>
          <w:szCs w:val="21"/>
          <w:highlight w:val="none"/>
          <w:lang w:eastAsia="zh-CN"/>
        </w:rPr>
        <w:t>九</w:t>
      </w:r>
      <w:r>
        <w:rPr>
          <w:rFonts w:hint="eastAsia"/>
          <w:b/>
          <w:bCs/>
          <w:color w:val="auto"/>
          <w:szCs w:val="21"/>
          <w:highlight w:val="none"/>
        </w:rPr>
        <w:t>条  争议解决办法</w:t>
      </w:r>
    </w:p>
    <w:p w14:paraId="33CD4E5C">
      <w:pPr>
        <w:ind w:firstLine="480" w:firstLineChars="200"/>
        <w:rPr>
          <w:rFonts w:hint="eastAsia" w:eastAsia="宋体"/>
          <w:color w:val="auto"/>
          <w:szCs w:val="21"/>
          <w:highlight w:val="none"/>
          <w:lang w:eastAsia="zh-CN"/>
        </w:rPr>
      </w:pPr>
      <w:r>
        <w:rPr>
          <w:rFonts w:hint="eastAsia"/>
          <w:color w:val="auto"/>
          <w:szCs w:val="21"/>
          <w:highlight w:val="none"/>
        </w:rPr>
        <w:t>执行本合同发生的争议，由甲乙双方协商解决。</w:t>
      </w:r>
      <w:r>
        <w:rPr>
          <w:rFonts w:hint="eastAsia"/>
          <w:color w:val="auto"/>
          <w:szCs w:val="21"/>
          <w:highlight w:val="none"/>
          <w:lang w:eastAsia="zh-CN"/>
        </w:rPr>
        <w:t>各方在争议解决过程中，应当继续履行合同义务，保持项目的持续性。争议不能达成共识的，依法提请仲裁机构或法院裁决。</w:t>
      </w:r>
    </w:p>
    <w:p w14:paraId="6A34DA2E">
      <w:pPr>
        <w:ind w:firstLine="482" w:firstLineChars="200"/>
        <w:rPr>
          <w:b/>
          <w:bCs/>
          <w:color w:val="auto"/>
          <w:szCs w:val="21"/>
          <w:highlight w:val="none"/>
        </w:rPr>
      </w:pPr>
      <w:r>
        <w:rPr>
          <w:rFonts w:hint="eastAsia"/>
          <w:b/>
          <w:bCs/>
          <w:color w:val="auto"/>
          <w:szCs w:val="21"/>
          <w:highlight w:val="none"/>
        </w:rPr>
        <w:t>第</w:t>
      </w:r>
      <w:r>
        <w:rPr>
          <w:rFonts w:hint="eastAsia"/>
          <w:b/>
          <w:bCs/>
          <w:color w:val="auto"/>
          <w:szCs w:val="21"/>
          <w:highlight w:val="none"/>
          <w:lang w:eastAsia="zh-CN"/>
        </w:rPr>
        <w:t>二十</w:t>
      </w:r>
      <w:r>
        <w:rPr>
          <w:rFonts w:hint="eastAsia"/>
          <w:b/>
          <w:bCs/>
          <w:color w:val="auto"/>
          <w:szCs w:val="21"/>
          <w:highlight w:val="none"/>
        </w:rPr>
        <w:t>条  风险责任告知</w:t>
      </w:r>
    </w:p>
    <w:p w14:paraId="6E5EEA0F">
      <w:pPr>
        <w:ind w:firstLine="480" w:firstLineChars="200"/>
        <w:rPr>
          <w:color w:val="auto"/>
          <w:szCs w:val="21"/>
          <w:highlight w:val="none"/>
        </w:rPr>
      </w:pPr>
      <w:r>
        <w:rPr>
          <w:rFonts w:hint="eastAsia"/>
          <w:color w:val="auto"/>
          <w:szCs w:val="21"/>
          <w:highlight w:val="none"/>
        </w:rPr>
        <w:t>１、乙方应完全地按照</w:t>
      </w:r>
      <w:r>
        <w:rPr>
          <w:rFonts w:hint="eastAsia"/>
          <w:color w:val="auto"/>
          <w:highlight w:val="none"/>
          <w:u w:val="single"/>
        </w:rPr>
        <w:t>铁岗水库牛成村建成区径流调蓄转输工程—宣传拍摄</w:t>
      </w:r>
      <w:r>
        <w:rPr>
          <w:rFonts w:hint="eastAsia"/>
          <w:color w:val="auto"/>
          <w:szCs w:val="21"/>
          <w:highlight w:val="none"/>
        </w:rPr>
        <w:t>招标文件的要求和乙方投标文件的承诺完成本项目，出于自身财务、技术、人力等原因导致项目失败的，应承担全部责任。</w:t>
      </w:r>
    </w:p>
    <w:p w14:paraId="52C303E7">
      <w:pPr>
        <w:ind w:firstLine="480" w:firstLineChars="200"/>
        <w:rPr>
          <w:color w:val="auto"/>
          <w:szCs w:val="21"/>
          <w:highlight w:val="none"/>
        </w:rPr>
      </w:pPr>
      <w:r>
        <w:rPr>
          <w:rFonts w:hint="eastAsia"/>
          <w:color w:val="auto"/>
          <w:szCs w:val="21"/>
          <w:highlight w:val="none"/>
        </w:rPr>
        <w:t>2、乙方在实施本项目服务内容过程中应对自身的安全生产负责，若由乙方原因发生的各种事故甲方不承担任何责任。</w:t>
      </w:r>
    </w:p>
    <w:p w14:paraId="606EC794">
      <w:pPr>
        <w:pStyle w:val="2"/>
        <w:ind w:firstLine="480"/>
        <w:rPr>
          <w:color w:val="auto"/>
          <w:highlight w:val="none"/>
        </w:rPr>
      </w:pPr>
      <w:r>
        <w:rPr>
          <w:rFonts w:hint="eastAsia"/>
          <w:color w:val="auto"/>
          <w:szCs w:val="21"/>
          <w:highlight w:val="none"/>
        </w:rPr>
        <w:t>3、乙方不能拒绝执行为完成本项目而需执行的可能遗漏的内容项目。甲方有权力根据需要进行调整，乙方须无条件接受甲方提出的变更要求，并按要求调整范围及内容，且合同金额不因执行内容增加而调整。</w:t>
      </w:r>
    </w:p>
    <w:p w14:paraId="1B870FE8">
      <w:pPr>
        <w:ind w:firstLine="482" w:firstLineChars="200"/>
        <w:rPr>
          <w:b/>
          <w:bCs/>
          <w:color w:val="auto"/>
          <w:szCs w:val="21"/>
          <w:highlight w:val="none"/>
        </w:rPr>
      </w:pPr>
      <w:r>
        <w:rPr>
          <w:rFonts w:hint="eastAsia"/>
          <w:b/>
          <w:bCs/>
          <w:color w:val="auto"/>
          <w:szCs w:val="21"/>
          <w:highlight w:val="none"/>
        </w:rPr>
        <w:t>第</w:t>
      </w:r>
      <w:r>
        <w:rPr>
          <w:rFonts w:hint="eastAsia"/>
          <w:b/>
          <w:bCs/>
          <w:color w:val="auto"/>
          <w:szCs w:val="21"/>
          <w:highlight w:val="none"/>
          <w:lang w:eastAsia="zh-CN"/>
        </w:rPr>
        <w:t>二十一</w:t>
      </w:r>
      <w:r>
        <w:rPr>
          <w:rFonts w:hint="eastAsia"/>
          <w:b/>
          <w:bCs/>
          <w:color w:val="auto"/>
          <w:szCs w:val="21"/>
          <w:highlight w:val="none"/>
        </w:rPr>
        <w:t>条  违约责任</w:t>
      </w:r>
    </w:p>
    <w:p w14:paraId="2CBE1505">
      <w:pPr>
        <w:pStyle w:val="3"/>
        <w:spacing w:line="240" w:lineRule="auto"/>
        <w:rPr>
          <w:color w:val="auto"/>
          <w:szCs w:val="21"/>
          <w:highlight w:val="none"/>
        </w:rPr>
      </w:pPr>
      <w:r>
        <w:rPr>
          <w:rFonts w:hint="eastAsia"/>
          <w:color w:val="auto"/>
          <w:szCs w:val="21"/>
          <w:highlight w:val="none"/>
        </w:rPr>
        <w:t>１、因乙方原因，未能按规定时间完成有关工作的，每延误一天，甲方可在支付合同余款中扣除合同价款千分之一。</w:t>
      </w:r>
    </w:p>
    <w:p w14:paraId="686D9C70">
      <w:pPr>
        <w:ind w:firstLine="480" w:firstLineChars="200"/>
        <w:rPr>
          <w:color w:val="auto"/>
          <w:szCs w:val="21"/>
          <w:highlight w:val="none"/>
        </w:rPr>
      </w:pPr>
      <w:r>
        <w:rPr>
          <w:rFonts w:hint="eastAsia"/>
          <w:color w:val="auto"/>
          <w:szCs w:val="21"/>
          <w:highlight w:val="none"/>
        </w:rPr>
        <w:t>2、由于乙方原因造成成果质量低劣，不能满足大纲要求时，乙方不得以任何理由拒绝，应无条件继续完善服务工作，其费用由乙方承担。</w:t>
      </w:r>
    </w:p>
    <w:p w14:paraId="6A28C38C">
      <w:pPr>
        <w:ind w:firstLine="480" w:firstLineChars="200"/>
        <w:rPr>
          <w:color w:val="auto"/>
          <w:szCs w:val="21"/>
          <w:highlight w:val="none"/>
        </w:rPr>
      </w:pPr>
      <w:r>
        <w:rPr>
          <w:rFonts w:hint="eastAsia"/>
          <w:color w:val="auto"/>
          <w:szCs w:val="21"/>
          <w:highlight w:val="none"/>
        </w:rPr>
        <w:t>3、如乙方提供的咨询服务文件不符合质量要求，必须在甲方提出要求后7天内无条件修改，其费用由乙方承担。</w:t>
      </w:r>
    </w:p>
    <w:p w14:paraId="30B24FEF">
      <w:pPr>
        <w:ind w:firstLine="480" w:firstLineChars="200"/>
        <w:rPr>
          <w:color w:val="auto"/>
          <w:szCs w:val="21"/>
          <w:highlight w:val="none"/>
        </w:rPr>
      </w:pPr>
      <w:r>
        <w:rPr>
          <w:rFonts w:hint="eastAsia"/>
          <w:color w:val="auto"/>
          <w:szCs w:val="21"/>
          <w:highlight w:val="none"/>
        </w:rPr>
        <w:t>4、若甲方发现乙方派出的实施服务人员或提供的服务设备不符合合同要求，乙方应在3天之内按要求派出人员或提供满足投标文件承诺的仪器设备，否则甲方有权终止合同，并保留追究乙方责任及要求赔偿损失的权利。</w:t>
      </w:r>
    </w:p>
    <w:p w14:paraId="0D1E0FC1">
      <w:pPr>
        <w:ind w:firstLine="482" w:firstLineChars="200"/>
        <w:rPr>
          <w:b/>
          <w:bCs/>
          <w:color w:val="auto"/>
          <w:szCs w:val="21"/>
          <w:highlight w:val="none"/>
        </w:rPr>
      </w:pPr>
      <w:r>
        <w:rPr>
          <w:rFonts w:hint="eastAsia"/>
          <w:b/>
          <w:bCs/>
          <w:color w:val="auto"/>
          <w:szCs w:val="21"/>
          <w:highlight w:val="none"/>
        </w:rPr>
        <w:t>第二十</w:t>
      </w:r>
      <w:r>
        <w:rPr>
          <w:rFonts w:hint="eastAsia"/>
          <w:b/>
          <w:bCs/>
          <w:color w:val="auto"/>
          <w:szCs w:val="21"/>
          <w:highlight w:val="none"/>
          <w:lang w:eastAsia="zh-CN"/>
        </w:rPr>
        <w:t>二</w:t>
      </w:r>
      <w:r>
        <w:rPr>
          <w:rFonts w:hint="eastAsia"/>
          <w:b/>
          <w:bCs/>
          <w:color w:val="auto"/>
          <w:szCs w:val="21"/>
          <w:highlight w:val="none"/>
        </w:rPr>
        <w:t>条  其他</w:t>
      </w:r>
    </w:p>
    <w:p w14:paraId="17700FD0">
      <w:pPr>
        <w:ind w:firstLine="480" w:firstLineChars="200"/>
        <w:rPr>
          <w:color w:val="auto"/>
          <w:szCs w:val="21"/>
          <w:highlight w:val="none"/>
        </w:rPr>
      </w:pPr>
      <w:r>
        <w:rPr>
          <w:rFonts w:hint="eastAsia"/>
          <w:color w:val="auto"/>
          <w:szCs w:val="21"/>
          <w:highlight w:val="none"/>
        </w:rPr>
        <w:t>1、本合同与</w:t>
      </w:r>
      <w:r>
        <w:rPr>
          <w:rFonts w:hint="eastAsia"/>
          <w:color w:val="auto"/>
          <w:highlight w:val="none"/>
          <w:u w:val="single"/>
        </w:rPr>
        <w:t>铁岗水库牛成村建成区径流调蓄转输工程—宣传拍摄</w:t>
      </w:r>
      <w:r>
        <w:rPr>
          <w:rFonts w:hint="eastAsia"/>
          <w:color w:val="auto"/>
          <w:szCs w:val="21"/>
          <w:highlight w:val="none"/>
        </w:rPr>
        <w:t>招标文件、乙方投标文件如有抵触之处，以本合同条款为准。</w:t>
      </w:r>
    </w:p>
    <w:p w14:paraId="262403D2">
      <w:pPr>
        <w:ind w:firstLine="480" w:firstLineChars="200"/>
        <w:rPr>
          <w:color w:val="auto"/>
          <w:szCs w:val="21"/>
          <w:highlight w:val="none"/>
        </w:rPr>
      </w:pPr>
      <w:r>
        <w:rPr>
          <w:rFonts w:hint="eastAsia"/>
          <w:color w:val="auto"/>
          <w:szCs w:val="21"/>
          <w:highlight w:val="none"/>
        </w:rPr>
        <w:t>2、下列文件均为本合同的组成部分：</w:t>
      </w:r>
    </w:p>
    <w:p w14:paraId="71FA5CED">
      <w:pPr>
        <w:ind w:firstLine="480" w:firstLineChars="200"/>
        <w:rPr>
          <w:color w:val="auto"/>
          <w:szCs w:val="21"/>
          <w:highlight w:val="none"/>
        </w:rPr>
      </w:pPr>
      <w:r>
        <w:rPr>
          <w:rFonts w:hint="eastAsia"/>
          <w:color w:val="auto"/>
          <w:szCs w:val="21"/>
          <w:highlight w:val="none"/>
        </w:rPr>
        <w:t>（1）</w:t>
      </w:r>
      <w:r>
        <w:rPr>
          <w:rFonts w:hint="eastAsia"/>
          <w:color w:val="auto"/>
          <w:highlight w:val="none"/>
          <w:u w:val="single"/>
        </w:rPr>
        <w:t>铁岗水库牛成村建成区径流调蓄转输工程—宣传拍摄</w:t>
      </w:r>
      <w:r>
        <w:rPr>
          <w:rFonts w:hint="eastAsia"/>
          <w:color w:val="auto"/>
          <w:szCs w:val="21"/>
          <w:highlight w:val="none"/>
        </w:rPr>
        <w:t>招标文件、答疑及补充通知；</w:t>
      </w:r>
    </w:p>
    <w:p w14:paraId="2BE5B250">
      <w:pPr>
        <w:ind w:firstLine="480" w:firstLineChars="200"/>
        <w:rPr>
          <w:color w:val="auto"/>
          <w:szCs w:val="21"/>
          <w:highlight w:val="none"/>
        </w:rPr>
      </w:pPr>
      <w:r>
        <w:rPr>
          <w:rFonts w:hint="eastAsia"/>
          <w:color w:val="auto"/>
          <w:szCs w:val="21"/>
          <w:highlight w:val="none"/>
        </w:rPr>
        <w:t>（2）投标文件；</w:t>
      </w:r>
    </w:p>
    <w:p w14:paraId="30617354">
      <w:pPr>
        <w:ind w:firstLine="480" w:firstLineChars="200"/>
        <w:rPr>
          <w:color w:val="auto"/>
          <w:szCs w:val="21"/>
          <w:highlight w:val="none"/>
        </w:rPr>
      </w:pPr>
      <w:r>
        <w:rPr>
          <w:rFonts w:hint="eastAsia"/>
          <w:color w:val="auto"/>
          <w:szCs w:val="21"/>
          <w:highlight w:val="none"/>
        </w:rPr>
        <w:t>（3）本合同执行中共同签署的补充与修正文件。</w:t>
      </w:r>
    </w:p>
    <w:p w14:paraId="492DBB43">
      <w:pPr>
        <w:ind w:firstLine="480" w:firstLineChars="200"/>
        <w:rPr>
          <w:color w:val="auto"/>
          <w:szCs w:val="21"/>
          <w:highlight w:val="none"/>
        </w:rPr>
      </w:pPr>
      <w:r>
        <w:rPr>
          <w:rFonts w:hint="eastAsia"/>
          <w:color w:val="auto"/>
          <w:szCs w:val="21"/>
          <w:highlight w:val="none"/>
        </w:rPr>
        <w:t>本合同一式</w:t>
      </w:r>
      <w:r>
        <w:rPr>
          <w:rFonts w:hint="eastAsia"/>
          <w:color w:val="auto"/>
          <w:szCs w:val="21"/>
          <w:highlight w:val="none"/>
          <w:u w:val="single"/>
        </w:rPr>
        <w:t xml:space="preserve"> 10 </w:t>
      </w:r>
      <w:r>
        <w:rPr>
          <w:rFonts w:hint="eastAsia"/>
          <w:color w:val="auto"/>
          <w:szCs w:val="21"/>
          <w:highlight w:val="none"/>
        </w:rPr>
        <w:t>份，甲方执</w:t>
      </w:r>
      <w:r>
        <w:rPr>
          <w:rFonts w:hint="eastAsia"/>
          <w:color w:val="auto"/>
          <w:szCs w:val="21"/>
          <w:highlight w:val="none"/>
          <w:u w:val="single"/>
        </w:rPr>
        <w:t xml:space="preserve"> 6 </w:t>
      </w:r>
      <w:r>
        <w:rPr>
          <w:rFonts w:hint="eastAsia"/>
          <w:color w:val="auto"/>
          <w:szCs w:val="21"/>
          <w:highlight w:val="none"/>
        </w:rPr>
        <w:t>份，乙方执</w:t>
      </w:r>
      <w:r>
        <w:rPr>
          <w:rFonts w:hint="eastAsia"/>
          <w:color w:val="auto"/>
          <w:szCs w:val="21"/>
          <w:highlight w:val="none"/>
          <w:u w:val="single"/>
        </w:rPr>
        <w:t xml:space="preserve"> 4 </w:t>
      </w:r>
      <w:r>
        <w:rPr>
          <w:rFonts w:hint="eastAsia"/>
          <w:color w:val="auto"/>
          <w:szCs w:val="21"/>
          <w:highlight w:val="none"/>
        </w:rPr>
        <w:t>份，具有同等法律效力。本合同自双方法人代表签字（盖章）认可之日起生效。</w:t>
      </w:r>
    </w:p>
    <w:p w14:paraId="529441F0">
      <w:pPr>
        <w:ind w:firstLine="480" w:firstLineChars="200"/>
        <w:rPr>
          <w:color w:val="auto"/>
          <w:szCs w:val="21"/>
          <w:highlight w:val="none"/>
        </w:rPr>
      </w:pPr>
      <w:r>
        <w:rPr>
          <w:rFonts w:hint="eastAsia"/>
          <w:color w:val="auto"/>
          <w:szCs w:val="21"/>
          <w:highlight w:val="none"/>
        </w:rPr>
        <w:t>本合同未尽事宜，双方友好协商，达成解决方案，经双方签字后，可作为本合同的有效附件。</w:t>
      </w:r>
    </w:p>
    <w:p w14:paraId="4BD9DC02">
      <w:pPr>
        <w:ind w:firstLine="480" w:firstLineChars="200"/>
        <w:rPr>
          <w:color w:val="auto"/>
          <w:szCs w:val="21"/>
          <w:highlight w:val="none"/>
        </w:rPr>
      </w:pPr>
    </w:p>
    <w:p w14:paraId="447CB21C">
      <w:pPr>
        <w:ind w:firstLine="480" w:firstLineChars="200"/>
        <w:rPr>
          <w:color w:val="auto"/>
          <w:szCs w:val="21"/>
          <w:highlight w:val="none"/>
        </w:rPr>
      </w:pPr>
    </w:p>
    <w:p w14:paraId="1C795C83">
      <w:pPr>
        <w:rPr>
          <w:color w:val="auto"/>
          <w:szCs w:val="21"/>
          <w:highlight w:val="none"/>
          <w:u w:val="single"/>
        </w:rPr>
      </w:pPr>
      <w:r>
        <w:rPr>
          <w:rFonts w:hint="eastAsia"/>
          <w:color w:val="auto"/>
          <w:szCs w:val="21"/>
          <w:highlight w:val="none"/>
        </w:rPr>
        <w:t>甲方：</w:t>
      </w:r>
      <w:r>
        <w:rPr>
          <w:rFonts w:hint="eastAsia"/>
          <w:color w:val="auto"/>
          <w:szCs w:val="21"/>
          <w:highlight w:val="none"/>
          <w:u w:val="single"/>
        </w:rPr>
        <w:t xml:space="preserve">                                </w:t>
      </w:r>
      <w:r>
        <w:rPr>
          <w:rFonts w:hint="eastAsia"/>
          <w:color w:val="auto"/>
          <w:szCs w:val="21"/>
          <w:highlight w:val="none"/>
        </w:rPr>
        <w:t xml:space="preserve">    乙方：</w:t>
      </w:r>
      <w:r>
        <w:rPr>
          <w:rFonts w:hint="eastAsia"/>
          <w:color w:val="auto"/>
          <w:szCs w:val="21"/>
          <w:highlight w:val="none"/>
          <w:u w:val="single"/>
        </w:rPr>
        <w:t xml:space="preserve">                            </w:t>
      </w:r>
    </w:p>
    <w:p w14:paraId="11054BBD">
      <w:pPr>
        <w:ind w:firstLine="2160" w:firstLineChars="900"/>
        <w:rPr>
          <w:color w:val="auto"/>
          <w:szCs w:val="21"/>
          <w:highlight w:val="none"/>
        </w:rPr>
      </w:pPr>
      <w:r>
        <w:rPr>
          <w:rFonts w:hint="eastAsia"/>
          <w:color w:val="auto"/>
          <w:szCs w:val="21"/>
          <w:highlight w:val="none"/>
        </w:rPr>
        <w:t xml:space="preserve">（签章）                 </w:t>
      </w:r>
      <w:r>
        <w:rPr>
          <w:color w:val="auto"/>
          <w:szCs w:val="21"/>
          <w:highlight w:val="none"/>
        </w:rPr>
        <w:t xml:space="preserve">        </w:t>
      </w:r>
      <w:r>
        <w:rPr>
          <w:rFonts w:hint="eastAsia"/>
          <w:color w:val="auto"/>
          <w:szCs w:val="21"/>
          <w:highlight w:val="none"/>
        </w:rPr>
        <w:t xml:space="preserve">        （签章）</w:t>
      </w:r>
    </w:p>
    <w:p w14:paraId="4E7860A9">
      <w:pPr>
        <w:ind w:firstLine="3120" w:firstLineChars="1300"/>
        <w:rPr>
          <w:color w:val="auto"/>
          <w:szCs w:val="21"/>
          <w:highlight w:val="none"/>
        </w:rPr>
      </w:pPr>
      <w:r>
        <w:rPr>
          <w:rFonts w:hint="eastAsia"/>
          <w:color w:val="auto"/>
          <w:szCs w:val="21"/>
          <w:highlight w:val="none"/>
        </w:rPr>
        <w:t xml:space="preserve">              </w:t>
      </w:r>
      <w:r>
        <w:rPr>
          <w:color w:val="auto"/>
          <w:szCs w:val="21"/>
          <w:highlight w:val="none"/>
        </w:rPr>
        <w:t xml:space="preserve"> </w:t>
      </w:r>
    </w:p>
    <w:p w14:paraId="43E32E10">
      <w:pPr>
        <w:ind w:firstLine="480" w:firstLineChars="200"/>
        <w:rPr>
          <w:color w:val="auto"/>
          <w:szCs w:val="21"/>
          <w:highlight w:val="none"/>
        </w:rPr>
      </w:pPr>
      <w:r>
        <w:rPr>
          <w:rFonts w:hint="eastAsia"/>
          <w:color w:val="auto"/>
          <w:szCs w:val="21"/>
          <w:highlight w:val="none"/>
        </w:rPr>
        <w:t xml:space="preserve">地址：                        </w:t>
      </w:r>
      <w:r>
        <w:rPr>
          <w:color w:val="auto"/>
          <w:szCs w:val="21"/>
          <w:highlight w:val="none"/>
        </w:rPr>
        <w:t xml:space="preserve">        </w:t>
      </w:r>
      <w:r>
        <w:rPr>
          <w:rFonts w:hint="eastAsia"/>
          <w:color w:val="auto"/>
          <w:szCs w:val="21"/>
          <w:highlight w:val="none"/>
        </w:rPr>
        <w:t xml:space="preserve">地址： </w:t>
      </w:r>
    </w:p>
    <w:p w14:paraId="350EF71B">
      <w:pPr>
        <w:ind w:firstLine="480" w:firstLineChars="200"/>
        <w:rPr>
          <w:color w:val="auto"/>
          <w:szCs w:val="21"/>
          <w:highlight w:val="none"/>
        </w:rPr>
      </w:pPr>
      <w:r>
        <w:rPr>
          <w:rFonts w:hint="eastAsia"/>
          <w:color w:val="auto"/>
          <w:szCs w:val="21"/>
          <w:highlight w:val="none"/>
        </w:rPr>
        <w:t>法定代表人：（签章）</w:t>
      </w:r>
      <w:r>
        <w:rPr>
          <w:color w:val="auto"/>
          <w:szCs w:val="21"/>
          <w:highlight w:val="none"/>
        </w:rPr>
        <w:t xml:space="preserve">        </w:t>
      </w:r>
      <w:r>
        <w:rPr>
          <w:rFonts w:hint="eastAsia"/>
          <w:color w:val="auto"/>
          <w:szCs w:val="21"/>
          <w:highlight w:val="none"/>
        </w:rPr>
        <w:t xml:space="preserve">           法定代表人：（签章）</w:t>
      </w:r>
    </w:p>
    <w:p w14:paraId="69FB7DD7">
      <w:pPr>
        <w:ind w:firstLine="480" w:firstLineChars="200"/>
        <w:rPr>
          <w:color w:val="auto"/>
          <w:szCs w:val="21"/>
          <w:highlight w:val="none"/>
        </w:rPr>
      </w:pPr>
      <w:r>
        <w:rPr>
          <w:rFonts w:hint="eastAsia"/>
          <w:color w:val="auto"/>
          <w:szCs w:val="21"/>
          <w:highlight w:val="none"/>
        </w:rPr>
        <w:t xml:space="preserve">开户行：                   </w:t>
      </w:r>
      <w:r>
        <w:rPr>
          <w:color w:val="auto"/>
          <w:szCs w:val="21"/>
          <w:highlight w:val="none"/>
        </w:rPr>
        <w:t xml:space="preserve">        </w:t>
      </w:r>
      <w:r>
        <w:rPr>
          <w:rFonts w:hint="eastAsia"/>
          <w:color w:val="auto"/>
          <w:szCs w:val="21"/>
          <w:highlight w:val="none"/>
        </w:rPr>
        <w:t xml:space="preserve">   开户行：</w:t>
      </w:r>
    </w:p>
    <w:p w14:paraId="3192F6E6">
      <w:pPr>
        <w:ind w:firstLine="480" w:firstLineChars="200"/>
        <w:rPr>
          <w:color w:val="auto"/>
          <w:szCs w:val="21"/>
          <w:highlight w:val="none"/>
        </w:rPr>
      </w:pPr>
      <w:r>
        <w:rPr>
          <w:rFonts w:hint="eastAsia"/>
          <w:color w:val="auto"/>
          <w:szCs w:val="21"/>
          <w:highlight w:val="none"/>
        </w:rPr>
        <w:t>人民币</w:t>
      </w:r>
      <w:r>
        <w:rPr>
          <w:rFonts w:hint="eastAsia"/>
          <w:color w:val="auto"/>
          <w:szCs w:val="21"/>
          <w:highlight w:val="none"/>
          <w:lang w:val="en-US" w:eastAsia="zh-CN"/>
        </w:rPr>
        <w:t>账</w:t>
      </w:r>
      <w:r>
        <w:rPr>
          <w:rFonts w:hint="eastAsia"/>
          <w:color w:val="auto"/>
          <w:szCs w:val="21"/>
          <w:highlight w:val="none"/>
        </w:rPr>
        <w:t>号：</w:t>
      </w:r>
      <w:r>
        <w:rPr>
          <w:color w:val="auto"/>
          <w:szCs w:val="21"/>
          <w:highlight w:val="none"/>
        </w:rPr>
        <w:t xml:space="preserve">        </w:t>
      </w:r>
      <w:r>
        <w:rPr>
          <w:rFonts w:hint="eastAsia"/>
          <w:color w:val="auto"/>
          <w:szCs w:val="21"/>
          <w:highlight w:val="none"/>
        </w:rPr>
        <w:t xml:space="preserve">                  人民币</w:t>
      </w:r>
      <w:r>
        <w:rPr>
          <w:rFonts w:hint="eastAsia"/>
          <w:color w:val="auto"/>
          <w:szCs w:val="21"/>
          <w:highlight w:val="none"/>
          <w:lang w:val="en-US" w:eastAsia="zh-CN"/>
        </w:rPr>
        <w:t>账</w:t>
      </w:r>
      <w:bookmarkStart w:id="285" w:name="_GoBack"/>
      <w:bookmarkEnd w:id="285"/>
      <w:r>
        <w:rPr>
          <w:rFonts w:hint="eastAsia"/>
          <w:color w:val="auto"/>
          <w:szCs w:val="21"/>
          <w:highlight w:val="none"/>
        </w:rPr>
        <w:t>号：</w:t>
      </w:r>
    </w:p>
    <w:p w14:paraId="37B46B03">
      <w:pPr>
        <w:ind w:firstLine="480" w:firstLineChars="200"/>
        <w:rPr>
          <w:color w:val="auto"/>
          <w:szCs w:val="21"/>
          <w:highlight w:val="none"/>
        </w:rPr>
      </w:pPr>
      <w:r>
        <w:rPr>
          <w:rFonts w:hint="eastAsia"/>
          <w:color w:val="auto"/>
          <w:szCs w:val="21"/>
          <w:highlight w:val="none"/>
        </w:rPr>
        <w:t xml:space="preserve">联系人：            </w:t>
      </w:r>
      <w:r>
        <w:rPr>
          <w:color w:val="auto"/>
          <w:szCs w:val="21"/>
          <w:highlight w:val="none"/>
        </w:rPr>
        <w:t xml:space="preserve">        </w:t>
      </w:r>
      <w:r>
        <w:rPr>
          <w:rFonts w:hint="eastAsia"/>
          <w:color w:val="auto"/>
          <w:szCs w:val="21"/>
          <w:highlight w:val="none"/>
        </w:rPr>
        <w:t xml:space="preserve">          联系人：</w:t>
      </w:r>
    </w:p>
    <w:p w14:paraId="1D3820D4">
      <w:pPr>
        <w:ind w:firstLine="480" w:firstLineChars="200"/>
        <w:rPr>
          <w:color w:val="auto"/>
          <w:szCs w:val="21"/>
          <w:highlight w:val="none"/>
        </w:rPr>
      </w:pPr>
      <w:r>
        <w:rPr>
          <w:rFonts w:hint="eastAsia"/>
          <w:color w:val="auto"/>
          <w:szCs w:val="21"/>
          <w:highlight w:val="none"/>
        </w:rPr>
        <w:t xml:space="preserve">电话：                      </w:t>
      </w:r>
      <w:r>
        <w:rPr>
          <w:color w:val="auto"/>
          <w:szCs w:val="21"/>
          <w:highlight w:val="none"/>
        </w:rPr>
        <w:t xml:space="preserve">        </w:t>
      </w:r>
      <w:r>
        <w:rPr>
          <w:rFonts w:hint="eastAsia"/>
          <w:color w:val="auto"/>
          <w:szCs w:val="21"/>
          <w:highlight w:val="none"/>
        </w:rPr>
        <w:t xml:space="preserve">  电话：</w:t>
      </w:r>
    </w:p>
    <w:p w14:paraId="23587963">
      <w:pPr>
        <w:ind w:firstLine="480" w:firstLineChars="200"/>
        <w:rPr>
          <w:color w:val="auto"/>
          <w:szCs w:val="21"/>
          <w:highlight w:val="none"/>
        </w:rPr>
      </w:pPr>
      <w:r>
        <w:rPr>
          <w:rFonts w:hint="eastAsia"/>
          <w:color w:val="auto"/>
          <w:szCs w:val="21"/>
          <w:highlight w:val="none"/>
        </w:rPr>
        <w:t xml:space="preserve">日期：           </w:t>
      </w:r>
      <w:r>
        <w:rPr>
          <w:color w:val="auto"/>
          <w:szCs w:val="21"/>
          <w:highlight w:val="none"/>
        </w:rPr>
        <w:t xml:space="preserve">        </w:t>
      </w:r>
      <w:r>
        <w:rPr>
          <w:rFonts w:hint="eastAsia"/>
          <w:color w:val="auto"/>
          <w:szCs w:val="21"/>
          <w:highlight w:val="none"/>
        </w:rPr>
        <w:t xml:space="preserve">             日期：</w:t>
      </w:r>
    </w:p>
    <w:p w14:paraId="60E21529">
      <w:pPr>
        <w:pStyle w:val="2"/>
        <w:ind w:firstLine="480"/>
        <w:rPr>
          <w:color w:val="auto"/>
          <w:szCs w:val="21"/>
          <w:highlight w:val="none"/>
        </w:rPr>
      </w:pPr>
    </w:p>
    <w:p w14:paraId="5530DF75">
      <w:pPr>
        <w:rPr>
          <w:color w:val="auto"/>
          <w:szCs w:val="21"/>
          <w:highlight w:val="none"/>
        </w:rPr>
      </w:pPr>
      <w:r>
        <w:rPr>
          <w:rFonts w:hint="eastAsia"/>
          <w:color w:val="auto"/>
          <w:szCs w:val="21"/>
          <w:highlight w:val="none"/>
        </w:rPr>
        <w:br w:type="page"/>
      </w:r>
    </w:p>
    <w:p w14:paraId="77AD63AF">
      <w:pPr>
        <w:pStyle w:val="2"/>
        <w:ind w:firstLine="0" w:firstLineChars="0"/>
        <w:rPr>
          <w:rFonts w:hint="eastAsia" w:eastAsia="宋体"/>
          <w:color w:val="auto"/>
          <w:szCs w:val="21"/>
          <w:highlight w:val="none"/>
          <w:lang w:eastAsia="zh-CN"/>
        </w:rPr>
      </w:pPr>
      <w:r>
        <w:rPr>
          <w:rFonts w:hint="eastAsia"/>
          <w:color w:val="auto"/>
          <w:szCs w:val="21"/>
          <w:highlight w:val="none"/>
        </w:rPr>
        <w:t>附件：履约评价</w:t>
      </w:r>
      <w:r>
        <w:rPr>
          <w:rFonts w:hint="eastAsia"/>
          <w:color w:val="auto"/>
          <w:szCs w:val="21"/>
          <w:highlight w:val="none"/>
          <w:lang w:eastAsia="zh-CN"/>
        </w:rPr>
        <w:t>表</w:t>
      </w:r>
    </w:p>
    <w:p w14:paraId="6387DC3D">
      <w:pPr>
        <w:pStyle w:val="2"/>
        <w:ind w:firstLine="0" w:firstLineChars="0"/>
        <w:jc w:val="center"/>
        <w:rPr>
          <w:b/>
          <w:bCs/>
          <w:color w:val="auto"/>
          <w:sz w:val="28"/>
          <w:szCs w:val="22"/>
          <w:highlight w:val="none"/>
        </w:rPr>
      </w:pPr>
      <w:r>
        <w:rPr>
          <w:rFonts w:hint="eastAsia"/>
          <w:b/>
          <w:bCs/>
          <w:color w:val="auto"/>
          <w:sz w:val="28"/>
          <w:szCs w:val="22"/>
          <w:highlight w:val="none"/>
        </w:rPr>
        <w:t>履约评价</w:t>
      </w:r>
      <w:r>
        <w:rPr>
          <w:rFonts w:hint="eastAsia"/>
          <w:b/>
          <w:bCs/>
          <w:color w:val="auto"/>
          <w:sz w:val="28"/>
          <w:szCs w:val="22"/>
          <w:highlight w:val="none"/>
          <w:lang w:eastAsia="zh-CN"/>
        </w:rPr>
        <w:t>表</w:t>
      </w:r>
    </w:p>
    <w:p w14:paraId="43FDBC79">
      <w:pPr>
        <w:wordWrap w:val="0"/>
        <w:jc w:val="both"/>
        <w:rPr>
          <w:snapToGrid w:val="0"/>
          <w:color w:val="auto"/>
          <w:szCs w:val="21"/>
          <w:highlight w:val="none"/>
        </w:rPr>
      </w:pPr>
    </w:p>
    <w:tbl>
      <w:tblPr>
        <w:tblStyle w:val="3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0"/>
        <w:gridCol w:w="720"/>
        <w:gridCol w:w="6165"/>
        <w:gridCol w:w="675"/>
      </w:tblGrid>
      <w:tr w14:paraId="5CF6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BEFEE51">
            <w:pPr>
              <w:spacing w:line="320" w:lineRule="exact"/>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序号</w:t>
            </w:r>
          </w:p>
        </w:tc>
        <w:tc>
          <w:tcPr>
            <w:tcW w:w="1440" w:type="dxa"/>
            <w:vAlign w:val="center"/>
          </w:tcPr>
          <w:p w14:paraId="1D454425">
            <w:pPr>
              <w:spacing w:line="276" w:lineRule="auto"/>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分项内容</w:t>
            </w:r>
          </w:p>
        </w:tc>
        <w:tc>
          <w:tcPr>
            <w:tcW w:w="720" w:type="dxa"/>
            <w:vAlign w:val="center"/>
          </w:tcPr>
          <w:p w14:paraId="1267913A">
            <w:pPr>
              <w:spacing w:line="320" w:lineRule="exact"/>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满分分值</w:t>
            </w:r>
          </w:p>
        </w:tc>
        <w:tc>
          <w:tcPr>
            <w:tcW w:w="6165" w:type="dxa"/>
            <w:vAlign w:val="center"/>
          </w:tcPr>
          <w:p w14:paraId="11151B73">
            <w:pPr>
              <w:spacing w:line="276" w:lineRule="auto"/>
              <w:jc w:val="center"/>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考评标准</w:t>
            </w:r>
          </w:p>
        </w:tc>
        <w:tc>
          <w:tcPr>
            <w:tcW w:w="675" w:type="dxa"/>
            <w:vAlign w:val="center"/>
          </w:tcPr>
          <w:p w14:paraId="67B6FC5B">
            <w:pPr>
              <w:spacing w:line="320" w:lineRule="exact"/>
              <w:rPr>
                <w:rFonts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备注</w:t>
            </w:r>
          </w:p>
        </w:tc>
      </w:tr>
      <w:tr w14:paraId="3887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40" w:type="dxa"/>
            <w:vAlign w:val="center"/>
          </w:tcPr>
          <w:p w14:paraId="77A3157F">
            <w:pPr>
              <w:spacing w:line="360" w:lineRule="auto"/>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一</w:t>
            </w:r>
          </w:p>
        </w:tc>
        <w:tc>
          <w:tcPr>
            <w:tcW w:w="1440" w:type="dxa"/>
            <w:vAlign w:val="center"/>
          </w:tcPr>
          <w:p w14:paraId="16905592">
            <w:pPr>
              <w:spacing w:line="360" w:lineRule="auto"/>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人员配备</w:t>
            </w:r>
          </w:p>
        </w:tc>
        <w:tc>
          <w:tcPr>
            <w:tcW w:w="720" w:type="dxa"/>
            <w:vAlign w:val="center"/>
          </w:tcPr>
          <w:p w14:paraId="3DBCB9F9">
            <w:pPr>
              <w:spacing w:line="360" w:lineRule="auto"/>
              <w:rPr>
                <w:rFonts w:hint="default"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30</w:t>
            </w:r>
          </w:p>
        </w:tc>
        <w:tc>
          <w:tcPr>
            <w:tcW w:w="6165" w:type="dxa"/>
            <w:vAlign w:val="center"/>
          </w:tcPr>
          <w:p w14:paraId="342A43B3">
            <w:pPr>
              <w:spacing w:line="276" w:lineRule="auto"/>
              <w:rPr>
                <w:rFonts w:ascii="宋体" w:hAnsi="宋体" w:eastAsia="宋体" w:cs="Times New Roman"/>
                <w:color w:val="auto"/>
                <w:szCs w:val="20"/>
                <w:highlight w:val="none"/>
              </w:rPr>
            </w:pPr>
          </w:p>
        </w:tc>
        <w:tc>
          <w:tcPr>
            <w:tcW w:w="675" w:type="dxa"/>
            <w:vAlign w:val="center"/>
          </w:tcPr>
          <w:p w14:paraId="175B5F52">
            <w:pPr>
              <w:spacing w:line="320" w:lineRule="exact"/>
              <w:rPr>
                <w:rFonts w:ascii="Times New Roman" w:hAnsi="Times New Roman" w:eastAsia="宋体" w:cs="Times New Roman"/>
                <w:color w:val="auto"/>
                <w:szCs w:val="20"/>
                <w:highlight w:val="none"/>
              </w:rPr>
            </w:pPr>
          </w:p>
        </w:tc>
      </w:tr>
      <w:tr w14:paraId="12FD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A1970FB">
            <w:pPr>
              <w:spacing w:line="320" w:lineRule="exact"/>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1</w:t>
            </w:r>
          </w:p>
        </w:tc>
        <w:tc>
          <w:tcPr>
            <w:tcW w:w="1440" w:type="dxa"/>
            <w:vAlign w:val="center"/>
          </w:tcPr>
          <w:p w14:paraId="54631EC6">
            <w:pPr>
              <w:spacing w:line="276"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项目负责人要求</w:t>
            </w:r>
          </w:p>
        </w:tc>
        <w:tc>
          <w:tcPr>
            <w:tcW w:w="720" w:type="dxa"/>
            <w:vAlign w:val="center"/>
          </w:tcPr>
          <w:p w14:paraId="2FD293C3">
            <w:pPr>
              <w:spacing w:line="360" w:lineRule="auto"/>
              <w:jc w:val="center"/>
              <w:rPr>
                <w:rFonts w:hint="default" w:ascii="宋体" w:hAnsi="宋体"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20</w:t>
            </w:r>
          </w:p>
        </w:tc>
        <w:tc>
          <w:tcPr>
            <w:tcW w:w="6165" w:type="dxa"/>
            <w:vAlign w:val="center"/>
          </w:tcPr>
          <w:p w14:paraId="0D743134">
            <w:pPr>
              <w:spacing w:line="360" w:lineRule="auto"/>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①优秀</w:t>
            </w:r>
            <w:r>
              <w:rPr>
                <w:rFonts w:hint="eastAsia" w:cs="Times New Roman"/>
                <w:color w:val="auto"/>
                <w:sz w:val="18"/>
                <w:szCs w:val="18"/>
                <w:highlight w:val="none"/>
                <w:lang w:val="en-US" w:eastAsia="zh-CN"/>
              </w:rPr>
              <w:t>20</w:t>
            </w:r>
            <w:r>
              <w:rPr>
                <w:rFonts w:hint="eastAsia" w:ascii="宋体" w:hAnsi="宋体" w:eastAsia="宋体" w:cs="Times New Roman"/>
                <w:color w:val="auto"/>
                <w:sz w:val="18"/>
                <w:szCs w:val="18"/>
                <w:highlight w:val="none"/>
              </w:rPr>
              <w:t>分：配备固定的项目负责人且该负责人具有高度责任心、良好的组织协调能力和专业的业务水平；</w:t>
            </w:r>
          </w:p>
          <w:p w14:paraId="0395530C">
            <w:pPr>
              <w:spacing w:line="360" w:lineRule="auto"/>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②良好</w:t>
            </w:r>
            <w:r>
              <w:rPr>
                <w:rFonts w:hint="eastAsia" w:cs="Times New Roman"/>
                <w:color w:val="auto"/>
                <w:sz w:val="18"/>
                <w:szCs w:val="18"/>
                <w:highlight w:val="none"/>
                <w:lang w:val="en-US" w:eastAsia="zh-CN"/>
              </w:rPr>
              <w:t>15</w:t>
            </w:r>
            <w:r>
              <w:rPr>
                <w:rFonts w:hint="eastAsia" w:ascii="宋体" w:hAnsi="宋体" w:eastAsia="宋体" w:cs="Times New Roman"/>
                <w:color w:val="auto"/>
                <w:sz w:val="18"/>
                <w:szCs w:val="18"/>
                <w:highlight w:val="none"/>
              </w:rPr>
              <w:t>分：配备固定的项目负责人且该负责人具有高度责任心、比较良好的组织协调能力和比较专业的业务水平；</w:t>
            </w:r>
          </w:p>
          <w:p w14:paraId="5D54C347">
            <w:pPr>
              <w:spacing w:line="360" w:lineRule="auto"/>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③合格</w:t>
            </w:r>
            <w:r>
              <w:rPr>
                <w:rFonts w:hint="eastAsia" w:cs="Times New Roman"/>
                <w:color w:val="auto"/>
                <w:sz w:val="18"/>
                <w:szCs w:val="18"/>
                <w:highlight w:val="none"/>
                <w:lang w:val="en-US" w:eastAsia="zh-CN"/>
              </w:rPr>
              <w:t>8</w:t>
            </w:r>
            <w:r>
              <w:rPr>
                <w:rFonts w:hint="eastAsia" w:ascii="宋体" w:hAnsi="宋体" w:eastAsia="宋体" w:cs="Times New Roman"/>
                <w:color w:val="auto"/>
                <w:sz w:val="18"/>
                <w:szCs w:val="18"/>
                <w:highlight w:val="none"/>
              </w:rPr>
              <w:t>分：配备固定的项目负责人且该负责人具有高度责任心、基本良好的组织协调能力和基本专业的业务水平；</w:t>
            </w:r>
          </w:p>
          <w:p w14:paraId="67C8CE76">
            <w:pPr>
              <w:spacing w:line="360" w:lineRule="auto"/>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④不合格0分：达不到本项“合格”标准的，如配备的项目负责人不固定或与投标文件不一致，或责任心、组织协调能力、业务水平不足；</w:t>
            </w:r>
          </w:p>
        </w:tc>
        <w:tc>
          <w:tcPr>
            <w:tcW w:w="675" w:type="dxa"/>
            <w:vAlign w:val="center"/>
          </w:tcPr>
          <w:p w14:paraId="0837252B">
            <w:pPr>
              <w:spacing w:line="320" w:lineRule="exact"/>
              <w:rPr>
                <w:rFonts w:ascii="Times New Roman" w:hAnsi="Times New Roman" w:eastAsia="宋体" w:cs="Times New Roman"/>
                <w:color w:val="auto"/>
                <w:sz w:val="18"/>
                <w:szCs w:val="18"/>
                <w:highlight w:val="none"/>
              </w:rPr>
            </w:pPr>
          </w:p>
        </w:tc>
      </w:tr>
      <w:tr w14:paraId="4E8E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0E61785">
            <w:pPr>
              <w:spacing w:line="320" w:lineRule="exact"/>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2</w:t>
            </w:r>
          </w:p>
        </w:tc>
        <w:tc>
          <w:tcPr>
            <w:tcW w:w="1440" w:type="dxa"/>
            <w:vAlign w:val="center"/>
          </w:tcPr>
          <w:p w14:paraId="14599C82">
            <w:pPr>
              <w:spacing w:line="276"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专业人员配置要求</w:t>
            </w:r>
          </w:p>
        </w:tc>
        <w:tc>
          <w:tcPr>
            <w:tcW w:w="720" w:type="dxa"/>
            <w:vAlign w:val="center"/>
          </w:tcPr>
          <w:p w14:paraId="256AD0EB">
            <w:pPr>
              <w:spacing w:line="360" w:lineRule="auto"/>
              <w:jc w:val="center"/>
              <w:rPr>
                <w:rFonts w:hint="default" w:ascii="宋体" w:hAnsi="宋体"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10</w:t>
            </w:r>
          </w:p>
        </w:tc>
        <w:tc>
          <w:tcPr>
            <w:tcW w:w="6165" w:type="dxa"/>
            <w:vAlign w:val="center"/>
          </w:tcPr>
          <w:p w14:paraId="152C7456">
            <w:pPr>
              <w:spacing w:line="276" w:lineRule="auto"/>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①优秀</w:t>
            </w:r>
            <w:r>
              <w:rPr>
                <w:rFonts w:hint="eastAsia" w:cs="Times New Roman"/>
                <w:color w:val="auto"/>
                <w:sz w:val="18"/>
                <w:szCs w:val="18"/>
                <w:highlight w:val="none"/>
                <w:lang w:val="en-US" w:eastAsia="zh-CN"/>
              </w:rPr>
              <w:t>10</w:t>
            </w:r>
            <w:r>
              <w:rPr>
                <w:rFonts w:hint="eastAsia" w:ascii="宋体" w:hAnsi="宋体" w:eastAsia="宋体" w:cs="Times New Roman"/>
                <w:color w:val="auto"/>
                <w:sz w:val="18"/>
                <w:szCs w:val="18"/>
                <w:highlight w:val="none"/>
              </w:rPr>
              <w:t>分：配备的</w:t>
            </w:r>
            <w:r>
              <w:rPr>
                <w:rFonts w:hint="eastAsia" w:cs="Times New Roman"/>
                <w:color w:val="auto"/>
                <w:sz w:val="18"/>
                <w:szCs w:val="18"/>
                <w:highlight w:val="none"/>
                <w:lang w:val="en-US" w:eastAsia="zh-CN"/>
              </w:rPr>
              <w:t>视频拍摄</w:t>
            </w:r>
            <w:r>
              <w:rPr>
                <w:rFonts w:hint="eastAsia" w:ascii="宋体" w:hAnsi="宋体" w:eastAsia="宋体" w:cs="Times New Roman"/>
                <w:color w:val="auto"/>
                <w:sz w:val="18"/>
                <w:szCs w:val="18"/>
                <w:highlight w:val="none"/>
              </w:rPr>
              <w:t>人员组织架构合理、人员固定、分工明确、工作高效；</w:t>
            </w:r>
          </w:p>
          <w:p w14:paraId="0E3E1510">
            <w:pPr>
              <w:spacing w:line="276" w:lineRule="auto"/>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②良好</w:t>
            </w:r>
            <w:r>
              <w:rPr>
                <w:rFonts w:hint="eastAsia" w:cs="Times New Roman"/>
                <w:color w:val="auto"/>
                <w:sz w:val="18"/>
                <w:szCs w:val="18"/>
                <w:highlight w:val="none"/>
                <w:lang w:val="en-US" w:eastAsia="zh-CN"/>
              </w:rPr>
              <w:t>7</w:t>
            </w:r>
            <w:r>
              <w:rPr>
                <w:rFonts w:hint="eastAsia" w:ascii="宋体" w:hAnsi="宋体" w:eastAsia="宋体" w:cs="Times New Roman"/>
                <w:color w:val="auto"/>
                <w:sz w:val="18"/>
                <w:szCs w:val="18"/>
                <w:highlight w:val="none"/>
              </w:rPr>
              <w:t>分：配备的</w:t>
            </w:r>
            <w:r>
              <w:rPr>
                <w:rFonts w:hint="eastAsia" w:cs="Times New Roman"/>
                <w:color w:val="auto"/>
                <w:sz w:val="18"/>
                <w:szCs w:val="18"/>
                <w:highlight w:val="none"/>
                <w:lang w:val="en-US" w:eastAsia="zh-CN"/>
              </w:rPr>
              <w:t>视频拍摄</w:t>
            </w:r>
            <w:r>
              <w:rPr>
                <w:rFonts w:hint="eastAsia" w:ascii="宋体" w:hAnsi="宋体" w:eastAsia="宋体" w:cs="Times New Roman"/>
                <w:color w:val="auto"/>
                <w:sz w:val="18"/>
                <w:szCs w:val="18"/>
                <w:highlight w:val="none"/>
              </w:rPr>
              <w:t>人员满足合同及项目要求要求且人员比较稳定；</w:t>
            </w:r>
          </w:p>
          <w:p w14:paraId="32FD34AA">
            <w:pPr>
              <w:spacing w:line="276" w:lineRule="auto"/>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③合格</w:t>
            </w:r>
            <w:r>
              <w:rPr>
                <w:rFonts w:hint="eastAsia" w:cs="Times New Roman"/>
                <w:color w:val="auto"/>
                <w:sz w:val="18"/>
                <w:szCs w:val="18"/>
                <w:highlight w:val="none"/>
                <w:lang w:val="en-US" w:eastAsia="zh-CN"/>
              </w:rPr>
              <w:t>3</w:t>
            </w:r>
            <w:r>
              <w:rPr>
                <w:rFonts w:hint="eastAsia" w:ascii="宋体" w:hAnsi="宋体" w:eastAsia="宋体" w:cs="Times New Roman"/>
                <w:color w:val="auto"/>
                <w:sz w:val="18"/>
                <w:szCs w:val="18"/>
                <w:highlight w:val="none"/>
              </w:rPr>
              <w:t>分：配备的</w:t>
            </w:r>
            <w:r>
              <w:rPr>
                <w:rFonts w:hint="eastAsia" w:cs="Times New Roman"/>
                <w:color w:val="auto"/>
                <w:sz w:val="18"/>
                <w:szCs w:val="18"/>
                <w:highlight w:val="none"/>
                <w:lang w:val="en-US" w:eastAsia="zh-CN"/>
              </w:rPr>
              <w:t>视频拍摄</w:t>
            </w:r>
            <w:r>
              <w:rPr>
                <w:rFonts w:hint="eastAsia" w:ascii="宋体" w:hAnsi="宋体" w:eastAsia="宋体" w:cs="Times New Roman"/>
                <w:color w:val="auto"/>
                <w:sz w:val="18"/>
                <w:szCs w:val="18"/>
                <w:highlight w:val="none"/>
              </w:rPr>
              <w:t>人员满足合同及项目要求要求且人员基本稳定；</w:t>
            </w:r>
          </w:p>
          <w:p w14:paraId="7A6237EC">
            <w:pPr>
              <w:spacing w:line="276" w:lineRule="auto"/>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④不合格0分：配备的</w:t>
            </w:r>
            <w:r>
              <w:rPr>
                <w:rFonts w:hint="eastAsia" w:cs="Times New Roman"/>
                <w:color w:val="auto"/>
                <w:sz w:val="18"/>
                <w:szCs w:val="18"/>
                <w:highlight w:val="none"/>
                <w:lang w:val="en-US" w:eastAsia="zh-CN"/>
              </w:rPr>
              <w:t>视频拍摄</w:t>
            </w:r>
            <w:r>
              <w:rPr>
                <w:rFonts w:hint="eastAsia" w:ascii="宋体" w:hAnsi="宋体" w:eastAsia="宋体" w:cs="Times New Roman"/>
                <w:color w:val="auto"/>
                <w:sz w:val="18"/>
                <w:szCs w:val="18"/>
                <w:highlight w:val="none"/>
              </w:rPr>
              <w:t xml:space="preserve">人员不满足合同及项目要求或各人员不够稳定； </w:t>
            </w:r>
          </w:p>
        </w:tc>
        <w:tc>
          <w:tcPr>
            <w:tcW w:w="675" w:type="dxa"/>
            <w:vAlign w:val="center"/>
          </w:tcPr>
          <w:p w14:paraId="7B93604B">
            <w:pPr>
              <w:spacing w:line="320" w:lineRule="exact"/>
              <w:rPr>
                <w:rFonts w:ascii="仿宋_GB2312" w:hAnsi="Times New Roman" w:eastAsia="仿宋_GB2312" w:cs="Times New Roman"/>
                <w:color w:val="auto"/>
                <w:sz w:val="18"/>
                <w:szCs w:val="18"/>
                <w:highlight w:val="none"/>
              </w:rPr>
            </w:pPr>
          </w:p>
        </w:tc>
      </w:tr>
      <w:tr w14:paraId="5D7B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00E2F6F">
            <w:pPr>
              <w:rPr>
                <w:rFonts w:hint="default" w:cs="Times New Roman"/>
                <w:color w:val="auto"/>
                <w:szCs w:val="20"/>
                <w:highlight w:val="none"/>
                <w:lang w:val="en-US" w:eastAsia="zh-CN"/>
              </w:rPr>
            </w:pPr>
            <w:r>
              <w:rPr>
                <w:rFonts w:hint="eastAsia" w:cs="Times New Roman"/>
                <w:color w:val="auto"/>
                <w:szCs w:val="20"/>
                <w:highlight w:val="none"/>
                <w:lang w:val="en-US" w:eastAsia="zh-CN"/>
              </w:rPr>
              <w:t>二</w:t>
            </w:r>
          </w:p>
        </w:tc>
        <w:tc>
          <w:tcPr>
            <w:tcW w:w="1440" w:type="dxa"/>
            <w:vAlign w:val="center"/>
          </w:tcPr>
          <w:p w14:paraId="4F5D0A15">
            <w:pPr>
              <w:spacing w:line="276" w:lineRule="auto"/>
              <w:jc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履约质量</w:t>
            </w:r>
          </w:p>
        </w:tc>
        <w:tc>
          <w:tcPr>
            <w:tcW w:w="720" w:type="dxa"/>
            <w:vAlign w:val="center"/>
          </w:tcPr>
          <w:p w14:paraId="09DEDE37">
            <w:pPr>
              <w:jc w:val="center"/>
              <w:rPr>
                <w:rFonts w:hint="default" w:cs="Times New Roman"/>
                <w:color w:val="auto"/>
                <w:szCs w:val="20"/>
                <w:highlight w:val="none"/>
                <w:lang w:val="en-US" w:eastAsia="zh-CN"/>
              </w:rPr>
            </w:pPr>
            <w:r>
              <w:rPr>
                <w:rFonts w:hint="eastAsia" w:cs="Times New Roman"/>
                <w:color w:val="auto"/>
                <w:sz w:val="18"/>
                <w:szCs w:val="18"/>
                <w:highlight w:val="none"/>
                <w:lang w:val="en-US" w:eastAsia="zh-CN"/>
              </w:rPr>
              <w:t>50</w:t>
            </w:r>
          </w:p>
        </w:tc>
        <w:tc>
          <w:tcPr>
            <w:tcW w:w="6165" w:type="dxa"/>
            <w:vAlign w:val="center"/>
          </w:tcPr>
          <w:p w14:paraId="6A202AB4">
            <w:pPr>
              <w:spacing w:line="276" w:lineRule="auto"/>
              <w:rPr>
                <w:rFonts w:hint="eastAsia" w:ascii="宋体" w:hAnsi="宋体" w:eastAsia="宋体" w:cs="Times New Roman"/>
                <w:color w:val="auto"/>
                <w:sz w:val="18"/>
                <w:szCs w:val="18"/>
                <w:highlight w:val="none"/>
              </w:rPr>
            </w:pPr>
          </w:p>
        </w:tc>
        <w:tc>
          <w:tcPr>
            <w:tcW w:w="675" w:type="dxa"/>
            <w:vAlign w:val="center"/>
          </w:tcPr>
          <w:p w14:paraId="2A396EE2">
            <w:pPr>
              <w:rPr>
                <w:rFonts w:ascii="仿宋_GB2312" w:hAnsi="Times New Roman" w:eastAsia="仿宋_GB2312" w:cs="Times New Roman"/>
                <w:color w:val="auto"/>
                <w:sz w:val="18"/>
                <w:szCs w:val="18"/>
                <w:highlight w:val="none"/>
              </w:rPr>
            </w:pPr>
          </w:p>
        </w:tc>
      </w:tr>
      <w:tr w14:paraId="3F39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2C68093">
            <w:pPr>
              <w:rPr>
                <w:rFonts w:hint="default" w:cs="Times New Roman"/>
                <w:color w:val="auto"/>
                <w:szCs w:val="20"/>
                <w:highlight w:val="none"/>
                <w:lang w:val="en-US" w:eastAsia="zh-CN"/>
              </w:rPr>
            </w:pPr>
            <w:r>
              <w:rPr>
                <w:rFonts w:hint="eastAsia" w:cs="Times New Roman"/>
                <w:color w:val="auto"/>
                <w:szCs w:val="20"/>
                <w:highlight w:val="none"/>
                <w:lang w:val="en-US" w:eastAsia="zh-CN"/>
              </w:rPr>
              <w:t>3</w:t>
            </w:r>
          </w:p>
        </w:tc>
        <w:tc>
          <w:tcPr>
            <w:tcW w:w="1440" w:type="dxa"/>
            <w:vAlign w:val="center"/>
          </w:tcPr>
          <w:p w14:paraId="127915EE">
            <w:pPr>
              <w:spacing w:line="276" w:lineRule="auto"/>
              <w:jc w:val="center"/>
              <w:rPr>
                <w:rFonts w:hint="eastAsia" w:cs="Times New Roman"/>
                <w:color w:val="auto"/>
                <w:sz w:val="18"/>
                <w:szCs w:val="18"/>
                <w:highlight w:val="none"/>
                <w:lang w:val="en-US" w:eastAsia="zh-CN"/>
              </w:rPr>
            </w:pPr>
            <w:r>
              <w:rPr>
                <w:rFonts w:hint="eastAsia" w:cs="Times New Roman"/>
                <w:color w:val="auto"/>
                <w:sz w:val="18"/>
                <w:szCs w:val="18"/>
                <w:highlight w:val="none"/>
              </w:rPr>
              <w:t>实施方案（工作措施、工作方法、工作手段、工作流程）</w:t>
            </w:r>
          </w:p>
        </w:tc>
        <w:tc>
          <w:tcPr>
            <w:tcW w:w="720" w:type="dxa"/>
            <w:vAlign w:val="center"/>
          </w:tcPr>
          <w:p w14:paraId="7F1DC7BE">
            <w:pPr>
              <w:jc w:val="center"/>
              <w:rPr>
                <w:rFonts w:hint="default" w:cs="Times New Roman"/>
                <w:color w:val="auto"/>
                <w:szCs w:val="20"/>
                <w:highlight w:val="none"/>
                <w:lang w:val="en-US" w:eastAsia="zh-CN"/>
              </w:rPr>
            </w:pPr>
            <w:r>
              <w:rPr>
                <w:rFonts w:hint="eastAsia" w:cs="Times New Roman"/>
                <w:color w:val="auto"/>
                <w:sz w:val="18"/>
                <w:szCs w:val="18"/>
                <w:highlight w:val="none"/>
                <w:lang w:val="en-US" w:eastAsia="zh-CN"/>
              </w:rPr>
              <w:t>20</w:t>
            </w:r>
          </w:p>
        </w:tc>
        <w:tc>
          <w:tcPr>
            <w:tcW w:w="6165" w:type="dxa"/>
            <w:vAlign w:val="center"/>
          </w:tcPr>
          <w:p w14:paraId="7E0BC30B">
            <w:pPr>
              <w:spacing w:line="276" w:lineRule="auto"/>
              <w:rPr>
                <w:rFonts w:hint="eastAsia" w:cs="Times New Roman"/>
                <w:color w:val="auto"/>
                <w:sz w:val="18"/>
                <w:szCs w:val="18"/>
                <w:highlight w:val="none"/>
              </w:rPr>
            </w:pPr>
            <w:r>
              <w:rPr>
                <w:rFonts w:hint="eastAsia" w:ascii="宋体" w:hAnsi="宋体" w:eastAsia="宋体" w:cs="Times New Roman"/>
                <w:color w:val="auto"/>
                <w:sz w:val="18"/>
                <w:szCs w:val="18"/>
                <w:highlight w:val="none"/>
              </w:rPr>
              <w:t>①优秀</w:t>
            </w:r>
            <w:r>
              <w:rPr>
                <w:rFonts w:hint="eastAsia" w:cs="Times New Roman"/>
                <w:color w:val="auto"/>
                <w:sz w:val="18"/>
                <w:szCs w:val="18"/>
                <w:highlight w:val="none"/>
                <w:lang w:val="en-US" w:eastAsia="zh-CN"/>
              </w:rPr>
              <w:t>20</w:t>
            </w:r>
            <w:r>
              <w:rPr>
                <w:rFonts w:hint="eastAsia" w:ascii="宋体" w:hAnsi="宋体" w:eastAsia="宋体" w:cs="Times New Roman"/>
                <w:color w:val="auto"/>
                <w:sz w:val="18"/>
                <w:szCs w:val="18"/>
                <w:highlight w:val="none"/>
              </w:rPr>
              <w:t>分</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实施</w:t>
            </w:r>
            <w:r>
              <w:rPr>
                <w:rFonts w:hint="eastAsia" w:cs="Times New Roman"/>
                <w:color w:val="auto"/>
                <w:sz w:val="18"/>
                <w:szCs w:val="18"/>
                <w:highlight w:val="none"/>
              </w:rPr>
              <w:t>的项目服务方案中，工作措施、工作方法、工作手段、工作流程全面、科学、合理</w:t>
            </w:r>
            <w:r>
              <w:rPr>
                <w:rFonts w:hint="eastAsia" w:cs="Times New Roman"/>
                <w:color w:val="auto"/>
                <w:sz w:val="18"/>
                <w:szCs w:val="18"/>
                <w:highlight w:val="none"/>
                <w:lang w:eastAsia="zh-CN"/>
              </w:rPr>
              <w:t>；</w:t>
            </w:r>
          </w:p>
          <w:p w14:paraId="6C9316CB">
            <w:pPr>
              <w:spacing w:line="276" w:lineRule="auto"/>
              <w:rPr>
                <w:rFonts w:hint="eastAsia" w:cs="Times New Roman"/>
                <w:color w:val="auto"/>
                <w:sz w:val="18"/>
                <w:szCs w:val="18"/>
                <w:highlight w:val="none"/>
              </w:rPr>
            </w:pPr>
            <w:r>
              <w:rPr>
                <w:rFonts w:hint="eastAsia" w:ascii="宋体" w:hAnsi="宋体" w:eastAsia="宋体" w:cs="Times New Roman"/>
                <w:color w:val="auto"/>
                <w:sz w:val="18"/>
                <w:szCs w:val="18"/>
                <w:highlight w:val="none"/>
              </w:rPr>
              <w:t>②良好</w:t>
            </w:r>
            <w:r>
              <w:rPr>
                <w:rFonts w:hint="eastAsia" w:cs="Times New Roman"/>
                <w:color w:val="auto"/>
                <w:sz w:val="18"/>
                <w:szCs w:val="18"/>
                <w:highlight w:val="none"/>
                <w:lang w:val="en-US" w:eastAsia="zh-CN"/>
              </w:rPr>
              <w:t>15</w:t>
            </w:r>
            <w:r>
              <w:rPr>
                <w:rFonts w:hint="eastAsia" w:ascii="宋体" w:hAnsi="宋体" w:eastAsia="宋体" w:cs="Times New Roman"/>
                <w:color w:val="auto"/>
                <w:sz w:val="18"/>
                <w:szCs w:val="18"/>
                <w:highlight w:val="none"/>
              </w:rPr>
              <w:t>分</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实施</w:t>
            </w:r>
            <w:r>
              <w:rPr>
                <w:rFonts w:hint="eastAsia" w:cs="Times New Roman"/>
                <w:color w:val="auto"/>
                <w:sz w:val="18"/>
                <w:szCs w:val="18"/>
                <w:highlight w:val="none"/>
              </w:rPr>
              <w:t>的项目服务方案中，工作措施、工作方法、工作手段、工作流程比较全面、科学、合理</w:t>
            </w:r>
            <w:r>
              <w:rPr>
                <w:rFonts w:hint="eastAsia" w:cs="Times New Roman"/>
                <w:color w:val="auto"/>
                <w:sz w:val="18"/>
                <w:szCs w:val="18"/>
                <w:highlight w:val="none"/>
                <w:lang w:eastAsia="zh-CN"/>
              </w:rPr>
              <w:t>；</w:t>
            </w:r>
          </w:p>
          <w:p w14:paraId="5D65778F">
            <w:pPr>
              <w:spacing w:line="276" w:lineRule="auto"/>
              <w:rPr>
                <w:rFonts w:hint="eastAsia" w:cs="Times New Roman"/>
                <w:color w:val="auto"/>
                <w:sz w:val="18"/>
                <w:szCs w:val="18"/>
                <w:highlight w:val="none"/>
              </w:rPr>
            </w:pPr>
            <w:r>
              <w:rPr>
                <w:rFonts w:hint="eastAsia" w:ascii="宋体" w:hAnsi="宋体" w:eastAsia="宋体" w:cs="Times New Roman"/>
                <w:color w:val="auto"/>
                <w:sz w:val="18"/>
                <w:szCs w:val="18"/>
                <w:highlight w:val="none"/>
              </w:rPr>
              <w:t>③合格</w:t>
            </w:r>
            <w:r>
              <w:rPr>
                <w:rFonts w:hint="eastAsia" w:cs="Times New Roman"/>
                <w:color w:val="auto"/>
                <w:sz w:val="18"/>
                <w:szCs w:val="18"/>
                <w:highlight w:val="none"/>
                <w:lang w:val="en-US" w:eastAsia="zh-CN"/>
              </w:rPr>
              <w:t>7</w:t>
            </w:r>
            <w:r>
              <w:rPr>
                <w:rFonts w:hint="eastAsia" w:ascii="宋体" w:hAnsi="宋体" w:eastAsia="宋体" w:cs="Times New Roman"/>
                <w:color w:val="auto"/>
                <w:sz w:val="18"/>
                <w:szCs w:val="18"/>
                <w:highlight w:val="none"/>
              </w:rPr>
              <w:t>分</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实施</w:t>
            </w:r>
            <w:r>
              <w:rPr>
                <w:rFonts w:hint="eastAsia" w:cs="Times New Roman"/>
                <w:color w:val="auto"/>
                <w:sz w:val="18"/>
                <w:szCs w:val="18"/>
                <w:highlight w:val="none"/>
              </w:rPr>
              <w:t>的项目服务方案中，工作措施、工作方法、工作手段、工作流程一般；</w:t>
            </w:r>
          </w:p>
          <w:p w14:paraId="6CBCE350">
            <w:pPr>
              <w:spacing w:line="276" w:lineRule="auto"/>
              <w:rPr>
                <w:rFonts w:hint="eastAsia" w:ascii="宋体" w:hAnsi="宋体" w:eastAsia="宋体" w:cs="Times New Roman"/>
                <w:color w:val="auto"/>
                <w:sz w:val="18"/>
                <w:szCs w:val="18"/>
                <w:highlight w:val="none"/>
                <w:lang w:eastAsia="zh-CN"/>
              </w:rPr>
            </w:pPr>
            <w:r>
              <w:rPr>
                <w:rFonts w:hint="eastAsia" w:ascii="宋体" w:hAnsi="宋体" w:eastAsia="宋体" w:cs="Times New Roman"/>
                <w:color w:val="auto"/>
                <w:sz w:val="18"/>
                <w:szCs w:val="18"/>
                <w:highlight w:val="none"/>
              </w:rPr>
              <w:t>④不合格0分</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实施</w:t>
            </w:r>
            <w:r>
              <w:rPr>
                <w:rFonts w:hint="eastAsia" w:cs="Times New Roman"/>
                <w:color w:val="auto"/>
                <w:sz w:val="18"/>
                <w:szCs w:val="18"/>
                <w:highlight w:val="none"/>
              </w:rPr>
              <w:t>的项目服务方案中，工作措施、工作方法、工作手段、工作流程</w:t>
            </w:r>
            <w:r>
              <w:rPr>
                <w:rFonts w:hint="eastAsia" w:cs="Times New Roman"/>
                <w:color w:val="auto"/>
                <w:sz w:val="18"/>
                <w:szCs w:val="18"/>
                <w:highlight w:val="none"/>
                <w:lang w:val="en-US" w:eastAsia="zh-CN"/>
              </w:rPr>
              <w:t>较</w:t>
            </w:r>
            <w:r>
              <w:rPr>
                <w:rFonts w:hint="eastAsia" w:cs="Times New Roman"/>
                <w:color w:val="auto"/>
                <w:sz w:val="18"/>
                <w:szCs w:val="18"/>
                <w:highlight w:val="none"/>
              </w:rPr>
              <w:t>差</w:t>
            </w:r>
            <w:r>
              <w:rPr>
                <w:rFonts w:hint="eastAsia" w:cs="Times New Roman"/>
                <w:color w:val="auto"/>
                <w:sz w:val="18"/>
                <w:szCs w:val="18"/>
                <w:highlight w:val="none"/>
                <w:lang w:eastAsia="zh-CN"/>
              </w:rPr>
              <w:t>；</w:t>
            </w:r>
          </w:p>
        </w:tc>
        <w:tc>
          <w:tcPr>
            <w:tcW w:w="675" w:type="dxa"/>
            <w:vAlign w:val="center"/>
          </w:tcPr>
          <w:p w14:paraId="1FF26EE8">
            <w:pPr>
              <w:rPr>
                <w:rFonts w:ascii="仿宋_GB2312" w:hAnsi="Times New Roman" w:eastAsia="仿宋_GB2312" w:cs="Times New Roman"/>
                <w:color w:val="auto"/>
                <w:sz w:val="18"/>
                <w:szCs w:val="18"/>
                <w:highlight w:val="none"/>
              </w:rPr>
            </w:pPr>
          </w:p>
        </w:tc>
      </w:tr>
      <w:tr w14:paraId="1127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210A6A4">
            <w:pPr>
              <w:rPr>
                <w:rFonts w:hint="default" w:cs="Times New Roman"/>
                <w:color w:val="auto"/>
                <w:szCs w:val="20"/>
                <w:highlight w:val="none"/>
                <w:lang w:val="en-US" w:eastAsia="zh-CN"/>
              </w:rPr>
            </w:pPr>
            <w:r>
              <w:rPr>
                <w:rFonts w:hint="eastAsia" w:cs="Times New Roman"/>
                <w:color w:val="auto"/>
                <w:szCs w:val="20"/>
                <w:highlight w:val="none"/>
                <w:lang w:val="en-US" w:eastAsia="zh-CN"/>
              </w:rPr>
              <w:t>4</w:t>
            </w:r>
          </w:p>
        </w:tc>
        <w:tc>
          <w:tcPr>
            <w:tcW w:w="1440" w:type="dxa"/>
            <w:vAlign w:val="center"/>
          </w:tcPr>
          <w:p w14:paraId="60D1AC29">
            <w:pPr>
              <w:spacing w:line="276" w:lineRule="auto"/>
              <w:jc w:val="center"/>
              <w:rPr>
                <w:rFonts w:hint="eastAsia" w:cs="Times New Roman"/>
                <w:color w:val="auto"/>
                <w:sz w:val="18"/>
                <w:szCs w:val="18"/>
                <w:highlight w:val="none"/>
              </w:rPr>
            </w:pPr>
            <w:r>
              <w:rPr>
                <w:rFonts w:hint="eastAsia" w:ascii="宋体" w:hAnsi="宋体" w:cs="Times New Roman"/>
                <w:color w:val="auto"/>
                <w:sz w:val="18"/>
                <w:szCs w:val="18"/>
                <w:highlight w:val="none"/>
              </w:rPr>
              <w:t>质量（完成时间、</w:t>
            </w:r>
            <w:r>
              <w:rPr>
                <w:rFonts w:hint="eastAsia" w:cs="Times New Roman"/>
                <w:color w:val="auto"/>
                <w:sz w:val="18"/>
                <w:szCs w:val="18"/>
                <w:highlight w:val="none"/>
                <w:lang w:eastAsia="zh-CN"/>
              </w:rPr>
              <w:t>专业程度、实施效果</w:t>
            </w:r>
            <w:r>
              <w:rPr>
                <w:rFonts w:hint="eastAsia" w:ascii="宋体" w:hAnsi="宋体" w:cs="Times New Roman"/>
                <w:color w:val="auto"/>
                <w:sz w:val="18"/>
                <w:szCs w:val="18"/>
                <w:highlight w:val="none"/>
              </w:rPr>
              <w:t>）保障措施及方案</w:t>
            </w:r>
          </w:p>
        </w:tc>
        <w:tc>
          <w:tcPr>
            <w:tcW w:w="720" w:type="dxa"/>
            <w:vAlign w:val="center"/>
          </w:tcPr>
          <w:p w14:paraId="5BF439E7">
            <w:pPr>
              <w:jc w:val="center"/>
              <w:rPr>
                <w:rFonts w:hint="default" w:cs="Times New Roman"/>
                <w:color w:val="auto"/>
                <w:szCs w:val="20"/>
                <w:highlight w:val="none"/>
                <w:lang w:val="en-US" w:eastAsia="zh-CN"/>
              </w:rPr>
            </w:pPr>
            <w:r>
              <w:rPr>
                <w:rFonts w:hint="eastAsia" w:cs="Times New Roman"/>
                <w:color w:val="auto"/>
                <w:sz w:val="18"/>
                <w:szCs w:val="18"/>
                <w:highlight w:val="none"/>
                <w:lang w:val="en-US" w:eastAsia="zh-CN"/>
              </w:rPr>
              <w:t>20</w:t>
            </w:r>
          </w:p>
        </w:tc>
        <w:tc>
          <w:tcPr>
            <w:tcW w:w="6165" w:type="dxa"/>
            <w:vAlign w:val="center"/>
          </w:tcPr>
          <w:p w14:paraId="45B81DE0">
            <w:pPr>
              <w:spacing w:line="276" w:lineRule="auto"/>
              <w:rPr>
                <w:rFonts w:hint="eastAsia" w:cs="Times New Roman"/>
                <w:color w:val="auto"/>
                <w:sz w:val="18"/>
                <w:szCs w:val="18"/>
                <w:highlight w:val="none"/>
              </w:rPr>
            </w:pPr>
            <w:r>
              <w:rPr>
                <w:rFonts w:hint="eastAsia" w:ascii="宋体" w:hAnsi="宋体" w:eastAsia="宋体" w:cs="Times New Roman"/>
                <w:color w:val="auto"/>
                <w:sz w:val="18"/>
                <w:szCs w:val="18"/>
                <w:highlight w:val="none"/>
              </w:rPr>
              <w:t>①优秀</w:t>
            </w:r>
            <w:r>
              <w:rPr>
                <w:rFonts w:hint="eastAsia" w:cs="Times New Roman"/>
                <w:color w:val="auto"/>
                <w:sz w:val="18"/>
                <w:szCs w:val="18"/>
                <w:highlight w:val="none"/>
                <w:lang w:val="en-US" w:eastAsia="zh-CN"/>
              </w:rPr>
              <w:t>20</w:t>
            </w:r>
            <w:r>
              <w:rPr>
                <w:rFonts w:hint="eastAsia" w:ascii="宋体" w:hAnsi="宋体" w:eastAsia="宋体" w:cs="Times New Roman"/>
                <w:color w:val="auto"/>
                <w:sz w:val="18"/>
                <w:szCs w:val="18"/>
                <w:highlight w:val="none"/>
              </w:rPr>
              <w:t>分</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按时或提前完成工程文件，工程文件在专业程度、实施效果方面表现优秀</w:t>
            </w:r>
            <w:r>
              <w:rPr>
                <w:rFonts w:hint="eastAsia" w:cs="Times New Roman"/>
                <w:color w:val="auto"/>
                <w:sz w:val="18"/>
                <w:szCs w:val="18"/>
                <w:highlight w:val="none"/>
                <w:lang w:eastAsia="zh-CN"/>
              </w:rPr>
              <w:t>；</w:t>
            </w:r>
          </w:p>
          <w:p w14:paraId="7B9628E8">
            <w:pPr>
              <w:spacing w:line="276" w:lineRule="auto"/>
              <w:rPr>
                <w:rFonts w:hint="eastAsia" w:cs="Times New Roman"/>
                <w:color w:val="auto"/>
                <w:sz w:val="18"/>
                <w:szCs w:val="18"/>
                <w:highlight w:val="none"/>
              </w:rPr>
            </w:pPr>
            <w:r>
              <w:rPr>
                <w:rFonts w:hint="eastAsia" w:ascii="宋体" w:hAnsi="宋体" w:eastAsia="宋体" w:cs="Times New Roman"/>
                <w:color w:val="auto"/>
                <w:sz w:val="18"/>
                <w:szCs w:val="18"/>
                <w:highlight w:val="none"/>
              </w:rPr>
              <w:t>②良好</w:t>
            </w:r>
            <w:r>
              <w:rPr>
                <w:rFonts w:hint="eastAsia" w:cs="Times New Roman"/>
                <w:color w:val="auto"/>
                <w:sz w:val="18"/>
                <w:szCs w:val="18"/>
                <w:highlight w:val="none"/>
                <w:lang w:val="en-US" w:eastAsia="zh-CN"/>
              </w:rPr>
              <w:t>15</w:t>
            </w:r>
            <w:r>
              <w:rPr>
                <w:rFonts w:hint="eastAsia" w:ascii="宋体" w:hAnsi="宋体" w:eastAsia="宋体" w:cs="Times New Roman"/>
                <w:color w:val="auto"/>
                <w:sz w:val="18"/>
                <w:szCs w:val="18"/>
                <w:highlight w:val="none"/>
              </w:rPr>
              <w:t>分</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按时完成工程文件，工程文件在专业程度、实施效果方面表现良好</w:t>
            </w:r>
            <w:r>
              <w:rPr>
                <w:rFonts w:hint="eastAsia" w:cs="Times New Roman"/>
                <w:color w:val="auto"/>
                <w:sz w:val="18"/>
                <w:szCs w:val="18"/>
                <w:highlight w:val="none"/>
                <w:lang w:eastAsia="zh-CN"/>
              </w:rPr>
              <w:t>；</w:t>
            </w:r>
          </w:p>
          <w:p w14:paraId="56B46A6F">
            <w:pPr>
              <w:spacing w:line="276" w:lineRule="auto"/>
              <w:rPr>
                <w:rFonts w:hint="eastAsia" w:cs="Times New Roman"/>
                <w:color w:val="auto"/>
                <w:sz w:val="18"/>
                <w:szCs w:val="18"/>
                <w:highlight w:val="none"/>
              </w:rPr>
            </w:pPr>
            <w:r>
              <w:rPr>
                <w:rFonts w:hint="eastAsia" w:ascii="宋体" w:hAnsi="宋体" w:eastAsia="宋体" w:cs="Times New Roman"/>
                <w:color w:val="auto"/>
                <w:sz w:val="18"/>
                <w:szCs w:val="18"/>
                <w:highlight w:val="none"/>
              </w:rPr>
              <w:t>③合格</w:t>
            </w:r>
            <w:r>
              <w:rPr>
                <w:rFonts w:hint="eastAsia" w:cs="Times New Roman"/>
                <w:color w:val="auto"/>
                <w:sz w:val="18"/>
                <w:szCs w:val="18"/>
                <w:highlight w:val="none"/>
                <w:lang w:val="en-US" w:eastAsia="zh-CN"/>
              </w:rPr>
              <w:t>7</w:t>
            </w:r>
            <w:r>
              <w:rPr>
                <w:rFonts w:hint="eastAsia" w:ascii="宋体" w:hAnsi="宋体" w:eastAsia="宋体" w:cs="Times New Roman"/>
                <w:color w:val="auto"/>
                <w:sz w:val="18"/>
                <w:szCs w:val="18"/>
                <w:highlight w:val="none"/>
              </w:rPr>
              <w:t>分</w:t>
            </w:r>
            <w:r>
              <w:rPr>
                <w:rFonts w:hint="eastAsia" w:cs="Times New Roman"/>
                <w:color w:val="auto"/>
                <w:sz w:val="18"/>
                <w:szCs w:val="18"/>
                <w:highlight w:val="none"/>
                <w:lang w:eastAsia="zh-CN"/>
              </w:rPr>
              <w:t>：</w:t>
            </w:r>
            <w:r>
              <w:rPr>
                <w:rFonts w:hint="eastAsia" w:cs="Times New Roman"/>
                <w:color w:val="auto"/>
                <w:sz w:val="18"/>
                <w:szCs w:val="18"/>
                <w:highlight w:val="none"/>
                <w:lang w:val="en-US" w:eastAsia="zh-CN"/>
              </w:rPr>
              <w:t>在规定的时间内完成工程文件，工程文件在专业程度、实施效果方面表现合格</w:t>
            </w:r>
            <w:r>
              <w:rPr>
                <w:rFonts w:hint="eastAsia" w:cs="Times New Roman"/>
                <w:color w:val="auto"/>
                <w:sz w:val="18"/>
                <w:szCs w:val="18"/>
                <w:highlight w:val="none"/>
                <w:lang w:eastAsia="zh-CN"/>
              </w:rPr>
              <w:t>；</w:t>
            </w:r>
            <w:r>
              <w:rPr>
                <w:rFonts w:hint="eastAsia" w:cs="Times New Roman"/>
                <w:color w:val="auto"/>
                <w:sz w:val="18"/>
                <w:szCs w:val="18"/>
                <w:highlight w:val="none"/>
              </w:rPr>
              <w:t>；</w:t>
            </w:r>
          </w:p>
          <w:p w14:paraId="0FFFCA78">
            <w:pPr>
              <w:spacing w:line="276" w:lineRule="auto"/>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④不合格0分</w:t>
            </w:r>
            <w:r>
              <w:rPr>
                <w:rFonts w:hint="eastAsia" w:cs="Times New Roman"/>
                <w:color w:val="auto"/>
                <w:sz w:val="18"/>
                <w:szCs w:val="18"/>
                <w:highlight w:val="none"/>
                <w:lang w:val="en-US" w:eastAsia="zh-CN"/>
              </w:rPr>
              <w:t>:</w:t>
            </w:r>
            <w:r>
              <w:rPr>
                <w:rFonts w:hint="eastAsia" w:ascii="宋体" w:hAnsi="宋体" w:eastAsia="宋体" w:cs="Times New Roman"/>
                <w:color w:val="auto"/>
                <w:sz w:val="18"/>
                <w:szCs w:val="18"/>
                <w:highlight w:val="none"/>
              </w:rPr>
              <w:t>达不到本项“合格”标准的；</w:t>
            </w:r>
          </w:p>
        </w:tc>
        <w:tc>
          <w:tcPr>
            <w:tcW w:w="675" w:type="dxa"/>
            <w:vAlign w:val="center"/>
          </w:tcPr>
          <w:p w14:paraId="390CC160">
            <w:pPr>
              <w:rPr>
                <w:rFonts w:ascii="仿宋_GB2312" w:hAnsi="Times New Roman" w:eastAsia="仿宋_GB2312" w:cs="Times New Roman"/>
                <w:color w:val="auto"/>
                <w:sz w:val="18"/>
                <w:szCs w:val="18"/>
                <w:highlight w:val="none"/>
              </w:rPr>
            </w:pPr>
          </w:p>
        </w:tc>
      </w:tr>
      <w:tr w14:paraId="6505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77FAE3C">
            <w:pPr>
              <w:rPr>
                <w:rFonts w:hint="default" w:cs="Times New Roman"/>
                <w:color w:val="auto"/>
                <w:szCs w:val="20"/>
                <w:highlight w:val="none"/>
                <w:lang w:val="en-US" w:eastAsia="zh-CN"/>
              </w:rPr>
            </w:pPr>
            <w:r>
              <w:rPr>
                <w:rFonts w:hint="eastAsia" w:cs="Times New Roman"/>
                <w:color w:val="auto"/>
                <w:szCs w:val="20"/>
                <w:highlight w:val="none"/>
                <w:lang w:val="en-US" w:eastAsia="zh-CN"/>
              </w:rPr>
              <w:t>5</w:t>
            </w:r>
          </w:p>
        </w:tc>
        <w:tc>
          <w:tcPr>
            <w:tcW w:w="1440" w:type="dxa"/>
            <w:vAlign w:val="center"/>
          </w:tcPr>
          <w:p w14:paraId="0E2F4222">
            <w:pPr>
              <w:spacing w:line="276" w:lineRule="auto"/>
              <w:jc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器材设备</w:t>
            </w:r>
          </w:p>
        </w:tc>
        <w:tc>
          <w:tcPr>
            <w:tcW w:w="720" w:type="dxa"/>
            <w:vAlign w:val="center"/>
          </w:tcPr>
          <w:p w14:paraId="1B707CAA">
            <w:pPr>
              <w:jc w:val="center"/>
              <w:rPr>
                <w:rFonts w:hint="default" w:cs="Times New Roman"/>
                <w:color w:val="auto"/>
                <w:szCs w:val="20"/>
                <w:highlight w:val="none"/>
                <w:lang w:val="en-US" w:eastAsia="zh-CN"/>
              </w:rPr>
            </w:pPr>
            <w:r>
              <w:rPr>
                <w:rFonts w:hint="eastAsia" w:cs="Times New Roman"/>
                <w:color w:val="auto"/>
                <w:sz w:val="18"/>
                <w:szCs w:val="18"/>
                <w:highlight w:val="none"/>
                <w:lang w:val="en-US" w:eastAsia="zh-CN"/>
              </w:rPr>
              <w:t>10</w:t>
            </w:r>
          </w:p>
        </w:tc>
        <w:tc>
          <w:tcPr>
            <w:tcW w:w="6165" w:type="dxa"/>
            <w:vAlign w:val="center"/>
          </w:tcPr>
          <w:p w14:paraId="54B066AD">
            <w:pPr>
              <w:spacing w:line="320" w:lineRule="exact"/>
              <w:jc w:val="lef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①合格</w:t>
            </w:r>
            <w:r>
              <w:rPr>
                <w:rFonts w:hint="eastAsia" w:cs="Times New Roman"/>
                <w:color w:val="auto"/>
                <w:sz w:val="18"/>
                <w:szCs w:val="18"/>
                <w:highlight w:val="none"/>
                <w:lang w:val="en-US" w:eastAsia="zh-CN"/>
              </w:rPr>
              <w:t>10</w:t>
            </w:r>
            <w:r>
              <w:rPr>
                <w:rFonts w:hint="eastAsia" w:ascii="宋体" w:hAnsi="宋体" w:eastAsia="宋体" w:cs="Times New Roman"/>
                <w:color w:val="auto"/>
                <w:sz w:val="18"/>
                <w:szCs w:val="18"/>
                <w:highlight w:val="none"/>
              </w:rPr>
              <w:t>分：</w:t>
            </w:r>
            <w:r>
              <w:rPr>
                <w:rFonts w:hint="eastAsia" w:cs="Times New Roman"/>
                <w:color w:val="auto"/>
                <w:sz w:val="18"/>
                <w:szCs w:val="18"/>
                <w:highlight w:val="none"/>
                <w:lang w:val="en-US" w:eastAsia="zh-CN"/>
              </w:rPr>
              <w:t>器材条件能满足本项目的需求</w:t>
            </w:r>
            <w:r>
              <w:rPr>
                <w:rFonts w:hint="eastAsia" w:ascii="宋体" w:hAnsi="宋体" w:eastAsia="宋体" w:cs="Times New Roman"/>
                <w:color w:val="auto"/>
                <w:sz w:val="18"/>
                <w:szCs w:val="18"/>
                <w:highlight w:val="none"/>
              </w:rPr>
              <w:t>；</w:t>
            </w:r>
          </w:p>
          <w:p w14:paraId="4833B37B">
            <w:pPr>
              <w:spacing w:line="276" w:lineRule="auto"/>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②不合格0分：达不到本项“合格”标准的；</w:t>
            </w:r>
          </w:p>
        </w:tc>
        <w:tc>
          <w:tcPr>
            <w:tcW w:w="675" w:type="dxa"/>
            <w:vAlign w:val="center"/>
          </w:tcPr>
          <w:p w14:paraId="409C90C5">
            <w:pPr>
              <w:rPr>
                <w:rFonts w:ascii="仿宋_GB2312" w:hAnsi="Times New Roman" w:eastAsia="仿宋_GB2312" w:cs="Times New Roman"/>
                <w:color w:val="auto"/>
                <w:sz w:val="18"/>
                <w:szCs w:val="18"/>
                <w:highlight w:val="none"/>
              </w:rPr>
            </w:pPr>
          </w:p>
        </w:tc>
      </w:tr>
      <w:tr w14:paraId="39D3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E7A2DD8">
            <w:pPr>
              <w:rPr>
                <w:rFonts w:hint="default" w:ascii="宋体" w:hAnsi="宋体" w:eastAsia="宋体" w:cs="Times New Roman"/>
                <w:color w:val="auto"/>
                <w:szCs w:val="20"/>
                <w:highlight w:val="none"/>
                <w:lang w:val="en-US" w:eastAsia="zh-CN"/>
              </w:rPr>
            </w:pPr>
            <w:r>
              <w:rPr>
                <w:rFonts w:hint="eastAsia" w:cs="Times New Roman"/>
                <w:color w:val="auto"/>
                <w:szCs w:val="20"/>
                <w:highlight w:val="none"/>
                <w:lang w:val="en-US" w:eastAsia="zh-CN"/>
              </w:rPr>
              <w:t>三</w:t>
            </w:r>
          </w:p>
        </w:tc>
        <w:tc>
          <w:tcPr>
            <w:tcW w:w="1440" w:type="dxa"/>
            <w:vAlign w:val="center"/>
          </w:tcPr>
          <w:p w14:paraId="51BE4A09">
            <w:pPr>
              <w:spacing w:line="276" w:lineRule="auto"/>
              <w:jc w:val="center"/>
              <w:rPr>
                <w:rFonts w:hint="default" w:ascii="宋体" w:hAnsi="宋体"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配合和协调</w:t>
            </w:r>
          </w:p>
        </w:tc>
        <w:tc>
          <w:tcPr>
            <w:tcW w:w="720" w:type="dxa"/>
            <w:vAlign w:val="center"/>
          </w:tcPr>
          <w:p w14:paraId="6E69C74C">
            <w:pPr>
              <w:jc w:val="center"/>
              <w:rPr>
                <w:rFonts w:hint="default" w:ascii="宋体" w:hAnsi="宋体" w:eastAsia="宋体" w:cs="Times New Roman"/>
                <w:color w:val="auto"/>
                <w:szCs w:val="20"/>
                <w:highlight w:val="none"/>
                <w:lang w:val="en-US" w:eastAsia="zh-CN"/>
              </w:rPr>
            </w:pPr>
            <w:r>
              <w:rPr>
                <w:rFonts w:hint="eastAsia" w:cs="Times New Roman"/>
                <w:color w:val="auto"/>
                <w:sz w:val="18"/>
                <w:szCs w:val="18"/>
                <w:highlight w:val="none"/>
                <w:lang w:val="en-US" w:eastAsia="zh-CN"/>
              </w:rPr>
              <w:t>20</w:t>
            </w:r>
          </w:p>
        </w:tc>
        <w:tc>
          <w:tcPr>
            <w:tcW w:w="6165" w:type="dxa"/>
            <w:vAlign w:val="center"/>
          </w:tcPr>
          <w:p w14:paraId="628F4792">
            <w:pPr>
              <w:spacing w:line="276" w:lineRule="auto"/>
              <w:rPr>
                <w:rFonts w:hint="eastAsia" w:ascii="宋体" w:hAnsi="宋体" w:eastAsia="宋体" w:cs="Times New Roman"/>
                <w:color w:val="auto"/>
                <w:sz w:val="18"/>
                <w:szCs w:val="18"/>
                <w:highlight w:val="none"/>
              </w:rPr>
            </w:pPr>
          </w:p>
        </w:tc>
        <w:tc>
          <w:tcPr>
            <w:tcW w:w="675" w:type="dxa"/>
            <w:vAlign w:val="center"/>
          </w:tcPr>
          <w:p w14:paraId="1895DBC7">
            <w:pPr>
              <w:rPr>
                <w:rFonts w:ascii="仿宋_GB2312" w:hAnsi="Times New Roman" w:eastAsia="仿宋_GB2312" w:cs="Times New Roman"/>
                <w:color w:val="auto"/>
                <w:sz w:val="18"/>
                <w:szCs w:val="18"/>
                <w:highlight w:val="none"/>
              </w:rPr>
            </w:pPr>
          </w:p>
        </w:tc>
      </w:tr>
      <w:tr w14:paraId="3DA4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40" w:type="dxa"/>
            <w:vAlign w:val="center"/>
          </w:tcPr>
          <w:p w14:paraId="351546BF">
            <w:pP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9</w:t>
            </w:r>
          </w:p>
        </w:tc>
        <w:tc>
          <w:tcPr>
            <w:tcW w:w="1440" w:type="dxa"/>
            <w:vAlign w:val="center"/>
          </w:tcPr>
          <w:p w14:paraId="2AF15573">
            <w:pPr>
              <w:spacing w:line="320" w:lineRule="exact"/>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会议出席情况</w:t>
            </w:r>
          </w:p>
        </w:tc>
        <w:tc>
          <w:tcPr>
            <w:tcW w:w="720" w:type="dxa"/>
            <w:vAlign w:val="center"/>
          </w:tcPr>
          <w:p w14:paraId="3B2CF344">
            <w:pPr>
              <w:spacing w:line="320" w:lineRule="exact"/>
              <w:jc w:val="center"/>
              <w:rPr>
                <w:rFonts w:hint="eastAsia" w:ascii="宋体" w:hAnsi="宋体" w:eastAsia="宋体" w:cs="Times New Roman"/>
                <w:color w:val="auto"/>
                <w:sz w:val="18"/>
                <w:szCs w:val="18"/>
                <w:highlight w:val="none"/>
                <w:lang w:eastAsia="zh-CN"/>
              </w:rPr>
            </w:pPr>
            <w:r>
              <w:rPr>
                <w:rFonts w:hint="eastAsia" w:cs="Times New Roman"/>
                <w:color w:val="auto"/>
                <w:sz w:val="18"/>
                <w:szCs w:val="18"/>
                <w:highlight w:val="none"/>
                <w:lang w:val="en-US" w:eastAsia="zh-CN"/>
              </w:rPr>
              <w:t>6</w:t>
            </w:r>
          </w:p>
        </w:tc>
        <w:tc>
          <w:tcPr>
            <w:tcW w:w="6165" w:type="dxa"/>
            <w:vAlign w:val="center"/>
          </w:tcPr>
          <w:p w14:paraId="6099B85C">
            <w:pPr>
              <w:spacing w:line="320" w:lineRule="exact"/>
              <w:jc w:val="lef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①合格</w:t>
            </w:r>
            <w:r>
              <w:rPr>
                <w:rFonts w:hint="eastAsia" w:cs="Times New Roman"/>
                <w:color w:val="auto"/>
                <w:sz w:val="18"/>
                <w:szCs w:val="18"/>
                <w:highlight w:val="none"/>
                <w:lang w:val="en-US" w:eastAsia="zh-CN"/>
              </w:rPr>
              <w:t>6</w:t>
            </w:r>
            <w:r>
              <w:rPr>
                <w:rFonts w:hint="eastAsia" w:ascii="宋体" w:hAnsi="宋体" w:eastAsia="宋体" w:cs="Times New Roman"/>
                <w:color w:val="auto"/>
                <w:sz w:val="18"/>
                <w:szCs w:val="18"/>
                <w:highlight w:val="none"/>
              </w:rPr>
              <w:t>分：准时、准点出席项目所有的会议；</w:t>
            </w:r>
          </w:p>
          <w:p w14:paraId="20B4A99A">
            <w:pPr>
              <w:spacing w:line="320" w:lineRule="exact"/>
              <w:jc w:val="lef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②不合格0分：达不到本项“合格”标准的；</w:t>
            </w:r>
          </w:p>
        </w:tc>
        <w:tc>
          <w:tcPr>
            <w:tcW w:w="675" w:type="dxa"/>
            <w:vAlign w:val="center"/>
          </w:tcPr>
          <w:p w14:paraId="62CB37C8">
            <w:pPr>
              <w:rPr>
                <w:rFonts w:ascii="仿宋_GB2312" w:hAnsi="Times New Roman" w:eastAsia="仿宋_GB2312" w:cs="Times New Roman"/>
                <w:color w:val="auto"/>
                <w:sz w:val="18"/>
                <w:szCs w:val="18"/>
                <w:highlight w:val="none"/>
              </w:rPr>
            </w:pPr>
          </w:p>
        </w:tc>
      </w:tr>
      <w:tr w14:paraId="094C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7671A4F">
            <w:pP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10</w:t>
            </w:r>
          </w:p>
        </w:tc>
        <w:tc>
          <w:tcPr>
            <w:tcW w:w="1440" w:type="dxa"/>
            <w:vAlign w:val="center"/>
          </w:tcPr>
          <w:p w14:paraId="503D5632">
            <w:pPr>
              <w:spacing w:line="320" w:lineRule="exact"/>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保密工作</w:t>
            </w:r>
          </w:p>
        </w:tc>
        <w:tc>
          <w:tcPr>
            <w:tcW w:w="720" w:type="dxa"/>
            <w:vAlign w:val="center"/>
          </w:tcPr>
          <w:p w14:paraId="11511587">
            <w:pPr>
              <w:spacing w:line="320" w:lineRule="exact"/>
              <w:jc w:val="center"/>
              <w:rPr>
                <w:rFonts w:hint="eastAsia" w:ascii="宋体" w:hAnsi="宋体" w:eastAsia="宋体" w:cs="Times New Roman"/>
                <w:color w:val="auto"/>
                <w:sz w:val="18"/>
                <w:szCs w:val="18"/>
                <w:highlight w:val="none"/>
                <w:lang w:eastAsia="zh-CN"/>
              </w:rPr>
            </w:pPr>
            <w:r>
              <w:rPr>
                <w:rFonts w:hint="eastAsia" w:cs="Times New Roman"/>
                <w:color w:val="auto"/>
                <w:sz w:val="18"/>
                <w:szCs w:val="18"/>
                <w:highlight w:val="none"/>
                <w:lang w:val="en-US" w:eastAsia="zh-CN"/>
              </w:rPr>
              <w:t>6</w:t>
            </w:r>
          </w:p>
        </w:tc>
        <w:tc>
          <w:tcPr>
            <w:tcW w:w="6165" w:type="dxa"/>
            <w:vAlign w:val="center"/>
          </w:tcPr>
          <w:p w14:paraId="0DD01A93">
            <w:pPr>
              <w:spacing w:line="320" w:lineRule="exact"/>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①合格</w:t>
            </w:r>
            <w:r>
              <w:rPr>
                <w:rFonts w:hint="eastAsia" w:cs="Times New Roman"/>
                <w:color w:val="auto"/>
                <w:sz w:val="18"/>
                <w:szCs w:val="18"/>
                <w:highlight w:val="none"/>
                <w:lang w:val="en-US" w:eastAsia="zh-CN"/>
              </w:rPr>
              <w:t>6</w:t>
            </w:r>
            <w:r>
              <w:rPr>
                <w:rFonts w:hint="eastAsia" w:ascii="宋体" w:hAnsi="宋体" w:eastAsia="宋体" w:cs="Times New Roman"/>
                <w:color w:val="auto"/>
                <w:sz w:val="18"/>
                <w:szCs w:val="18"/>
                <w:highlight w:val="none"/>
              </w:rPr>
              <w:t>分：能对</w:t>
            </w:r>
            <w:r>
              <w:rPr>
                <w:rFonts w:hint="eastAsia" w:cs="Times New Roman"/>
                <w:color w:val="auto"/>
                <w:sz w:val="18"/>
                <w:szCs w:val="18"/>
                <w:highlight w:val="none"/>
                <w:lang w:val="en-US" w:eastAsia="zh-CN"/>
              </w:rPr>
              <w:t>项目过程及成果文件</w:t>
            </w:r>
            <w:r>
              <w:rPr>
                <w:rFonts w:hint="eastAsia" w:ascii="宋体" w:hAnsi="宋体" w:eastAsia="宋体" w:cs="Times New Roman"/>
                <w:color w:val="auto"/>
                <w:sz w:val="18"/>
                <w:szCs w:val="18"/>
                <w:highlight w:val="none"/>
              </w:rPr>
              <w:t>内容和甲方提供的基础资料严格保密；</w:t>
            </w:r>
          </w:p>
          <w:p w14:paraId="36A2388D">
            <w:pPr>
              <w:spacing w:line="320" w:lineRule="exact"/>
              <w:jc w:val="center"/>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②不合格0分：不能对</w:t>
            </w:r>
            <w:r>
              <w:rPr>
                <w:rFonts w:hint="eastAsia" w:cs="Times New Roman"/>
                <w:color w:val="auto"/>
                <w:sz w:val="18"/>
                <w:szCs w:val="18"/>
                <w:highlight w:val="none"/>
                <w:lang w:val="en-US" w:eastAsia="zh-CN"/>
              </w:rPr>
              <w:t>项目过程及成果文件内容</w:t>
            </w:r>
            <w:r>
              <w:rPr>
                <w:rFonts w:hint="eastAsia" w:ascii="宋体" w:hAnsi="宋体" w:eastAsia="宋体" w:cs="Times New Roman"/>
                <w:color w:val="auto"/>
                <w:sz w:val="18"/>
                <w:szCs w:val="18"/>
                <w:highlight w:val="none"/>
              </w:rPr>
              <w:t>和甲方提供的基础资料保密；</w:t>
            </w:r>
          </w:p>
        </w:tc>
        <w:tc>
          <w:tcPr>
            <w:tcW w:w="675" w:type="dxa"/>
            <w:vAlign w:val="center"/>
          </w:tcPr>
          <w:p w14:paraId="1F82DF8F">
            <w:pPr>
              <w:rPr>
                <w:rFonts w:ascii="仿宋_GB2312" w:hAnsi="Times New Roman" w:eastAsia="仿宋_GB2312" w:cs="Times New Roman"/>
                <w:color w:val="auto"/>
                <w:sz w:val="18"/>
                <w:szCs w:val="18"/>
                <w:highlight w:val="none"/>
              </w:rPr>
            </w:pPr>
          </w:p>
        </w:tc>
      </w:tr>
      <w:tr w14:paraId="5561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40" w:type="dxa"/>
            <w:vAlign w:val="center"/>
          </w:tcPr>
          <w:p w14:paraId="3862792C">
            <w:pP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11</w:t>
            </w:r>
          </w:p>
        </w:tc>
        <w:tc>
          <w:tcPr>
            <w:tcW w:w="1440" w:type="dxa"/>
            <w:vAlign w:val="center"/>
          </w:tcPr>
          <w:p w14:paraId="606F0E4D">
            <w:pPr>
              <w:spacing w:line="276"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不良行为</w:t>
            </w:r>
          </w:p>
        </w:tc>
        <w:tc>
          <w:tcPr>
            <w:tcW w:w="720" w:type="dxa"/>
            <w:vAlign w:val="center"/>
          </w:tcPr>
          <w:p w14:paraId="3E77E801">
            <w:pPr>
              <w:spacing w:line="320" w:lineRule="exact"/>
              <w:jc w:val="center"/>
              <w:rPr>
                <w:rFonts w:hint="eastAsia" w:ascii="宋体" w:hAnsi="宋体" w:eastAsia="宋体" w:cs="Times New Roman"/>
                <w:color w:val="auto"/>
                <w:sz w:val="18"/>
                <w:szCs w:val="18"/>
                <w:highlight w:val="none"/>
                <w:lang w:eastAsia="zh-CN"/>
              </w:rPr>
            </w:pPr>
            <w:r>
              <w:rPr>
                <w:rFonts w:hint="eastAsia" w:cs="Times New Roman"/>
                <w:color w:val="auto"/>
                <w:sz w:val="18"/>
                <w:szCs w:val="18"/>
                <w:highlight w:val="none"/>
                <w:lang w:val="en-US" w:eastAsia="zh-CN"/>
              </w:rPr>
              <w:t>8</w:t>
            </w:r>
          </w:p>
        </w:tc>
        <w:tc>
          <w:tcPr>
            <w:tcW w:w="6165" w:type="dxa"/>
            <w:vAlign w:val="center"/>
          </w:tcPr>
          <w:p w14:paraId="2929B0F1">
            <w:pPr>
              <w:spacing w:line="276" w:lineRule="auto"/>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①合格</w:t>
            </w:r>
            <w:r>
              <w:rPr>
                <w:rFonts w:hint="eastAsia" w:cs="Times New Roman"/>
                <w:color w:val="auto"/>
                <w:sz w:val="18"/>
                <w:szCs w:val="18"/>
                <w:highlight w:val="none"/>
                <w:lang w:val="en-US" w:eastAsia="zh-CN"/>
              </w:rPr>
              <w:t>8</w:t>
            </w:r>
            <w:r>
              <w:rPr>
                <w:rFonts w:hint="eastAsia" w:ascii="宋体" w:hAnsi="宋体" w:eastAsia="宋体" w:cs="Times New Roman"/>
                <w:color w:val="auto"/>
                <w:sz w:val="18"/>
                <w:szCs w:val="18"/>
                <w:highlight w:val="none"/>
              </w:rPr>
              <w:t>分：无违反职业道德等不良行为的现象；</w:t>
            </w:r>
          </w:p>
          <w:p w14:paraId="5AA38AB1">
            <w:pPr>
              <w:spacing w:line="276" w:lineRule="auto"/>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②不合格0分：有违反职业道德等不良行为的现象；</w:t>
            </w:r>
          </w:p>
        </w:tc>
        <w:tc>
          <w:tcPr>
            <w:tcW w:w="675" w:type="dxa"/>
            <w:vAlign w:val="center"/>
          </w:tcPr>
          <w:p w14:paraId="4410001E">
            <w:pPr>
              <w:rPr>
                <w:rFonts w:ascii="仿宋_GB2312" w:hAnsi="Times New Roman" w:eastAsia="仿宋_GB2312" w:cs="Times New Roman"/>
                <w:color w:val="auto"/>
                <w:sz w:val="18"/>
                <w:szCs w:val="18"/>
                <w:highlight w:val="none"/>
              </w:rPr>
            </w:pPr>
          </w:p>
        </w:tc>
      </w:tr>
      <w:tr w14:paraId="107C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40" w:type="dxa"/>
            <w:vAlign w:val="center"/>
          </w:tcPr>
          <w:p w14:paraId="39BE4AC0">
            <w:pPr>
              <w:spacing w:line="340" w:lineRule="exact"/>
              <w:rPr>
                <w:rFonts w:ascii="宋体" w:hAnsi="宋体" w:eastAsia="宋体" w:cs="Times New Roman"/>
                <w:color w:val="auto"/>
                <w:sz w:val="18"/>
                <w:szCs w:val="18"/>
                <w:highlight w:val="none"/>
              </w:rPr>
            </w:pPr>
          </w:p>
        </w:tc>
        <w:tc>
          <w:tcPr>
            <w:tcW w:w="1440" w:type="dxa"/>
            <w:vAlign w:val="center"/>
          </w:tcPr>
          <w:p w14:paraId="0E4D0063">
            <w:pPr>
              <w:spacing w:line="276"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合计</w:t>
            </w:r>
          </w:p>
        </w:tc>
        <w:tc>
          <w:tcPr>
            <w:tcW w:w="720" w:type="dxa"/>
            <w:vAlign w:val="center"/>
          </w:tcPr>
          <w:p w14:paraId="4A5DFC34">
            <w:pPr>
              <w:jc w:val="center"/>
              <w:rPr>
                <w:rFonts w:ascii="宋体" w:hAnsi="宋体" w:eastAsia="宋体" w:cs="Times New Roman"/>
                <w:color w:val="auto"/>
                <w:szCs w:val="20"/>
                <w:highlight w:val="none"/>
              </w:rPr>
            </w:pPr>
            <w:r>
              <w:rPr>
                <w:rFonts w:hint="eastAsia" w:ascii="宋体" w:hAnsi="宋体" w:eastAsia="宋体" w:cs="Times New Roman"/>
                <w:color w:val="auto"/>
                <w:sz w:val="18"/>
                <w:szCs w:val="18"/>
                <w:highlight w:val="none"/>
              </w:rPr>
              <w:t>100</w:t>
            </w:r>
          </w:p>
        </w:tc>
        <w:tc>
          <w:tcPr>
            <w:tcW w:w="6165" w:type="dxa"/>
            <w:vAlign w:val="center"/>
          </w:tcPr>
          <w:p w14:paraId="02185D09">
            <w:pPr>
              <w:spacing w:line="276" w:lineRule="auto"/>
              <w:rPr>
                <w:rFonts w:ascii="宋体" w:hAnsi="宋体" w:eastAsia="宋体" w:cs="Times New Roman"/>
                <w:color w:val="auto"/>
                <w:sz w:val="18"/>
                <w:szCs w:val="18"/>
                <w:highlight w:val="none"/>
              </w:rPr>
            </w:pPr>
          </w:p>
        </w:tc>
        <w:tc>
          <w:tcPr>
            <w:tcW w:w="675" w:type="dxa"/>
            <w:vAlign w:val="center"/>
          </w:tcPr>
          <w:p w14:paraId="21247A8A">
            <w:pPr>
              <w:rPr>
                <w:rFonts w:ascii="仿宋_GB2312" w:hAnsi="Times New Roman" w:eastAsia="仿宋_GB2312" w:cs="Times New Roman"/>
                <w:color w:val="auto"/>
                <w:sz w:val="18"/>
                <w:szCs w:val="18"/>
                <w:highlight w:val="none"/>
              </w:rPr>
            </w:pPr>
          </w:p>
        </w:tc>
      </w:tr>
      <w:tr w14:paraId="13FB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540" w:type="dxa"/>
            <w:vAlign w:val="center"/>
          </w:tcPr>
          <w:p w14:paraId="58FF38DA">
            <w:pPr>
              <w:spacing w:line="340" w:lineRule="exact"/>
              <w:rPr>
                <w:rFonts w:ascii="宋体" w:hAnsi="宋体" w:eastAsia="宋体" w:cs="Times New Roman"/>
                <w:color w:val="auto"/>
                <w:sz w:val="18"/>
                <w:szCs w:val="18"/>
                <w:highlight w:val="none"/>
              </w:rPr>
            </w:pPr>
          </w:p>
        </w:tc>
        <w:tc>
          <w:tcPr>
            <w:tcW w:w="1440" w:type="dxa"/>
            <w:vAlign w:val="center"/>
          </w:tcPr>
          <w:p w14:paraId="384113E6">
            <w:pPr>
              <w:spacing w:line="276"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评定等级</w:t>
            </w:r>
          </w:p>
        </w:tc>
        <w:tc>
          <w:tcPr>
            <w:tcW w:w="720" w:type="dxa"/>
            <w:vAlign w:val="center"/>
          </w:tcPr>
          <w:p w14:paraId="45BC267C">
            <w:pPr>
              <w:spacing w:line="340" w:lineRule="exact"/>
              <w:jc w:val="center"/>
              <w:rPr>
                <w:rFonts w:ascii="宋体" w:hAnsi="宋体" w:eastAsia="宋体" w:cs="Times New Roman"/>
                <w:color w:val="auto"/>
                <w:sz w:val="18"/>
                <w:szCs w:val="18"/>
                <w:highlight w:val="none"/>
              </w:rPr>
            </w:pPr>
          </w:p>
        </w:tc>
        <w:tc>
          <w:tcPr>
            <w:tcW w:w="6165" w:type="dxa"/>
            <w:vAlign w:val="center"/>
          </w:tcPr>
          <w:p w14:paraId="4714A4EB">
            <w:pPr>
              <w:spacing w:line="276" w:lineRule="auto"/>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①优秀：得分率</w:t>
            </w:r>
            <w:r>
              <w:rPr>
                <w:rFonts w:hint="eastAsia" w:cs="Times New Roman"/>
                <w:color w:val="auto"/>
                <w:sz w:val="18"/>
                <w:szCs w:val="18"/>
                <w:highlight w:val="none"/>
                <w:lang w:val="en-US" w:eastAsia="zh-CN"/>
              </w:rPr>
              <w:t>90</w:t>
            </w:r>
            <w:r>
              <w:rPr>
                <w:rFonts w:hint="eastAsia" w:ascii="宋体" w:hAnsi="宋体" w:eastAsia="宋体" w:cs="Times New Roman"/>
                <w:color w:val="auto"/>
                <w:sz w:val="18"/>
                <w:szCs w:val="18"/>
                <w:highlight w:val="none"/>
              </w:rPr>
              <w:t>%以上（含</w:t>
            </w:r>
            <w:r>
              <w:rPr>
                <w:rFonts w:hint="eastAsia" w:cs="Times New Roman"/>
                <w:color w:val="auto"/>
                <w:sz w:val="18"/>
                <w:szCs w:val="18"/>
                <w:highlight w:val="none"/>
                <w:lang w:val="en-US" w:eastAsia="zh-CN"/>
              </w:rPr>
              <w:t>90</w:t>
            </w:r>
            <w:r>
              <w:rPr>
                <w:rFonts w:hint="eastAsia" w:ascii="宋体" w:hAnsi="宋体" w:eastAsia="宋体" w:cs="Times New Roman"/>
                <w:color w:val="auto"/>
                <w:sz w:val="18"/>
                <w:szCs w:val="18"/>
                <w:highlight w:val="none"/>
              </w:rPr>
              <w:t>%）；</w:t>
            </w:r>
          </w:p>
          <w:p w14:paraId="75C63C69">
            <w:pPr>
              <w:spacing w:line="276" w:lineRule="auto"/>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②良好：得分率在</w:t>
            </w:r>
            <w:r>
              <w:rPr>
                <w:rFonts w:hint="eastAsia" w:cs="Times New Roman"/>
                <w:color w:val="auto"/>
                <w:sz w:val="18"/>
                <w:szCs w:val="18"/>
                <w:highlight w:val="none"/>
                <w:lang w:val="en-US" w:eastAsia="zh-CN"/>
              </w:rPr>
              <w:t>80</w:t>
            </w:r>
            <w:r>
              <w:rPr>
                <w:rFonts w:hint="eastAsia" w:ascii="宋体" w:hAnsi="宋体" w:eastAsia="宋体" w:cs="Times New Roman"/>
                <w:color w:val="auto"/>
                <w:sz w:val="18"/>
                <w:szCs w:val="18"/>
                <w:highlight w:val="none"/>
              </w:rPr>
              <w:t>%-</w:t>
            </w:r>
            <w:r>
              <w:rPr>
                <w:rFonts w:hint="eastAsia" w:cs="Times New Roman"/>
                <w:color w:val="auto"/>
                <w:sz w:val="18"/>
                <w:szCs w:val="18"/>
                <w:highlight w:val="none"/>
                <w:lang w:val="en-US" w:eastAsia="zh-CN"/>
              </w:rPr>
              <w:t>90</w:t>
            </w:r>
            <w:r>
              <w:rPr>
                <w:rFonts w:hint="eastAsia" w:ascii="宋体" w:hAnsi="宋体" w:eastAsia="宋体" w:cs="Times New Roman"/>
                <w:color w:val="auto"/>
                <w:sz w:val="18"/>
                <w:szCs w:val="18"/>
                <w:highlight w:val="none"/>
              </w:rPr>
              <w:t>%之间（含</w:t>
            </w:r>
            <w:r>
              <w:rPr>
                <w:rFonts w:hint="eastAsia" w:cs="Times New Roman"/>
                <w:color w:val="auto"/>
                <w:sz w:val="18"/>
                <w:szCs w:val="18"/>
                <w:highlight w:val="none"/>
                <w:lang w:val="en-US" w:eastAsia="zh-CN"/>
              </w:rPr>
              <w:t>80</w:t>
            </w:r>
            <w:r>
              <w:rPr>
                <w:rFonts w:hint="eastAsia" w:ascii="宋体" w:hAnsi="宋体" w:eastAsia="宋体" w:cs="Times New Roman"/>
                <w:color w:val="auto"/>
                <w:sz w:val="18"/>
                <w:szCs w:val="18"/>
                <w:highlight w:val="none"/>
              </w:rPr>
              <w:t>%）；</w:t>
            </w:r>
          </w:p>
          <w:p w14:paraId="7E517DAB">
            <w:pPr>
              <w:spacing w:line="276" w:lineRule="auto"/>
              <w:rPr>
                <w:rFonts w:hint="eastAsia"/>
                <w:color w:val="auto"/>
                <w:highlight w:val="none"/>
              </w:rPr>
            </w:pPr>
            <w:r>
              <w:rPr>
                <w:rFonts w:hint="eastAsia" w:ascii="宋体" w:hAnsi="宋体" w:eastAsia="宋体" w:cs="Times New Roman"/>
                <w:color w:val="auto"/>
                <w:sz w:val="18"/>
                <w:szCs w:val="18"/>
                <w:highlight w:val="none"/>
              </w:rPr>
              <w:t>③</w:t>
            </w:r>
            <w:r>
              <w:rPr>
                <w:rFonts w:hint="eastAsia" w:cs="Times New Roman"/>
                <w:color w:val="auto"/>
                <w:sz w:val="18"/>
                <w:szCs w:val="18"/>
                <w:highlight w:val="none"/>
                <w:lang w:eastAsia="zh-CN"/>
              </w:rPr>
              <w:t>中等</w:t>
            </w:r>
            <w:r>
              <w:rPr>
                <w:rFonts w:hint="eastAsia" w:ascii="宋体" w:hAnsi="宋体" w:eastAsia="宋体" w:cs="Times New Roman"/>
                <w:color w:val="auto"/>
                <w:sz w:val="18"/>
                <w:szCs w:val="18"/>
                <w:highlight w:val="none"/>
              </w:rPr>
              <w:t>：得分率在</w:t>
            </w:r>
            <w:r>
              <w:rPr>
                <w:rFonts w:hint="eastAsia" w:cs="Times New Roman"/>
                <w:color w:val="auto"/>
                <w:sz w:val="18"/>
                <w:szCs w:val="18"/>
                <w:highlight w:val="none"/>
                <w:lang w:val="en-US" w:eastAsia="zh-CN"/>
              </w:rPr>
              <w:t>70</w:t>
            </w:r>
            <w:r>
              <w:rPr>
                <w:rFonts w:hint="eastAsia" w:ascii="宋体" w:hAnsi="宋体" w:eastAsia="宋体" w:cs="Times New Roman"/>
                <w:color w:val="auto"/>
                <w:sz w:val="18"/>
                <w:szCs w:val="18"/>
                <w:highlight w:val="none"/>
              </w:rPr>
              <w:t>%-</w:t>
            </w:r>
            <w:r>
              <w:rPr>
                <w:rFonts w:hint="eastAsia" w:cs="Times New Roman"/>
                <w:color w:val="auto"/>
                <w:sz w:val="18"/>
                <w:szCs w:val="18"/>
                <w:highlight w:val="none"/>
                <w:lang w:val="en-US" w:eastAsia="zh-CN"/>
              </w:rPr>
              <w:t>80</w:t>
            </w:r>
            <w:r>
              <w:rPr>
                <w:rFonts w:hint="eastAsia" w:ascii="宋体" w:hAnsi="宋体" w:eastAsia="宋体" w:cs="Times New Roman"/>
                <w:color w:val="auto"/>
                <w:sz w:val="18"/>
                <w:szCs w:val="18"/>
                <w:highlight w:val="none"/>
              </w:rPr>
              <w:t>%之间（含</w:t>
            </w:r>
            <w:r>
              <w:rPr>
                <w:rFonts w:hint="eastAsia" w:cs="Times New Roman"/>
                <w:color w:val="auto"/>
                <w:sz w:val="18"/>
                <w:szCs w:val="18"/>
                <w:highlight w:val="none"/>
                <w:lang w:val="en-US" w:eastAsia="zh-CN"/>
              </w:rPr>
              <w:t>70</w:t>
            </w:r>
            <w:r>
              <w:rPr>
                <w:rFonts w:hint="eastAsia" w:ascii="宋体" w:hAnsi="宋体" w:eastAsia="宋体" w:cs="Times New Roman"/>
                <w:color w:val="auto"/>
                <w:sz w:val="18"/>
                <w:szCs w:val="18"/>
                <w:highlight w:val="none"/>
              </w:rPr>
              <w:t>%）；</w:t>
            </w:r>
          </w:p>
          <w:p w14:paraId="085959D5">
            <w:pPr>
              <w:spacing w:line="276" w:lineRule="auto"/>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④合格：得分率在</w:t>
            </w:r>
            <w:r>
              <w:rPr>
                <w:rFonts w:hint="eastAsia" w:cs="Times New Roman"/>
                <w:color w:val="auto"/>
                <w:sz w:val="18"/>
                <w:szCs w:val="18"/>
                <w:highlight w:val="none"/>
                <w:lang w:val="en-US" w:eastAsia="zh-CN"/>
              </w:rPr>
              <w:t>60</w:t>
            </w:r>
            <w:r>
              <w:rPr>
                <w:rFonts w:hint="eastAsia" w:ascii="宋体" w:hAnsi="宋体" w:eastAsia="宋体" w:cs="Times New Roman"/>
                <w:color w:val="auto"/>
                <w:sz w:val="18"/>
                <w:szCs w:val="18"/>
                <w:highlight w:val="none"/>
              </w:rPr>
              <w:t>%-</w:t>
            </w:r>
            <w:r>
              <w:rPr>
                <w:rFonts w:hint="eastAsia" w:cs="Times New Roman"/>
                <w:color w:val="auto"/>
                <w:sz w:val="18"/>
                <w:szCs w:val="18"/>
                <w:highlight w:val="none"/>
                <w:lang w:val="en-US" w:eastAsia="zh-CN"/>
              </w:rPr>
              <w:t>70</w:t>
            </w:r>
            <w:r>
              <w:rPr>
                <w:rFonts w:hint="eastAsia" w:ascii="宋体" w:hAnsi="宋体" w:eastAsia="宋体" w:cs="Times New Roman"/>
                <w:color w:val="auto"/>
                <w:sz w:val="18"/>
                <w:szCs w:val="18"/>
                <w:highlight w:val="none"/>
              </w:rPr>
              <w:t>%之间（含</w:t>
            </w:r>
            <w:r>
              <w:rPr>
                <w:rFonts w:hint="eastAsia" w:cs="Times New Roman"/>
                <w:color w:val="auto"/>
                <w:sz w:val="18"/>
                <w:szCs w:val="18"/>
                <w:highlight w:val="none"/>
                <w:lang w:val="en-US" w:eastAsia="zh-CN"/>
              </w:rPr>
              <w:t>60</w:t>
            </w:r>
            <w:r>
              <w:rPr>
                <w:rFonts w:hint="eastAsia" w:ascii="宋体" w:hAnsi="宋体" w:eastAsia="宋体" w:cs="Times New Roman"/>
                <w:color w:val="auto"/>
                <w:sz w:val="18"/>
                <w:szCs w:val="18"/>
                <w:highlight w:val="none"/>
              </w:rPr>
              <w:t>%）；</w:t>
            </w:r>
          </w:p>
          <w:p w14:paraId="272DA9B3">
            <w:pPr>
              <w:spacing w:line="276" w:lineRule="auto"/>
              <w:rPr>
                <w:color w:val="auto"/>
                <w:highlight w:val="none"/>
              </w:rPr>
            </w:pPr>
            <w:r>
              <w:rPr>
                <w:rFonts w:hint="eastAsia" w:ascii="宋体" w:hAnsi="宋体" w:eastAsia="宋体" w:cs="Times New Roman"/>
                <w:color w:val="auto"/>
                <w:sz w:val="18"/>
                <w:szCs w:val="18"/>
                <w:highlight w:val="none"/>
              </w:rPr>
              <w:t>⑤不合格：得分率在60%以下（不含60%）；</w:t>
            </w:r>
          </w:p>
        </w:tc>
        <w:tc>
          <w:tcPr>
            <w:tcW w:w="675" w:type="dxa"/>
            <w:vAlign w:val="center"/>
          </w:tcPr>
          <w:p w14:paraId="2841ACBC">
            <w:pPr>
              <w:rPr>
                <w:rFonts w:ascii="仿宋_GB2312" w:hAnsi="Times New Roman" w:eastAsia="仿宋_GB2312" w:cs="Times New Roman"/>
                <w:color w:val="auto"/>
                <w:sz w:val="18"/>
                <w:szCs w:val="18"/>
                <w:highlight w:val="none"/>
              </w:rPr>
            </w:pPr>
          </w:p>
        </w:tc>
      </w:tr>
    </w:tbl>
    <w:p w14:paraId="2570D516">
      <w:pPr>
        <w:wordWrap w:val="0"/>
        <w:jc w:val="both"/>
        <w:rPr>
          <w:snapToGrid w:val="0"/>
          <w:color w:val="auto"/>
          <w:szCs w:val="21"/>
          <w:highlight w:val="none"/>
        </w:rPr>
      </w:pPr>
    </w:p>
    <w:p w14:paraId="02D3F0C3">
      <w:pPr>
        <w:adjustRightInd w:val="0"/>
        <w:snapToGrid w:val="0"/>
        <w:spacing w:line="360" w:lineRule="auto"/>
        <w:jc w:val="center"/>
        <w:outlineLvl w:val="0"/>
        <w:rPr>
          <w:rFonts w:hint="eastAsia"/>
          <w:b/>
          <w:color w:val="auto"/>
          <w:sz w:val="52"/>
          <w:szCs w:val="52"/>
          <w:highlight w:val="none"/>
        </w:rPr>
      </w:pPr>
    </w:p>
    <w:p w14:paraId="0CEE4D9B">
      <w:pPr>
        <w:adjustRightInd w:val="0"/>
        <w:snapToGrid w:val="0"/>
        <w:spacing w:line="360" w:lineRule="auto"/>
        <w:jc w:val="center"/>
        <w:outlineLvl w:val="0"/>
        <w:rPr>
          <w:rFonts w:hint="eastAsia"/>
          <w:b/>
          <w:color w:val="auto"/>
          <w:sz w:val="52"/>
          <w:szCs w:val="52"/>
          <w:highlight w:val="none"/>
        </w:rPr>
      </w:pPr>
    </w:p>
    <w:p w14:paraId="2E00EE4F">
      <w:pPr>
        <w:adjustRightInd w:val="0"/>
        <w:snapToGrid w:val="0"/>
        <w:spacing w:line="360" w:lineRule="auto"/>
        <w:jc w:val="center"/>
        <w:outlineLvl w:val="0"/>
        <w:rPr>
          <w:rFonts w:hint="eastAsia"/>
          <w:b/>
          <w:color w:val="auto"/>
          <w:sz w:val="52"/>
          <w:szCs w:val="52"/>
          <w:highlight w:val="none"/>
        </w:rPr>
      </w:pPr>
    </w:p>
    <w:p w14:paraId="03586FB8">
      <w:pPr>
        <w:adjustRightInd w:val="0"/>
        <w:snapToGrid w:val="0"/>
        <w:spacing w:line="360" w:lineRule="auto"/>
        <w:jc w:val="center"/>
        <w:outlineLvl w:val="0"/>
        <w:rPr>
          <w:rFonts w:hint="eastAsia"/>
          <w:b/>
          <w:color w:val="auto"/>
          <w:sz w:val="52"/>
          <w:szCs w:val="52"/>
          <w:highlight w:val="none"/>
        </w:rPr>
      </w:pPr>
    </w:p>
    <w:p w14:paraId="7A2619F8">
      <w:pPr>
        <w:adjustRightInd w:val="0"/>
        <w:snapToGrid w:val="0"/>
        <w:spacing w:line="360" w:lineRule="auto"/>
        <w:jc w:val="center"/>
        <w:outlineLvl w:val="0"/>
        <w:rPr>
          <w:rFonts w:hint="eastAsia"/>
          <w:b/>
          <w:color w:val="auto"/>
          <w:sz w:val="52"/>
          <w:szCs w:val="52"/>
          <w:highlight w:val="none"/>
        </w:rPr>
      </w:pPr>
    </w:p>
    <w:p w14:paraId="2F8B927C">
      <w:pPr>
        <w:adjustRightInd w:val="0"/>
        <w:snapToGrid w:val="0"/>
        <w:spacing w:line="360" w:lineRule="auto"/>
        <w:jc w:val="center"/>
        <w:outlineLvl w:val="0"/>
        <w:rPr>
          <w:rFonts w:hint="eastAsia"/>
          <w:b/>
          <w:color w:val="auto"/>
          <w:sz w:val="52"/>
          <w:szCs w:val="52"/>
          <w:highlight w:val="none"/>
        </w:rPr>
      </w:pPr>
    </w:p>
    <w:p w14:paraId="42ED5595">
      <w:pPr>
        <w:adjustRightInd w:val="0"/>
        <w:snapToGrid w:val="0"/>
        <w:spacing w:line="360" w:lineRule="auto"/>
        <w:jc w:val="center"/>
        <w:outlineLvl w:val="0"/>
        <w:rPr>
          <w:rFonts w:hint="eastAsia"/>
          <w:b/>
          <w:color w:val="auto"/>
          <w:sz w:val="52"/>
          <w:szCs w:val="52"/>
          <w:highlight w:val="none"/>
        </w:rPr>
      </w:pPr>
    </w:p>
    <w:p w14:paraId="6C0F7F6C">
      <w:pPr>
        <w:adjustRightInd w:val="0"/>
        <w:snapToGrid w:val="0"/>
        <w:spacing w:line="360" w:lineRule="auto"/>
        <w:jc w:val="center"/>
        <w:outlineLvl w:val="0"/>
        <w:rPr>
          <w:b/>
          <w:color w:val="auto"/>
          <w:sz w:val="52"/>
          <w:szCs w:val="52"/>
          <w:highlight w:val="none"/>
        </w:rPr>
      </w:pPr>
      <w:r>
        <w:rPr>
          <w:rFonts w:hint="eastAsia"/>
          <w:b/>
          <w:color w:val="auto"/>
          <w:sz w:val="52"/>
          <w:szCs w:val="52"/>
          <w:highlight w:val="none"/>
        </w:rPr>
        <w:t>第六章  任务书</w:t>
      </w:r>
    </w:p>
    <w:p w14:paraId="347E72BC">
      <w:pPr>
        <w:pStyle w:val="5"/>
        <w:rPr>
          <w:color w:val="auto"/>
          <w:highlight w:val="none"/>
        </w:rPr>
      </w:pPr>
      <w:r>
        <w:rPr>
          <w:rFonts w:hint="eastAsia"/>
          <w:color w:val="auto"/>
          <w:highlight w:val="none"/>
        </w:rPr>
        <w:t>《铁岗水库牛成村建成区径流调蓄转输工程》</w:t>
      </w:r>
    </w:p>
    <w:p w14:paraId="723F5F52">
      <w:pPr>
        <w:pStyle w:val="5"/>
        <w:rPr>
          <w:color w:val="auto"/>
          <w:highlight w:val="none"/>
        </w:rPr>
      </w:pPr>
      <w:r>
        <w:rPr>
          <w:rFonts w:hint="eastAsia"/>
          <w:color w:val="auto"/>
          <w:highlight w:val="none"/>
        </w:rPr>
        <w:t>宣传拍摄方案</w:t>
      </w:r>
    </w:p>
    <w:p w14:paraId="4CFD58E6">
      <w:pPr>
        <w:pStyle w:val="6"/>
        <w:numPr>
          <w:ilvl w:val="0"/>
          <w:numId w:val="2"/>
        </w:numPr>
        <w:rPr>
          <w:color w:val="auto"/>
          <w:highlight w:val="none"/>
        </w:rPr>
      </w:pPr>
      <w:r>
        <w:rPr>
          <w:rFonts w:hint="eastAsia"/>
          <w:color w:val="auto"/>
          <w:highlight w:val="none"/>
        </w:rPr>
        <w:t>基本概况</w:t>
      </w:r>
    </w:p>
    <w:p w14:paraId="6A727F89">
      <w:pPr>
        <w:spacing w:line="48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1、项目概况</w:t>
      </w:r>
    </w:p>
    <w:p w14:paraId="1173AD99">
      <w:pPr>
        <w:spacing w:line="48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牛成村位于宝安区铁岗水库流域东北侧，全流域汇水面积0.63km2。铁岗水库牛成村建成区径流调蓄转输工程主要建设内容包括调蓄池工程、调蓄湖工程、进水收集工程、出水转输工程以及生态绿化和服务设施建设等，合同总额2.95亿元</w:t>
      </w:r>
      <w:r>
        <w:rPr>
          <w:rFonts w:hint="eastAsia" w:ascii="仿宋_GB2312" w:hAnsi="仿宋_GB2312" w:eastAsia="仿宋_GB2312" w:cs="仿宋_GB2312"/>
          <w:color w:val="auto"/>
          <w:sz w:val="28"/>
          <w:szCs w:val="28"/>
          <w:highlight w:val="none"/>
        </w:rPr>
        <w:t>。</w:t>
      </w:r>
    </w:p>
    <w:p w14:paraId="196F8DF7">
      <w:pPr>
        <w:spacing w:line="48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本工程通过新建调蓄系统和转输系统将牛成村片区50年一遇以下雨水调蓄转输至丽水河，其中0-8mm以内降雨采取调蓄池初雨水池进行收集，并通过转输管转输至沙河西路市政污水干管，调蓄规模为0.3万m³；8-110mm以内降雨采取调蓄池雨水池进行收集，通过雨水转输管转输至丽水河，进而为丽水河补水，调蓄规模为3.9万m³，调蓄池总规模为4.2万m³；110-394mm（50年一遇）降雨采取在铁岗水库库尾新建调蓄湖进行收集调蓄，通过调蓄湖与调蓄湖池之间的连通管，转输至调蓄池，并通过调蓄池提升泵站及转输系统输送至丽水河。</w:t>
      </w:r>
    </w:p>
    <w:p w14:paraId="2150AC34">
      <w:pPr>
        <w:spacing w:line="48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2、拍摄的意义</w:t>
      </w:r>
    </w:p>
    <w:p w14:paraId="48B319CB">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铁岗水库牛成村建成区径流调蓄转输工程是高密度建成区“保护与发展”协同解决的典范、是“流域治理、三生统筹”河库水环境治理的典范、也是“区域统筹、分质排水、复合开发”的典范。</w:t>
      </w:r>
    </w:p>
    <w:p w14:paraId="2A18BA41">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项目结合跨流域调水、片区汇水分质排水、调蓄设施复合开发的理念，确保了牛成村片区雨水溢流入库水质主要指标达到地表水Ⅲ类标准，保障饮用水源安全，实现“保护与发展”协同解决；在施工上，采用了破岩式泥水平衡法智能型顶管施工技术，在现有泥水平衡顶管机的刀盘上加装岩石破碎滚刀及特有的岩石破碎装置，通过两级岩石破碎，确保顶管机能在土层混杂的孤石和岩层地质条件下顶进，同时减少了刀具磨损、提高顶进力度，加快了施工进度，解决了解决传统泥水平衡顶管机难以穿透孤石、坚硬岩层的难题；同时，本工程调蓄池侧壁混凝土采用薄壁抗渗混凝土施工技术：通过配合比设计及技术性能研究，确定提高抗渗性能的最佳配合比；采用膨胀混凝土补偿收缩，提高混凝土密实度，提高混凝土强度以及抗裂、防渗性能。</w:t>
      </w:r>
    </w:p>
    <w:p w14:paraId="559AB449">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因此，本项目具有一定的先进性和代表意义，市、区两级政府相关部门对于项目的实施比较重视，为了更好地整理项目的相关记录，展示项目效果，特委托具有相关资质和经验的单位拍摄制作本项目的宣传</w:t>
      </w:r>
      <w:r>
        <w:rPr>
          <w:rFonts w:hint="eastAsia" w:ascii="仿宋_GB2312" w:hAnsi="仿宋_GB2312" w:eastAsia="仿宋_GB2312" w:cs="仿宋_GB2312"/>
          <w:color w:val="auto"/>
          <w:sz w:val="28"/>
          <w:szCs w:val="28"/>
          <w:highlight w:val="none"/>
          <w:lang w:eastAsia="zh-CN"/>
        </w:rPr>
        <w:t>文件</w:t>
      </w:r>
      <w:r>
        <w:rPr>
          <w:rFonts w:hint="eastAsia" w:ascii="仿宋_GB2312" w:hAnsi="仿宋_GB2312" w:eastAsia="仿宋_GB2312" w:cs="仿宋_GB2312"/>
          <w:color w:val="auto"/>
          <w:sz w:val="28"/>
          <w:szCs w:val="28"/>
          <w:highlight w:val="none"/>
        </w:rPr>
        <w:t>，并签订《铁岗水库牛成村建成区径流调蓄转输工程宣传片制作委托合同》。</w:t>
      </w:r>
    </w:p>
    <w:p w14:paraId="669AF1D0">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本次宣传拍摄的制作，从项目的</w:t>
      </w:r>
      <w:bookmarkStart w:id="284" w:name="_Hlk103615596"/>
      <w:r>
        <w:rPr>
          <w:rFonts w:hint="eastAsia" w:ascii="仿宋_GB2312" w:hAnsi="仿宋_GB2312" w:eastAsia="仿宋_GB2312" w:cs="仿宋_GB2312"/>
          <w:color w:val="auto"/>
          <w:sz w:val="28"/>
          <w:szCs w:val="28"/>
          <w:highlight w:val="none"/>
        </w:rPr>
        <w:t>工程简介、建设规范、设计优秀、施工先进、质量优良、运行可靠、效益显著</w:t>
      </w:r>
      <w:bookmarkEnd w:id="284"/>
      <w:r>
        <w:rPr>
          <w:rFonts w:hint="eastAsia" w:ascii="仿宋_GB2312" w:hAnsi="仿宋_GB2312" w:eastAsia="仿宋_GB2312" w:cs="仿宋_GB2312"/>
          <w:color w:val="auto"/>
          <w:sz w:val="28"/>
          <w:szCs w:val="28"/>
          <w:highlight w:val="none"/>
        </w:rPr>
        <w:t>、实施纪实、效果及评价等方面出发，通过视频、宣传册等表现形式，生动形象地将本工程展示给大家，对整个项目的建设意义有了更深刻的了解，也带领大家走进施工现场，对项目的整体质量更加放心；同时，可以记录项目施工的整体情况对今后系统整理、保存素材、复盘整个项目和项目的创优有着很大好处和意义。</w:t>
      </w:r>
    </w:p>
    <w:p w14:paraId="79A22DD4">
      <w:pPr>
        <w:spacing w:line="48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3、主办单位</w:t>
      </w:r>
    </w:p>
    <w:p w14:paraId="57155F87">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深圳市南山区水务局</w:t>
      </w:r>
    </w:p>
    <w:p w14:paraId="71027627">
      <w:pPr>
        <w:spacing w:line="48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4、拍摄时间</w:t>
      </w:r>
    </w:p>
    <w:p w14:paraId="04867DCD">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2个月</w:t>
      </w:r>
    </w:p>
    <w:p w14:paraId="227C0322">
      <w:pPr>
        <w:pStyle w:val="6"/>
        <w:rPr>
          <w:color w:val="auto"/>
          <w:highlight w:val="none"/>
        </w:rPr>
      </w:pPr>
      <w:r>
        <w:rPr>
          <w:rFonts w:hint="eastAsia"/>
          <w:color w:val="auto"/>
          <w:highlight w:val="none"/>
        </w:rPr>
        <w:t>二、项目服务要求</w:t>
      </w:r>
    </w:p>
    <w:p w14:paraId="4ABFB75F">
      <w:pPr>
        <w:spacing w:line="48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1、策划设计</w:t>
      </w:r>
    </w:p>
    <w:p w14:paraId="6E8FE8CC">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主要包括对宣传片整体框架的梳理、资料收集、摄影摄像、文案编辑、设计排版、制作视频和画册等，保证本次宣传的效果。</w:t>
      </w:r>
    </w:p>
    <w:p w14:paraId="4D761BF3">
      <w:pPr>
        <w:spacing w:line="48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2、对相关单位代表进行采访</w:t>
      </w:r>
    </w:p>
    <w:p w14:paraId="31C4809E">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采访项目相关单位的领导或代表，如建设单位、代建单位、勘察单位、设计单位、监理单位、施工单位、第三方检测单位等，并录制视频。</w:t>
      </w:r>
    </w:p>
    <w:p w14:paraId="4A71AA99">
      <w:pPr>
        <w:spacing w:line="48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3、工程特色施工技术展示</w:t>
      </w:r>
    </w:p>
    <w:p w14:paraId="71A4E374">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针对本工程施工过程中的特色施工技术，利用三维工业动画技术设计动画画面，增加大家对本项目施工技术的了解。</w:t>
      </w:r>
    </w:p>
    <w:p w14:paraId="738611DA">
      <w:pPr>
        <w:spacing w:line="48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4、工程实施效果的展示</w:t>
      </w:r>
    </w:p>
    <w:p w14:paraId="7A45E0D2">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实施完成后，安排专人对项目进行全方位拍摄，包括但不限拍摄恢弘场景（高角度）、大场景拍摄（多角度）、项目周边环境的航拍素材、项目部、调蓄池和调蓄湖等工程单独拍摄全景及局部、绿化带等，充分展示项目积极正面的面貌；同时采访相关单位和周边市民，对项目所取得的效果进行评价，多角度展示工程的实施效果。</w:t>
      </w:r>
    </w:p>
    <w:p w14:paraId="56694D4F">
      <w:pPr>
        <w:spacing w:line="48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5、设备配备要求</w:t>
      </w:r>
    </w:p>
    <w:p w14:paraId="29D46A3A">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为拍摄团队配备包括但不限于一台照相机和配套设备、一套摄影器材和一台航拍无人机、拍摄用的灯光设备、辅助器材等。</w:t>
      </w:r>
    </w:p>
    <w:p w14:paraId="7807992F">
      <w:pPr>
        <w:spacing w:line="480" w:lineRule="exac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6、拍摄格式要求</w:t>
      </w:r>
    </w:p>
    <w:p w14:paraId="02D14C09">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包括但不限于照片、视频等格式。</w:t>
      </w:r>
    </w:p>
    <w:p w14:paraId="1BF800D6">
      <w:pPr>
        <w:pStyle w:val="6"/>
        <w:rPr>
          <w:color w:val="auto"/>
          <w:highlight w:val="none"/>
        </w:rPr>
      </w:pPr>
      <w:r>
        <w:rPr>
          <w:rFonts w:hint="eastAsia"/>
          <w:color w:val="auto"/>
          <w:highlight w:val="none"/>
        </w:rPr>
        <w:t>三、工作成果要求</w:t>
      </w:r>
    </w:p>
    <w:p w14:paraId="27A6B7D7">
      <w:pPr>
        <w:spacing w:line="480" w:lineRule="exact"/>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1、“项目介绍”视频</w:t>
      </w:r>
    </w:p>
    <w:p w14:paraId="61590691">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（1）视频时长：6分钟；</w:t>
      </w:r>
    </w:p>
    <w:p w14:paraId="434779A5">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（2）内容包括但不限于工程简介、建设规范、设计优秀、施工先进、质量优良、运行可靠、效益显著七个方面。</w:t>
      </w:r>
    </w:p>
    <w:p w14:paraId="1BB56EE2">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针对本工程施工过程中的特色施工技术，利用三维工业动画技术设计动画画面，模拟真实场景与物体，通过各种表现形式将复杂的科学原理、创新技术等简化、生动、形象、精准的表现出来，更具直观性、更容易被理解与接受，要求制作80秒左右，根据视频整体需要再进行选取不少于30秒。</w:t>
      </w:r>
    </w:p>
    <w:p w14:paraId="1FE68183">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ascii="仿宋_GB2312" w:hAnsi="仿宋_GB2312" w:eastAsia="仿宋_GB2312" w:cs="仿宋_GB2312"/>
          <w:color w:val="auto"/>
          <w:sz w:val="28"/>
          <w:szCs w:val="28"/>
          <w:highlight w:val="none"/>
        </w:rPr>
        <w:t>拍摄素材分辨率为4K 4096*2160,成片分辨率为1920*1080；</w:t>
      </w:r>
    </w:p>
    <w:p w14:paraId="3F86A536">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ascii="仿宋_GB2312" w:hAnsi="仿宋_GB2312" w:eastAsia="仿宋_GB2312" w:cs="仿宋_GB2312"/>
          <w:color w:val="auto"/>
          <w:sz w:val="28"/>
          <w:szCs w:val="28"/>
          <w:highlight w:val="none"/>
        </w:rPr>
        <w:t>音效：2.1立体声；</w:t>
      </w:r>
    </w:p>
    <w:p w14:paraId="47B566C3">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ascii="仿宋_GB2312" w:hAnsi="仿宋_GB2312" w:eastAsia="仿宋_GB2312" w:cs="仿宋_GB2312"/>
          <w:color w:val="auto"/>
          <w:sz w:val="28"/>
          <w:szCs w:val="28"/>
          <w:highlight w:val="none"/>
        </w:rPr>
        <w:t>版本：中文配音并叠加中文字幕；</w:t>
      </w:r>
    </w:p>
    <w:p w14:paraId="724572BA">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w:t>
      </w:r>
      <w:r>
        <w:rPr>
          <w:rFonts w:ascii="仿宋_GB2312" w:hAnsi="仿宋_GB2312" w:eastAsia="仿宋_GB2312" w:cs="仿宋_GB2312"/>
          <w:color w:val="auto"/>
          <w:sz w:val="28"/>
          <w:szCs w:val="28"/>
          <w:highlight w:val="none"/>
        </w:rPr>
        <w:t>拍摄器材及拍摄手法采用高清4K拍摄、无人机航拍、延时拍摄及灯光设备和辅助器材等；</w:t>
      </w:r>
    </w:p>
    <w:p w14:paraId="461C1D52">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w:t>
      </w:r>
      <w:r>
        <w:rPr>
          <w:rFonts w:ascii="仿宋_GB2312" w:hAnsi="仿宋_GB2312" w:eastAsia="仿宋_GB2312" w:cs="仿宋_GB2312"/>
          <w:color w:val="auto"/>
          <w:sz w:val="28"/>
          <w:szCs w:val="28"/>
          <w:highlight w:val="none"/>
        </w:rPr>
        <w:t>后期制作采用高清非线性编辑系统，配合达芬奇调色、AE特效包装，动画辅助等；</w:t>
      </w:r>
    </w:p>
    <w:p w14:paraId="673D0F9C">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w:t>
      </w:r>
      <w:r>
        <w:rPr>
          <w:rFonts w:ascii="仿宋_GB2312" w:hAnsi="仿宋_GB2312" w:eastAsia="仿宋_GB2312" w:cs="仿宋_GB2312"/>
          <w:color w:val="auto"/>
          <w:sz w:val="28"/>
          <w:szCs w:val="28"/>
          <w:highlight w:val="none"/>
        </w:rPr>
        <w:t>成片格式：MP4、MOV或者AVI，</w:t>
      </w:r>
      <w:r>
        <w:rPr>
          <w:rFonts w:hint="eastAsia" w:ascii="仿宋_GB2312" w:hAnsi="仿宋_GB2312" w:eastAsia="仿宋_GB2312" w:cs="仿宋_GB2312"/>
          <w:color w:val="auto"/>
          <w:sz w:val="28"/>
          <w:szCs w:val="28"/>
          <w:highlight w:val="none"/>
        </w:rPr>
        <w:t>可</w:t>
      </w:r>
      <w:r>
        <w:rPr>
          <w:rFonts w:ascii="仿宋_GB2312" w:hAnsi="仿宋_GB2312" w:eastAsia="仿宋_GB2312" w:cs="仿宋_GB2312"/>
          <w:color w:val="auto"/>
          <w:sz w:val="28"/>
          <w:szCs w:val="28"/>
          <w:highlight w:val="none"/>
        </w:rPr>
        <w:t>根据需求</w:t>
      </w:r>
      <w:r>
        <w:rPr>
          <w:rFonts w:hint="eastAsia" w:ascii="仿宋_GB2312" w:hAnsi="仿宋_GB2312" w:eastAsia="仿宋_GB2312" w:cs="仿宋_GB2312"/>
          <w:color w:val="auto"/>
          <w:sz w:val="28"/>
          <w:szCs w:val="28"/>
          <w:highlight w:val="none"/>
        </w:rPr>
        <w:t>选择</w:t>
      </w:r>
      <w:r>
        <w:rPr>
          <w:rFonts w:ascii="仿宋_GB2312" w:hAnsi="仿宋_GB2312" w:eastAsia="仿宋_GB2312" w:cs="仿宋_GB2312"/>
          <w:color w:val="auto"/>
          <w:sz w:val="28"/>
          <w:szCs w:val="28"/>
          <w:highlight w:val="none"/>
        </w:rPr>
        <w:t>。</w:t>
      </w:r>
    </w:p>
    <w:p w14:paraId="40F68CA4">
      <w:pPr>
        <w:spacing w:line="480" w:lineRule="exact"/>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2、“项目实施纪实”视频</w:t>
      </w:r>
    </w:p>
    <w:p w14:paraId="7564D59F">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（1）视频时长：10分钟；</w:t>
      </w:r>
    </w:p>
    <w:p w14:paraId="66E2FD42">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（2）收集前期影像资料和后期拍摄资料，根据素材对内容进行分割，梳理框架分篇章，每个篇章拟定一句宣传语。</w:t>
      </w:r>
    </w:p>
    <w:p w14:paraId="30F41746">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ascii="仿宋_GB2312" w:hAnsi="仿宋_GB2312" w:eastAsia="仿宋_GB2312" w:cs="仿宋_GB2312"/>
          <w:color w:val="auto"/>
          <w:sz w:val="28"/>
          <w:szCs w:val="28"/>
          <w:highlight w:val="none"/>
        </w:rPr>
        <w:t>成片分辨率为1920*1080；</w:t>
      </w:r>
    </w:p>
    <w:p w14:paraId="6C56690F">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ascii="仿宋_GB2312" w:hAnsi="仿宋_GB2312" w:eastAsia="仿宋_GB2312" w:cs="仿宋_GB2312"/>
          <w:color w:val="auto"/>
          <w:sz w:val="28"/>
          <w:szCs w:val="28"/>
          <w:highlight w:val="none"/>
        </w:rPr>
        <w:t>音效：2.1立体声；</w:t>
      </w:r>
    </w:p>
    <w:p w14:paraId="304EF972">
      <w:pPr>
        <w:pStyle w:val="17"/>
        <w:spacing w:line="480" w:lineRule="exact"/>
        <w:ind w:firstLine="562" w:firstLineChars="200"/>
        <w:rPr>
          <w:color w:val="auto"/>
          <w:highlight w:val="none"/>
        </w:rPr>
      </w:pPr>
      <w:r>
        <w:rPr>
          <w:rFonts w:hint="eastAsia" w:ascii="仿宋_GB2312" w:hAnsi="仿宋_GB2312" w:eastAsia="仿宋_GB2312" w:cs="仿宋_GB2312"/>
          <w:color w:val="auto"/>
          <w:sz w:val="28"/>
          <w:szCs w:val="28"/>
          <w:highlight w:val="none"/>
        </w:rPr>
        <w:t>（5）</w:t>
      </w:r>
      <w:r>
        <w:rPr>
          <w:rFonts w:ascii="仿宋_GB2312" w:hAnsi="仿宋_GB2312" w:eastAsia="仿宋_GB2312" w:cs="仿宋_GB2312"/>
          <w:color w:val="auto"/>
          <w:sz w:val="28"/>
          <w:szCs w:val="28"/>
          <w:highlight w:val="none"/>
        </w:rPr>
        <w:t>成片格式：MP4、MOV或者AVI，</w:t>
      </w:r>
      <w:r>
        <w:rPr>
          <w:rFonts w:hint="eastAsia" w:ascii="仿宋_GB2312" w:hAnsi="仿宋_GB2312" w:eastAsia="仿宋_GB2312" w:cs="仿宋_GB2312"/>
          <w:color w:val="auto"/>
          <w:sz w:val="28"/>
          <w:szCs w:val="28"/>
          <w:highlight w:val="none"/>
        </w:rPr>
        <w:t>可</w:t>
      </w:r>
      <w:r>
        <w:rPr>
          <w:rFonts w:ascii="仿宋_GB2312" w:hAnsi="仿宋_GB2312" w:eastAsia="仿宋_GB2312" w:cs="仿宋_GB2312"/>
          <w:color w:val="auto"/>
          <w:sz w:val="28"/>
          <w:szCs w:val="28"/>
          <w:highlight w:val="none"/>
        </w:rPr>
        <w:t>根据需求</w:t>
      </w:r>
      <w:r>
        <w:rPr>
          <w:rFonts w:hint="eastAsia" w:ascii="仿宋_GB2312" w:hAnsi="仿宋_GB2312" w:eastAsia="仿宋_GB2312" w:cs="仿宋_GB2312"/>
          <w:color w:val="auto"/>
          <w:sz w:val="28"/>
          <w:szCs w:val="28"/>
          <w:highlight w:val="none"/>
        </w:rPr>
        <w:t>选择</w:t>
      </w:r>
      <w:r>
        <w:rPr>
          <w:rFonts w:ascii="仿宋_GB2312" w:hAnsi="仿宋_GB2312" w:eastAsia="仿宋_GB2312" w:cs="仿宋_GB2312"/>
          <w:color w:val="auto"/>
          <w:sz w:val="28"/>
          <w:szCs w:val="28"/>
          <w:highlight w:val="none"/>
        </w:rPr>
        <w:t>。</w:t>
      </w:r>
    </w:p>
    <w:p w14:paraId="17D5FA52">
      <w:pPr>
        <w:spacing w:line="480" w:lineRule="exact"/>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3、“项目效果及评价”视频</w:t>
      </w:r>
    </w:p>
    <w:p w14:paraId="2FCE26EF">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（1）视频时长：4分钟；</w:t>
      </w:r>
    </w:p>
    <w:p w14:paraId="71E3F576">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（2）内容包括但不限于工程实施效果的展示、采访相关单位和周边市民，对项目所取得的效果进行评价。</w:t>
      </w:r>
    </w:p>
    <w:p w14:paraId="4AC9CBAA">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ascii="仿宋_GB2312" w:hAnsi="仿宋_GB2312" w:eastAsia="仿宋_GB2312" w:cs="仿宋_GB2312"/>
          <w:color w:val="auto"/>
          <w:sz w:val="28"/>
          <w:szCs w:val="28"/>
          <w:highlight w:val="none"/>
        </w:rPr>
        <w:t>拍摄素材分辨率为4K 4096*2160,成片分辨率为1920*1080；</w:t>
      </w:r>
    </w:p>
    <w:p w14:paraId="0A53E4A4">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ascii="仿宋_GB2312" w:hAnsi="仿宋_GB2312" w:eastAsia="仿宋_GB2312" w:cs="仿宋_GB2312"/>
          <w:color w:val="auto"/>
          <w:sz w:val="28"/>
          <w:szCs w:val="28"/>
          <w:highlight w:val="none"/>
        </w:rPr>
        <w:t>音效：2.1立体声；</w:t>
      </w:r>
    </w:p>
    <w:p w14:paraId="278419D4">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ascii="仿宋_GB2312" w:hAnsi="仿宋_GB2312" w:eastAsia="仿宋_GB2312" w:cs="仿宋_GB2312"/>
          <w:color w:val="auto"/>
          <w:sz w:val="28"/>
          <w:szCs w:val="28"/>
          <w:highlight w:val="none"/>
        </w:rPr>
        <w:t>版本：中文字幕；</w:t>
      </w:r>
    </w:p>
    <w:p w14:paraId="47B54DF5">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ascii="仿宋_GB2312" w:hAnsi="仿宋_GB2312" w:eastAsia="仿宋_GB2312" w:cs="仿宋_GB2312"/>
          <w:color w:val="auto"/>
          <w:sz w:val="28"/>
          <w:szCs w:val="28"/>
          <w:highlight w:val="none"/>
        </w:rPr>
        <w:t>拍摄器材及拍摄手法采用高清4K拍摄</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延时拍摄及灯光设备和辅助器材等；</w:t>
      </w:r>
    </w:p>
    <w:p w14:paraId="2FFE4C1A">
      <w:pPr>
        <w:pStyle w:val="17"/>
        <w:spacing w:line="480" w:lineRule="exact"/>
        <w:ind w:firstLine="562" w:firstLineChars="200"/>
        <w:rPr>
          <w:color w:val="auto"/>
          <w:highlight w:val="none"/>
        </w:rPr>
      </w:pPr>
      <w:r>
        <w:rPr>
          <w:rFonts w:hint="eastAsia" w:ascii="仿宋_GB2312" w:hAnsi="仿宋_GB2312" w:eastAsia="仿宋_GB2312" w:cs="仿宋_GB2312"/>
          <w:color w:val="auto"/>
          <w:sz w:val="28"/>
          <w:szCs w:val="28"/>
          <w:highlight w:val="none"/>
        </w:rPr>
        <w:t>（7）</w:t>
      </w:r>
      <w:r>
        <w:rPr>
          <w:rFonts w:ascii="仿宋_GB2312" w:hAnsi="仿宋_GB2312" w:eastAsia="仿宋_GB2312" w:cs="仿宋_GB2312"/>
          <w:color w:val="auto"/>
          <w:sz w:val="28"/>
          <w:szCs w:val="28"/>
          <w:highlight w:val="none"/>
        </w:rPr>
        <w:t>成片格式：MP4、MOV或者AVI，</w:t>
      </w:r>
      <w:r>
        <w:rPr>
          <w:rFonts w:hint="eastAsia" w:ascii="仿宋_GB2312" w:hAnsi="仿宋_GB2312" w:eastAsia="仿宋_GB2312" w:cs="仿宋_GB2312"/>
          <w:color w:val="auto"/>
          <w:sz w:val="28"/>
          <w:szCs w:val="28"/>
          <w:highlight w:val="none"/>
        </w:rPr>
        <w:t>可</w:t>
      </w:r>
      <w:r>
        <w:rPr>
          <w:rFonts w:ascii="仿宋_GB2312" w:hAnsi="仿宋_GB2312" w:eastAsia="仿宋_GB2312" w:cs="仿宋_GB2312"/>
          <w:color w:val="auto"/>
          <w:sz w:val="28"/>
          <w:szCs w:val="28"/>
          <w:highlight w:val="none"/>
        </w:rPr>
        <w:t>根据需求</w:t>
      </w:r>
      <w:r>
        <w:rPr>
          <w:rFonts w:hint="eastAsia" w:ascii="仿宋_GB2312" w:hAnsi="仿宋_GB2312" w:eastAsia="仿宋_GB2312" w:cs="仿宋_GB2312"/>
          <w:color w:val="auto"/>
          <w:sz w:val="28"/>
          <w:szCs w:val="28"/>
          <w:highlight w:val="none"/>
        </w:rPr>
        <w:t>选择</w:t>
      </w:r>
      <w:r>
        <w:rPr>
          <w:rFonts w:ascii="仿宋_GB2312" w:hAnsi="仿宋_GB2312" w:eastAsia="仿宋_GB2312" w:cs="仿宋_GB2312"/>
          <w:color w:val="auto"/>
          <w:sz w:val="28"/>
          <w:szCs w:val="28"/>
          <w:highlight w:val="none"/>
        </w:rPr>
        <w:t>。</w:t>
      </w:r>
    </w:p>
    <w:p w14:paraId="753C1D9E">
      <w:pPr>
        <w:spacing w:line="480" w:lineRule="exact"/>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4、项目宣传册</w:t>
      </w:r>
    </w:p>
    <w:p w14:paraId="2814A9C1">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（1）将项目整理成宣传册，要求30页，尺寸210*285mm（大16k）；</w:t>
      </w:r>
    </w:p>
    <w:p w14:paraId="01DDAE95">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（2）印刷成册，册数400份；</w:t>
      </w:r>
    </w:p>
    <w:p w14:paraId="5FC5D9C7">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（3）收集项目资料，进行框架策划、文字再编辑、标题润色、广告语点缀语等；</w:t>
      </w:r>
    </w:p>
    <w:p w14:paraId="332C802E">
      <w:pPr>
        <w:pStyle w:val="17"/>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（4）对图片进行精修和特殊处理；</w:t>
      </w:r>
    </w:p>
    <w:p w14:paraId="2AE2B115">
      <w:pPr>
        <w:pStyle w:val="17"/>
        <w:spacing w:line="480" w:lineRule="exact"/>
        <w:rPr>
          <w:rFonts w:ascii="仿宋_GB2312" w:hAnsi="仿宋_GB2312" w:eastAsia="仿宋_GB2312" w:cs="仿宋_GB2312"/>
          <w:color w:val="auto"/>
          <w:sz w:val="28"/>
          <w:szCs w:val="28"/>
          <w:highlight w:val="none"/>
        </w:rPr>
      </w:pPr>
    </w:p>
    <w:p w14:paraId="4D655FDE">
      <w:pPr>
        <w:rPr>
          <w:color w:val="auto"/>
          <w:highlight w:val="none"/>
        </w:rPr>
      </w:pPr>
    </w:p>
    <w:p w14:paraId="68A1F26E">
      <w:pPr>
        <w:rPr>
          <w:b/>
          <w:color w:val="auto"/>
          <w:sz w:val="52"/>
          <w:szCs w:val="52"/>
          <w:highlight w:val="none"/>
        </w:rPr>
      </w:pPr>
    </w:p>
    <w:p w14:paraId="010A6947">
      <w:pPr>
        <w:ind w:firstLine="560"/>
        <w:rPr>
          <w:bCs/>
          <w:snapToGrid w:val="0"/>
          <w:color w:val="auto"/>
          <w:highlight w:val="none"/>
        </w:rPr>
      </w:pPr>
    </w:p>
    <w:sectPr>
      <w:footerReference r:id="rId3" w:type="default"/>
      <w:pgSz w:w="11907" w:h="16840"/>
      <w:pgMar w:top="1417" w:right="1417" w:bottom="1417" w:left="1417" w:header="851" w:footer="851" w:gutter="0"/>
      <w:pgNumType w:fmt="decimalFullWidt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长城仿宋">
    <w:altName w:val="仿宋"/>
    <w:panose1 w:val="00000000000000000000"/>
    <w:charset w:val="86"/>
    <w:family w:val="modern"/>
    <w:pitch w:val="default"/>
    <w:sig w:usb0="00000000" w:usb1="00000000" w:usb2="00000010" w:usb3="00000000" w:csb0="00040000" w:csb1="00000000"/>
  </w:font>
  <w:font w:name="方正大黑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14:paraId="23121635">
        <w:pPr>
          <w:pStyle w:val="25"/>
          <w:jc w:val="center"/>
        </w:pPr>
        <w:r>
          <w:fldChar w:fldCharType="begin"/>
        </w:r>
        <w:r>
          <w:instrText xml:space="preserve">PAGE   \* MERGEFORMAT</w:instrText>
        </w:r>
        <w:r>
          <w:fldChar w:fldCharType="separate"/>
        </w:r>
        <w:r>
          <w:rPr>
            <w:lang w:val="zh-CN"/>
          </w:rPr>
          <w:t>７</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2B11E"/>
    <w:multiLevelType w:val="singleLevel"/>
    <w:tmpl w:val="B362B11E"/>
    <w:lvl w:ilvl="0" w:tentative="0">
      <w:start w:val="1"/>
      <w:numFmt w:val="chineseCounting"/>
      <w:suff w:val="nothing"/>
      <w:lvlText w:val="%1、"/>
      <w:lvlJc w:val="left"/>
      <w:rPr>
        <w:rFonts w:hint="eastAsia"/>
      </w:rPr>
    </w:lvl>
  </w:abstractNum>
  <w:abstractNum w:abstractNumId="1">
    <w:nsid w:val="2D8E5DFF"/>
    <w:multiLevelType w:val="multilevel"/>
    <w:tmpl w:val="2D8E5DFF"/>
    <w:lvl w:ilvl="0" w:tentative="0">
      <w:start w:val="1"/>
      <w:numFmt w:val="decimal"/>
      <w:suff w:val="nothing"/>
      <w:lvlText w:val="%1、"/>
      <w:lvlJc w:val="left"/>
      <w:pPr>
        <w:tabs>
          <w:tab w:val="left" w:pos="0"/>
        </w:tabs>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E30B5A"/>
    <w:rsid w:val="000000DD"/>
    <w:rsid w:val="00000178"/>
    <w:rsid w:val="000018E8"/>
    <w:rsid w:val="00003E5B"/>
    <w:rsid w:val="000047B7"/>
    <w:rsid w:val="00007009"/>
    <w:rsid w:val="000114F3"/>
    <w:rsid w:val="0001395A"/>
    <w:rsid w:val="000152CD"/>
    <w:rsid w:val="000152D0"/>
    <w:rsid w:val="000153C7"/>
    <w:rsid w:val="00015400"/>
    <w:rsid w:val="00016FB4"/>
    <w:rsid w:val="00017F12"/>
    <w:rsid w:val="0002371F"/>
    <w:rsid w:val="00024FD4"/>
    <w:rsid w:val="00026261"/>
    <w:rsid w:val="00031E5C"/>
    <w:rsid w:val="000335C4"/>
    <w:rsid w:val="00035209"/>
    <w:rsid w:val="00035CD2"/>
    <w:rsid w:val="00037214"/>
    <w:rsid w:val="00040824"/>
    <w:rsid w:val="00041E3D"/>
    <w:rsid w:val="00042CDC"/>
    <w:rsid w:val="000440EE"/>
    <w:rsid w:val="0004711A"/>
    <w:rsid w:val="00047469"/>
    <w:rsid w:val="000479C4"/>
    <w:rsid w:val="00050F20"/>
    <w:rsid w:val="000510E2"/>
    <w:rsid w:val="00053BF0"/>
    <w:rsid w:val="00054BA4"/>
    <w:rsid w:val="00055D18"/>
    <w:rsid w:val="00057CCE"/>
    <w:rsid w:val="000602A8"/>
    <w:rsid w:val="000661DC"/>
    <w:rsid w:val="00066462"/>
    <w:rsid w:val="00067D28"/>
    <w:rsid w:val="00070C9D"/>
    <w:rsid w:val="00072C71"/>
    <w:rsid w:val="00074176"/>
    <w:rsid w:val="000756C7"/>
    <w:rsid w:val="00077E15"/>
    <w:rsid w:val="00082050"/>
    <w:rsid w:val="00084498"/>
    <w:rsid w:val="0009107D"/>
    <w:rsid w:val="000949B1"/>
    <w:rsid w:val="000952C5"/>
    <w:rsid w:val="00095B90"/>
    <w:rsid w:val="000960D4"/>
    <w:rsid w:val="00097A70"/>
    <w:rsid w:val="000A1298"/>
    <w:rsid w:val="000A1DB2"/>
    <w:rsid w:val="000A3E9F"/>
    <w:rsid w:val="000A718D"/>
    <w:rsid w:val="000A777B"/>
    <w:rsid w:val="000B73F2"/>
    <w:rsid w:val="000C0760"/>
    <w:rsid w:val="000C1D8F"/>
    <w:rsid w:val="000C1E9E"/>
    <w:rsid w:val="000C2D89"/>
    <w:rsid w:val="000C38B3"/>
    <w:rsid w:val="000C77B7"/>
    <w:rsid w:val="000C7EEC"/>
    <w:rsid w:val="000D0CD1"/>
    <w:rsid w:val="000D3BD7"/>
    <w:rsid w:val="000D5D1A"/>
    <w:rsid w:val="000D7074"/>
    <w:rsid w:val="000D765F"/>
    <w:rsid w:val="000E1156"/>
    <w:rsid w:val="000E1F89"/>
    <w:rsid w:val="000E26F4"/>
    <w:rsid w:val="000E3F91"/>
    <w:rsid w:val="000E43A8"/>
    <w:rsid w:val="000E4434"/>
    <w:rsid w:val="000E5BDA"/>
    <w:rsid w:val="000E6066"/>
    <w:rsid w:val="000E794C"/>
    <w:rsid w:val="000F01FA"/>
    <w:rsid w:val="000F1C2D"/>
    <w:rsid w:val="000F3410"/>
    <w:rsid w:val="000F35E4"/>
    <w:rsid w:val="000F4CCB"/>
    <w:rsid w:val="000F5B81"/>
    <w:rsid w:val="000F6375"/>
    <w:rsid w:val="00104F65"/>
    <w:rsid w:val="0010503C"/>
    <w:rsid w:val="001057D8"/>
    <w:rsid w:val="00106497"/>
    <w:rsid w:val="001076DA"/>
    <w:rsid w:val="00110953"/>
    <w:rsid w:val="00110A45"/>
    <w:rsid w:val="001111C0"/>
    <w:rsid w:val="00113F78"/>
    <w:rsid w:val="00116AA1"/>
    <w:rsid w:val="001204CA"/>
    <w:rsid w:val="00121190"/>
    <w:rsid w:val="001212E2"/>
    <w:rsid w:val="001236D9"/>
    <w:rsid w:val="00123895"/>
    <w:rsid w:val="00123C6F"/>
    <w:rsid w:val="001272AB"/>
    <w:rsid w:val="00127701"/>
    <w:rsid w:val="00127DD3"/>
    <w:rsid w:val="00127DD8"/>
    <w:rsid w:val="0013021A"/>
    <w:rsid w:val="001327A1"/>
    <w:rsid w:val="00132854"/>
    <w:rsid w:val="0013334F"/>
    <w:rsid w:val="00133411"/>
    <w:rsid w:val="001339F0"/>
    <w:rsid w:val="00133F8C"/>
    <w:rsid w:val="00135E41"/>
    <w:rsid w:val="0013637D"/>
    <w:rsid w:val="00140277"/>
    <w:rsid w:val="00140A6C"/>
    <w:rsid w:val="00142356"/>
    <w:rsid w:val="00144687"/>
    <w:rsid w:val="00146D9E"/>
    <w:rsid w:val="0015531B"/>
    <w:rsid w:val="00155E6D"/>
    <w:rsid w:val="00156BFA"/>
    <w:rsid w:val="00157D58"/>
    <w:rsid w:val="00160C5B"/>
    <w:rsid w:val="0016275A"/>
    <w:rsid w:val="001632D3"/>
    <w:rsid w:val="00163C1D"/>
    <w:rsid w:val="001655B5"/>
    <w:rsid w:val="0017159B"/>
    <w:rsid w:val="00171CC0"/>
    <w:rsid w:val="00172DBC"/>
    <w:rsid w:val="001730C7"/>
    <w:rsid w:val="00174661"/>
    <w:rsid w:val="001749CD"/>
    <w:rsid w:val="0017534A"/>
    <w:rsid w:val="001757D6"/>
    <w:rsid w:val="00185E52"/>
    <w:rsid w:val="0018682F"/>
    <w:rsid w:val="00186952"/>
    <w:rsid w:val="00190705"/>
    <w:rsid w:val="00190E7F"/>
    <w:rsid w:val="001942CB"/>
    <w:rsid w:val="00194547"/>
    <w:rsid w:val="001961EC"/>
    <w:rsid w:val="00197195"/>
    <w:rsid w:val="0019785A"/>
    <w:rsid w:val="001A0A19"/>
    <w:rsid w:val="001A196B"/>
    <w:rsid w:val="001A36E8"/>
    <w:rsid w:val="001A4E7C"/>
    <w:rsid w:val="001A5B88"/>
    <w:rsid w:val="001A6626"/>
    <w:rsid w:val="001A6E92"/>
    <w:rsid w:val="001A7DFA"/>
    <w:rsid w:val="001B10AA"/>
    <w:rsid w:val="001B7B04"/>
    <w:rsid w:val="001C0427"/>
    <w:rsid w:val="001C1F80"/>
    <w:rsid w:val="001C3126"/>
    <w:rsid w:val="001C3155"/>
    <w:rsid w:val="001C3368"/>
    <w:rsid w:val="001C5666"/>
    <w:rsid w:val="001C5AF2"/>
    <w:rsid w:val="001C6648"/>
    <w:rsid w:val="001C6DCF"/>
    <w:rsid w:val="001C7FF9"/>
    <w:rsid w:val="001D19B5"/>
    <w:rsid w:val="001D40C6"/>
    <w:rsid w:val="001D52BC"/>
    <w:rsid w:val="001D7C06"/>
    <w:rsid w:val="001E074E"/>
    <w:rsid w:val="001E183F"/>
    <w:rsid w:val="001E2017"/>
    <w:rsid w:val="001E3AB8"/>
    <w:rsid w:val="001E3AF5"/>
    <w:rsid w:val="001E5A68"/>
    <w:rsid w:val="001E7E4D"/>
    <w:rsid w:val="001F0504"/>
    <w:rsid w:val="001F262F"/>
    <w:rsid w:val="001F4EFA"/>
    <w:rsid w:val="001F58BF"/>
    <w:rsid w:val="001F5E69"/>
    <w:rsid w:val="00200B95"/>
    <w:rsid w:val="002022CA"/>
    <w:rsid w:val="002023E5"/>
    <w:rsid w:val="00202FFE"/>
    <w:rsid w:val="00203545"/>
    <w:rsid w:val="00205A8D"/>
    <w:rsid w:val="00205B47"/>
    <w:rsid w:val="00205C43"/>
    <w:rsid w:val="002113D7"/>
    <w:rsid w:val="00211C4A"/>
    <w:rsid w:val="00212031"/>
    <w:rsid w:val="00212736"/>
    <w:rsid w:val="00212DB2"/>
    <w:rsid w:val="002142C2"/>
    <w:rsid w:val="00215160"/>
    <w:rsid w:val="0021624C"/>
    <w:rsid w:val="00220723"/>
    <w:rsid w:val="00221586"/>
    <w:rsid w:val="00222C18"/>
    <w:rsid w:val="002233D2"/>
    <w:rsid w:val="002249AF"/>
    <w:rsid w:val="00224CDF"/>
    <w:rsid w:val="002266BF"/>
    <w:rsid w:val="00227DE2"/>
    <w:rsid w:val="0023076E"/>
    <w:rsid w:val="00232BF4"/>
    <w:rsid w:val="00232E1F"/>
    <w:rsid w:val="00234B8E"/>
    <w:rsid w:val="002354C7"/>
    <w:rsid w:val="00241BD8"/>
    <w:rsid w:val="00241BEA"/>
    <w:rsid w:val="002422F2"/>
    <w:rsid w:val="0024314F"/>
    <w:rsid w:val="002439D2"/>
    <w:rsid w:val="0024443F"/>
    <w:rsid w:val="00247AD6"/>
    <w:rsid w:val="00250F63"/>
    <w:rsid w:val="00252E8E"/>
    <w:rsid w:val="00254F28"/>
    <w:rsid w:val="00256835"/>
    <w:rsid w:val="00257EA6"/>
    <w:rsid w:val="0026029E"/>
    <w:rsid w:val="00261F19"/>
    <w:rsid w:val="0026350D"/>
    <w:rsid w:val="00263A1A"/>
    <w:rsid w:val="00266A61"/>
    <w:rsid w:val="00266E8C"/>
    <w:rsid w:val="00267C16"/>
    <w:rsid w:val="00267D15"/>
    <w:rsid w:val="002701B3"/>
    <w:rsid w:val="002721DE"/>
    <w:rsid w:val="00273EEE"/>
    <w:rsid w:val="00275236"/>
    <w:rsid w:val="00275662"/>
    <w:rsid w:val="00276F40"/>
    <w:rsid w:val="002778DA"/>
    <w:rsid w:val="0028078A"/>
    <w:rsid w:val="00280FFE"/>
    <w:rsid w:val="00282699"/>
    <w:rsid w:val="00287D0C"/>
    <w:rsid w:val="00290632"/>
    <w:rsid w:val="0029147E"/>
    <w:rsid w:val="002930E7"/>
    <w:rsid w:val="002938CC"/>
    <w:rsid w:val="002952B3"/>
    <w:rsid w:val="00295F67"/>
    <w:rsid w:val="002960BB"/>
    <w:rsid w:val="002A085D"/>
    <w:rsid w:val="002A0B48"/>
    <w:rsid w:val="002A1319"/>
    <w:rsid w:val="002A2359"/>
    <w:rsid w:val="002A24AA"/>
    <w:rsid w:val="002A2654"/>
    <w:rsid w:val="002A26C1"/>
    <w:rsid w:val="002B113D"/>
    <w:rsid w:val="002B1B9E"/>
    <w:rsid w:val="002B23BF"/>
    <w:rsid w:val="002B3B14"/>
    <w:rsid w:val="002B5542"/>
    <w:rsid w:val="002B659F"/>
    <w:rsid w:val="002B7B3E"/>
    <w:rsid w:val="002B7C59"/>
    <w:rsid w:val="002C00BB"/>
    <w:rsid w:val="002C064F"/>
    <w:rsid w:val="002C06A7"/>
    <w:rsid w:val="002C242A"/>
    <w:rsid w:val="002C2558"/>
    <w:rsid w:val="002C2CB7"/>
    <w:rsid w:val="002C3B86"/>
    <w:rsid w:val="002E048D"/>
    <w:rsid w:val="002E0B2D"/>
    <w:rsid w:val="002E0CBD"/>
    <w:rsid w:val="002E1D1B"/>
    <w:rsid w:val="002E34B5"/>
    <w:rsid w:val="002E44B8"/>
    <w:rsid w:val="002E5F23"/>
    <w:rsid w:val="002E638D"/>
    <w:rsid w:val="002E6734"/>
    <w:rsid w:val="002E77E7"/>
    <w:rsid w:val="002E7DF7"/>
    <w:rsid w:val="002F1142"/>
    <w:rsid w:val="002F31F3"/>
    <w:rsid w:val="002F3B6A"/>
    <w:rsid w:val="002F5C18"/>
    <w:rsid w:val="002F616C"/>
    <w:rsid w:val="002F7C8E"/>
    <w:rsid w:val="00300E7A"/>
    <w:rsid w:val="0030115E"/>
    <w:rsid w:val="00303A8D"/>
    <w:rsid w:val="00306554"/>
    <w:rsid w:val="00307236"/>
    <w:rsid w:val="0031174F"/>
    <w:rsid w:val="00312A58"/>
    <w:rsid w:val="00314E29"/>
    <w:rsid w:val="00314EC5"/>
    <w:rsid w:val="003160B4"/>
    <w:rsid w:val="003177B5"/>
    <w:rsid w:val="003212EF"/>
    <w:rsid w:val="0032165D"/>
    <w:rsid w:val="003219F6"/>
    <w:rsid w:val="00321B97"/>
    <w:rsid w:val="00321FCE"/>
    <w:rsid w:val="0032242E"/>
    <w:rsid w:val="00322992"/>
    <w:rsid w:val="00324B92"/>
    <w:rsid w:val="0032515E"/>
    <w:rsid w:val="00325AEE"/>
    <w:rsid w:val="003267C7"/>
    <w:rsid w:val="00326A8B"/>
    <w:rsid w:val="003272F0"/>
    <w:rsid w:val="00327AE1"/>
    <w:rsid w:val="00327E8A"/>
    <w:rsid w:val="00330EA9"/>
    <w:rsid w:val="00330ED3"/>
    <w:rsid w:val="00331479"/>
    <w:rsid w:val="00331608"/>
    <w:rsid w:val="00333FBF"/>
    <w:rsid w:val="00334A53"/>
    <w:rsid w:val="003353C2"/>
    <w:rsid w:val="00335B5C"/>
    <w:rsid w:val="00336DB0"/>
    <w:rsid w:val="00342FC3"/>
    <w:rsid w:val="00344F92"/>
    <w:rsid w:val="003459C0"/>
    <w:rsid w:val="00352D9D"/>
    <w:rsid w:val="003541CD"/>
    <w:rsid w:val="003545C5"/>
    <w:rsid w:val="00354850"/>
    <w:rsid w:val="00354ACE"/>
    <w:rsid w:val="0035557B"/>
    <w:rsid w:val="00355F23"/>
    <w:rsid w:val="0035716E"/>
    <w:rsid w:val="003637C9"/>
    <w:rsid w:val="003663CE"/>
    <w:rsid w:val="0036716E"/>
    <w:rsid w:val="00367AC7"/>
    <w:rsid w:val="00370CB4"/>
    <w:rsid w:val="00371AE7"/>
    <w:rsid w:val="00372061"/>
    <w:rsid w:val="00372D2E"/>
    <w:rsid w:val="0037367E"/>
    <w:rsid w:val="0037453D"/>
    <w:rsid w:val="00376ECD"/>
    <w:rsid w:val="00386C66"/>
    <w:rsid w:val="0039030A"/>
    <w:rsid w:val="0039056A"/>
    <w:rsid w:val="00391E6C"/>
    <w:rsid w:val="003921C5"/>
    <w:rsid w:val="003927D0"/>
    <w:rsid w:val="003951CF"/>
    <w:rsid w:val="00395978"/>
    <w:rsid w:val="00397506"/>
    <w:rsid w:val="00397A60"/>
    <w:rsid w:val="00397F23"/>
    <w:rsid w:val="003A3E55"/>
    <w:rsid w:val="003A4540"/>
    <w:rsid w:val="003A5727"/>
    <w:rsid w:val="003A5E98"/>
    <w:rsid w:val="003A7E8D"/>
    <w:rsid w:val="003B34C6"/>
    <w:rsid w:val="003B7772"/>
    <w:rsid w:val="003C3891"/>
    <w:rsid w:val="003C51A5"/>
    <w:rsid w:val="003C7497"/>
    <w:rsid w:val="003D0FC3"/>
    <w:rsid w:val="003D33A2"/>
    <w:rsid w:val="003D5A90"/>
    <w:rsid w:val="003D6FCC"/>
    <w:rsid w:val="003E03CA"/>
    <w:rsid w:val="003E071A"/>
    <w:rsid w:val="003E3405"/>
    <w:rsid w:val="003E5284"/>
    <w:rsid w:val="003E6666"/>
    <w:rsid w:val="003E6781"/>
    <w:rsid w:val="003F0126"/>
    <w:rsid w:val="003F272D"/>
    <w:rsid w:val="003F34F9"/>
    <w:rsid w:val="003F4C87"/>
    <w:rsid w:val="003F5E03"/>
    <w:rsid w:val="003F626E"/>
    <w:rsid w:val="003F79A0"/>
    <w:rsid w:val="00400BB0"/>
    <w:rsid w:val="00401D04"/>
    <w:rsid w:val="00401ED3"/>
    <w:rsid w:val="00401F15"/>
    <w:rsid w:val="00403B5A"/>
    <w:rsid w:val="00403D22"/>
    <w:rsid w:val="00405108"/>
    <w:rsid w:val="004077F7"/>
    <w:rsid w:val="00407D5D"/>
    <w:rsid w:val="00410437"/>
    <w:rsid w:val="00410730"/>
    <w:rsid w:val="00411DDF"/>
    <w:rsid w:val="00412391"/>
    <w:rsid w:val="004127A2"/>
    <w:rsid w:val="00412918"/>
    <w:rsid w:val="00412FB6"/>
    <w:rsid w:val="00415394"/>
    <w:rsid w:val="00420A5E"/>
    <w:rsid w:val="00422E44"/>
    <w:rsid w:val="00427B5C"/>
    <w:rsid w:val="00432FE8"/>
    <w:rsid w:val="004332A9"/>
    <w:rsid w:val="00434E70"/>
    <w:rsid w:val="00443F27"/>
    <w:rsid w:val="00446225"/>
    <w:rsid w:val="00446AF2"/>
    <w:rsid w:val="0044729C"/>
    <w:rsid w:val="0044776C"/>
    <w:rsid w:val="00450199"/>
    <w:rsid w:val="00453E61"/>
    <w:rsid w:val="0045507F"/>
    <w:rsid w:val="00455B0E"/>
    <w:rsid w:val="0045742D"/>
    <w:rsid w:val="0045745B"/>
    <w:rsid w:val="0045785D"/>
    <w:rsid w:val="00460C11"/>
    <w:rsid w:val="00461591"/>
    <w:rsid w:val="00461683"/>
    <w:rsid w:val="004647A0"/>
    <w:rsid w:val="00465220"/>
    <w:rsid w:val="00465A88"/>
    <w:rsid w:val="004705B7"/>
    <w:rsid w:val="00472E67"/>
    <w:rsid w:val="00477333"/>
    <w:rsid w:val="00477A57"/>
    <w:rsid w:val="00480BC6"/>
    <w:rsid w:val="0048129D"/>
    <w:rsid w:val="00484792"/>
    <w:rsid w:val="0048524E"/>
    <w:rsid w:val="00485415"/>
    <w:rsid w:val="004862C1"/>
    <w:rsid w:val="00490CE5"/>
    <w:rsid w:val="00490D6B"/>
    <w:rsid w:val="00497CDD"/>
    <w:rsid w:val="00497F4B"/>
    <w:rsid w:val="004A0E92"/>
    <w:rsid w:val="004A0FBD"/>
    <w:rsid w:val="004A1E83"/>
    <w:rsid w:val="004A31AF"/>
    <w:rsid w:val="004A341E"/>
    <w:rsid w:val="004A3601"/>
    <w:rsid w:val="004A389D"/>
    <w:rsid w:val="004A3BF7"/>
    <w:rsid w:val="004A44A1"/>
    <w:rsid w:val="004A4A97"/>
    <w:rsid w:val="004A4CB6"/>
    <w:rsid w:val="004B1BBD"/>
    <w:rsid w:val="004B24F2"/>
    <w:rsid w:val="004B6897"/>
    <w:rsid w:val="004B6AEB"/>
    <w:rsid w:val="004B72BD"/>
    <w:rsid w:val="004C1605"/>
    <w:rsid w:val="004C30CA"/>
    <w:rsid w:val="004C4D2D"/>
    <w:rsid w:val="004C4FA3"/>
    <w:rsid w:val="004C5956"/>
    <w:rsid w:val="004C619E"/>
    <w:rsid w:val="004C6983"/>
    <w:rsid w:val="004C6AFF"/>
    <w:rsid w:val="004D0EDB"/>
    <w:rsid w:val="004D2A19"/>
    <w:rsid w:val="004D2AC8"/>
    <w:rsid w:val="004D5391"/>
    <w:rsid w:val="004E09D4"/>
    <w:rsid w:val="004E171F"/>
    <w:rsid w:val="004E2E5C"/>
    <w:rsid w:val="004E3BB1"/>
    <w:rsid w:val="004E50A1"/>
    <w:rsid w:val="004E50E6"/>
    <w:rsid w:val="004F110D"/>
    <w:rsid w:val="004F17B0"/>
    <w:rsid w:val="004F1DF3"/>
    <w:rsid w:val="004F3428"/>
    <w:rsid w:val="004F52F2"/>
    <w:rsid w:val="004F7B67"/>
    <w:rsid w:val="00500F6F"/>
    <w:rsid w:val="0050165A"/>
    <w:rsid w:val="005017AF"/>
    <w:rsid w:val="00504965"/>
    <w:rsid w:val="00505203"/>
    <w:rsid w:val="0050677D"/>
    <w:rsid w:val="005100CE"/>
    <w:rsid w:val="005102CE"/>
    <w:rsid w:val="00511F3D"/>
    <w:rsid w:val="0051228E"/>
    <w:rsid w:val="005124AF"/>
    <w:rsid w:val="00512FD0"/>
    <w:rsid w:val="0051320D"/>
    <w:rsid w:val="00513301"/>
    <w:rsid w:val="005161C8"/>
    <w:rsid w:val="0051620A"/>
    <w:rsid w:val="00516A5E"/>
    <w:rsid w:val="00516B2C"/>
    <w:rsid w:val="00522540"/>
    <w:rsid w:val="00522B85"/>
    <w:rsid w:val="00522CA0"/>
    <w:rsid w:val="005250B8"/>
    <w:rsid w:val="0052528E"/>
    <w:rsid w:val="00526D06"/>
    <w:rsid w:val="00526E48"/>
    <w:rsid w:val="005307E2"/>
    <w:rsid w:val="00531845"/>
    <w:rsid w:val="00532C4C"/>
    <w:rsid w:val="0053300B"/>
    <w:rsid w:val="005347DE"/>
    <w:rsid w:val="00535545"/>
    <w:rsid w:val="00535946"/>
    <w:rsid w:val="00535967"/>
    <w:rsid w:val="005367DF"/>
    <w:rsid w:val="00536A88"/>
    <w:rsid w:val="00536C73"/>
    <w:rsid w:val="00540CD4"/>
    <w:rsid w:val="0054266E"/>
    <w:rsid w:val="0054358F"/>
    <w:rsid w:val="005438B7"/>
    <w:rsid w:val="005456B5"/>
    <w:rsid w:val="0055089F"/>
    <w:rsid w:val="005525CC"/>
    <w:rsid w:val="0055273E"/>
    <w:rsid w:val="00553895"/>
    <w:rsid w:val="00554358"/>
    <w:rsid w:val="00554F07"/>
    <w:rsid w:val="0055587B"/>
    <w:rsid w:val="005569B5"/>
    <w:rsid w:val="00556AB4"/>
    <w:rsid w:val="0056079F"/>
    <w:rsid w:val="00564710"/>
    <w:rsid w:val="00565245"/>
    <w:rsid w:val="005652D5"/>
    <w:rsid w:val="005655C8"/>
    <w:rsid w:val="005666F6"/>
    <w:rsid w:val="00570C6B"/>
    <w:rsid w:val="00571FF0"/>
    <w:rsid w:val="0057393A"/>
    <w:rsid w:val="00574063"/>
    <w:rsid w:val="00582357"/>
    <w:rsid w:val="00582727"/>
    <w:rsid w:val="00582EF7"/>
    <w:rsid w:val="005855C6"/>
    <w:rsid w:val="005855FF"/>
    <w:rsid w:val="0059096A"/>
    <w:rsid w:val="005911CD"/>
    <w:rsid w:val="0059193D"/>
    <w:rsid w:val="00592B74"/>
    <w:rsid w:val="00593BF9"/>
    <w:rsid w:val="00595319"/>
    <w:rsid w:val="005A1140"/>
    <w:rsid w:val="005A1FCE"/>
    <w:rsid w:val="005A3DFB"/>
    <w:rsid w:val="005A42FA"/>
    <w:rsid w:val="005A4687"/>
    <w:rsid w:val="005B03DF"/>
    <w:rsid w:val="005B115E"/>
    <w:rsid w:val="005B141D"/>
    <w:rsid w:val="005B1E2D"/>
    <w:rsid w:val="005B27BA"/>
    <w:rsid w:val="005B333C"/>
    <w:rsid w:val="005C0560"/>
    <w:rsid w:val="005C1788"/>
    <w:rsid w:val="005C1E62"/>
    <w:rsid w:val="005C2C25"/>
    <w:rsid w:val="005C3181"/>
    <w:rsid w:val="005C4D81"/>
    <w:rsid w:val="005C55ED"/>
    <w:rsid w:val="005C5746"/>
    <w:rsid w:val="005D022D"/>
    <w:rsid w:val="005D0A08"/>
    <w:rsid w:val="005D2C73"/>
    <w:rsid w:val="005D51B2"/>
    <w:rsid w:val="005D5805"/>
    <w:rsid w:val="005D7258"/>
    <w:rsid w:val="005E31DE"/>
    <w:rsid w:val="005E34A9"/>
    <w:rsid w:val="005E3AF7"/>
    <w:rsid w:val="005E3DAC"/>
    <w:rsid w:val="005E54C0"/>
    <w:rsid w:val="005E59EB"/>
    <w:rsid w:val="005E5A34"/>
    <w:rsid w:val="005E7CF7"/>
    <w:rsid w:val="005F0091"/>
    <w:rsid w:val="005F1244"/>
    <w:rsid w:val="005F1B92"/>
    <w:rsid w:val="005F1F61"/>
    <w:rsid w:val="005F44E4"/>
    <w:rsid w:val="005F485E"/>
    <w:rsid w:val="005F50F0"/>
    <w:rsid w:val="005F7D55"/>
    <w:rsid w:val="0060604E"/>
    <w:rsid w:val="006063FD"/>
    <w:rsid w:val="00607990"/>
    <w:rsid w:val="006100EB"/>
    <w:rsid w:val="006112FC"/>
    <w:rsid w:val="0061175B"/>
    <w:rsid w:val="00613BA3"/>
    <w:rsid w:val="00615CD1"/>
    <w:rsid w:val="00616FA7"/>
    <w:rsid w:val="0062115A"/>
    <w:rsid w:val="00626B58"/>
    <w:rsid w:val="00626E46"/>
    <w:rsid w:val="00632948"/>
    <w:rsid w:val="006331DA"/>
    <w:rsid w:val="00634E3C"/>
    <w:rsid w:val="0063529A"/>
    <w:rsid w:val="00635C6C"/>
    <w:rsid w:val="0063645B"/>
    <w:rsid w:val="00640FF0"/>
    <w:rsid w:val="00641034"/>
    <w:rsid w:val="006412D5"/>
    <w:rsid w:val="00641F20"/>
    <w:rsid w:val="00643A93"/>
    <w:rsid w:val="0065173C"/>
    <w:rsid w:val="00653D45"/>
    <w:rsid w:val="00656FE7"/>
    <w:rsid w:val="00660D72"/>
    <w:rsid w:val="00662563"/>
    <w:rsid w:val="00663020"/>
    <w:rsid w:val="00664F3D"/>
    <w:rsid w:val="0066624E"/>
    <w:rsid w:val="00666FCA"/>
    <w:rsid w:val="006704BC"/>
    <w:rsid w:val="006715E5"/>
    <w:rsid w:val="00673D66"/>
    <w:rsid w:val="006741F0"/>
    <w:rsid w:val="00674ADC"/>
    <w:rsid w:val="006754A9"/>
    <w:rsid w:val="00677512"/>
    <w:rsid w:val="00680663"/>
    <w:rsid w:val="00680AE1"/>
    <w:rsid w:val="00681C60"/>
    <w:rsid w:val="00683FEB"/>
    <w:rsid w:val="00684023"/>
    <w:rsid w:val="00686E09"/>
    <w:rsid w:val="0068730F"/>
    <w:rsid w:val="00687D62"/>
    <w:rsid w:val="00690CD1"/>
    <w:rsid w:val="00690D68"/>
    <w:rsid w:val="00693159"/>
    <w:rsid w:val="00695C3D"/>
    <w:rsid w:val="006976F6"/>
    <w:rsid w:val="00697C59"/>
    <w:rsid w:val="006A084F"/>
    <w:rsid w:val="006A38D1"/>
    <w:rsid w:val="006A445C"/>
    <w:rsid w:val="006A49DC"/>
    <w:rsid w:val="006A5388"/>
    <w:rsid w:val="006A5A14"/>
    <w:rsid w:val="006A727E"/>
    <w:rsid w:val="006A74AD"/>
    <w:rsid w:val="006B0104"/>
    <w:rsid w:val="006B2B41"/>
    <w:rsid w:val="006B623D"/>
    <w:rsid w:val="006B72D5"/>
    <w:rsid w:val="006B7CC5"/>
    <w:rsid w:val="006C04A2"/>
    <w:rsid w:val="006C2285"/>
    <w:rsid w:val="006C294E"/>
    <w:rsid w:val="006C2F13"/>
    <w:rsid w:val="006C3BDB"/>
    <w:rsid w:val="006C3E9D"/>
    <w:rsid w:val="006C4359"/>
    <w:rsid w:val="006C43DC"/>
    <w:rsid w:val="006C59E8"/>
    <w:rsid w:val="006C61DF"/>
    <w:rsid w:val="006C64D0"/>
    <w:rsid w:val="006C7BA4"/>
    <w:rsid w:val="006D08DA"/>
    <w:rsid w:val="006D0D45"/>
    <w:rsid w:val="006D13F4"/>
    <w:rsid w:val="006D1824"/>
    <w:rsid w:val="006D1887"/>
    <w:rsid w:val="006D3AC2"/>
    <w:rsid w:val="006D6AC7"/>
    <w:rsid w:val="006E0650"/>
    <w:rsid w:val="006E3444"/>
    <w:rsid w:val="006E3812"/>
    <w:rsid w:val="006E4B54"/>
    <w:rsid w:val="006E7A22"/>
    <w:rsid w:val="006F1186"/>
    <w:rsid w:val="006F205A"/>
    <w:rsid w:val="006F23E7"/>
    <w:rsid w:val="006F24E7"/>
    <w:rsid w:val="00702C85"/>
    <w:rsid w:val="00703B0D"/>
    <w:rsid w:val="00704A5A"/>
    <w:rsid w:val="00704E7A"/>
    <w:rsid w:val="00715B11"/>
    <w:rsid w:val="0071736F"/>
    <w:rsid w:val="007177C9"/>
    <w:rsid w:val="00721632"/>
    <w:rsid w:val="00724DF6"/>
    <w:rsid w:val="00726A3D"/>
    <w:rsid w:val="007325BF"/>
    <w:rsid w:val="007348E5"/>
    <w:rsid w:val="00737078"/>
    <w:rsid w:val="007403F3"/>
    <w:rsid w:val="00740918"/>
    <w:rsid w:val="007426F8"/>
    <w:rsid w:val="00742B3F"/>
    <w:rsid w:val="007443F6"/>
    <w:rsid w:val="00744B62"/>
    <w:rsid w:val="00745770"/>
    <w:rsid w:val="00747E0C"/>
    <w:rsid w:val="007510C1"/>
    <w:rsid w:val="00752A46"/>
    <w:rsid w:val="0075695F"/>
    <w:rsid w:val="00757140"/>
    <w:rsid w:val="00757596"/>
    <w:rsid w:val="00760734"/>
    <w:rsid w:val="007626D0"/>
    <w:rsid w:val="0076302C"/>
    <w:rsid w:val="00764A1B"/>
    <w:rsid w:val="00766457"/>
    <w:rsid w:val="007664CB"/>
    <w:rsid w:val="00766E2D"/>
    <w:rsid w:val="00767C23"/>
    <w:rsid w:val="00770E0F"/>
    <w:rsid w:val="007711A6"/>
    <w:rsid w:val="00776F97"/>
    <w:rsid w:val="00777C02"/>
    <w:rsid w:val="007817C5"/>
    <w:rsid w:val="00783F9B"/>
    <w:rsid w:val="00784F44"/>
    <w:rsid w:val="00787847"/>
    <w:rsid w:val="00787AAD"/>
    <w:rsid w:val="00787D57"/>
    <w:rsid w:val="00787F32"/>
    <w:rsid w:val="00791220"/>
    <w:rsid w:val="007918FB"/>
    <w:rsid w:val="00797C70"/>
    <w:rsid w:val="007A01EF"/>
    <w:rsid w:val="007A0D4C"/>
    <w:rsid w:val="007A1020"/>
    <w:rsid w:val="007A3619"/>
    <w:rsid w:val="007A43E9"/>
    <w:rsid w:val="007A4D91"/>
    <w:rsid w:val="007A6715"/>
    <w:rsid w:val="007A7276"/>
    <w:rsid w:val="007A7ADC"/>
    <w:rsid w:val="007B014C"/>
    <w:rsid w:val="007B0AC6"/>
    <w:rsid w:val="007B3190"/>
    <w:rsid w:val="007B4406"/>
    <w:rsid w:val="007B4B4F"/>
    <w:rsid w:val="007B5191"/>
    <w:rsid w:val="007B6ED3"/>
    <w:rsid w:val="007C138E"/>
    <w:rsid w:val="007C214A"/>
    <w:rsid w:val="007C29E2"/>
    <w:rsid w:val="007C5F7E"/>
    <w:rsid w:val="007C750E"/>
    <w:rsid w:val="007C7BB9"/>
    <w:rsid w:val="007D3D11"/>
    <w:rsid w:val="007D415A"/>
    <w:rsid w:val="007D498D"/>
    <w:rsid w:val="007D7817"/>
    <w:rsid w:val="007E2599"/>
    <w:rsid w:val="007E2CF7"/>
    <w:rsid w:val="007E3EFD"/>
    <w:rsid w:val="007E6A12"/>
    <w:rsid w:val="007F5586"/>
    <w:rsid w:val="007F56BF"/>
    <w:rsid w:val="00801325"/>
    <w:rsid w:val="00802EEB"/>
    <w:rsid w:val="008042F7"/>
    <w:rsid w:val="008049E0"/>
    <w:rsid w:val="0080704D"/>
    <w:rsid w:val="00807081"/>
    <w:rsid w:val="0080717B"/>
    <w:rsid w:val="00810031"/>
    <w:rsid w:val="00810763"/>
    <w:rsid w:val="00810ACF"/>
    <w:rsid w:val="00811B4D"/>
    <w:rsid w:val="00815A2C"/>
    <w:rsid w:val="008171A7"/>
    <w:rsid w:val="008178E2"/>
    <w:rsid w:val="0082259E"/>
    <w:rsid w:val="00823CD1"/>
    <w:rsid w:val="00824971"/>
    <w:rsid w:val="00825B0A"/>
    <w:rsid w:val="008274A9"/>
    <w:rsid w:val="008306E7"/>
    <w:rsid w:val="00832FB3"/>
    <w:rsid w:val="00833AA6"/>
    <w:rsid w:val="00834CC5"/>
    <w:rsid w:val="008369E9"/>
    <w:rsid w:val="00842C14"/>
    <w:rsid w:val="008455FC"/>
    <w:rsid w:val="008457CC"/>
    <w:rsid w:val="008460A4"/>
    <w:rsid w:val="0084666B"/>
    <w:rsid w:val="0084782B"/>
    <w:rsid w:val="0085018D"/>
    <w:rsid w:val="0085029C"/>
    <w:rsid w:val="00850B80"/>
    <w:rsid w:val="008545BA"/>
    <w:rsid w:val="00856FEE"/>
    <w:rsid w:val="008574C9"/>
    <w:rsid w:val="0086055F"/>
    <w:rsid w:val="00862603"/>
    <w:rsid w:val="00863863"/>
    <w:rsid w:val="00865E6E"/>
    <w:rsid w:val="00866932"/>
    <w:rsid w:val="00866EE4"/>
    <w:rsid w:val="008672C7"/>
    <w:rsid w:val="00867CFB"/>
    <w:rsid w:val="008734E9"/>
    <w:rsid w:val="008754F2"/>
    <w:rsid w:val="00876E57"/>
    <w:rsid w:val="00877287"/>
    <w:rsid w:val="0088004D"/>
    <w:rsid w:val="008828CF"/>
    <w:rsid w:val="008837D9"/>
    <w:rsid w:val="0088466C"/>
    <w:rsid w:val="0088521D"/>
    <w:rsid w:val="00885A4C"/>
    <w:rsid w:val="008873C0"/>
    <w:rsid w:val="00887904"/>
    <w:rsid w:val="00891776"/>
    <w:rsid w:val="0089199C"/>
    <w:rsid w:val="0089301E"/>
    <w:rsid w:val="00894421"/>
    <w:rsid w:val="008975E1"/>
    <w:rsid w:val="008976B3"/>
    <w:rsid w:val="0089781B"/>
    <w:rsid w:val="008A3789"/>
    <w:rsid w:val="008A3ED6"/>
    <w:rsid w:val="008A6561"/>
    <w:rsid w:val="008A6D01"/>
    <w:rsid w:val="008A79DC"/>
    <w:rsid w:val="008A7E0F"/>
    <w:rsid w:val="008B0AD2"/>
    <w:rsid w:val="008B0B85"/>
    <w:rsid w:val="008B14EF"/>
    <w:rsid w:val="008B2E08"/>
    <w:rsid w:val="008B3599"/>
    <w:rsid w:val="008B4146"/>
    <w:rsid w:val="008B6641"/>
    <w:rsid w:val="008B6753"/>
    <w:rsid w:val="008B7BDB"/>
    <w:rsid w:val="008C0145"/>
    <w:rsid w:val="008C27C5"/>
    <w:rsid w:val="008C483C"/>
    <w:rsid w:val="008C64DE"/>
    <w:rsid w:val="008C778C"/>
    <w:rsid w:val="008D0365"/>
    <w:rsid w:val="008D14BC"/>
    <w:rsid w:val="008D211F"/>
    <w:rsid w:val="008D41A4"/>
    <w:rsid w:val="008D53F9"/>
    <w:rsid w:val="008D6269"/>
    <w:rsid w:val="008E6352"/>
    <w:rsid w:val="008E7330"/>
    <w:rsid w:val="008E7B50"/>
    <w:rsid w:val="008F007B"/>
    <w:rsid w:val="008F10E1"/>
    <w:rsid w:val="008F12DD"/>
    <w:rsid w:val="008F18CA"/>
    <w:rsid w:val="008F304A"/>
    <w:rsid w:val="008F4050"/>
    <w:rsid w:val="008F542E"/>
    <w:rsid w:val="009006A0"/>
    <w:rsid w:val="0090373E"/>
    <w:rsid w:val="00903829"/>
    <w:rsid w:val="00904CC0"/>
    <w:rsid w:val="009054A9"/>
    <w:rsid w:val="0091038D"/>
    <w:rsid w:val="009111A1"/>
    <w:rsid w:val="00912579"/>
    <w:rsid w:val="00913526"/>
    <w:rsid w:val="00913F92"/>
    <w:rsid w:val="00915E95"/>
    <w:rsid w:val="00916CAA"/>
    <w:rsid w:val="0092070B"/>
    <w:rsid w:val="00921F8B"/>
    <w:rsid w:val="00923070"/>
    <w:rsid w:val="0092491A"/>
    <w:rsid w:val="0092555E"/>
    <w:rsid w:val="00925802"/>
    <w:rsid w:val="009266AC"/>
    <w:rsid w:val="00926CD8"/>
    <w:rsid w:val="00927416"/>
    <w:rsid w:val="009304B9"/>
    <w:rsid w:val="00933ECE"/>
    <w:rsid w:val="00934D5A"/>
    <w:rsid w:val="00934F0B"/>
    <w:rsid w:val="009372B4"/>
    <w:rsid w:val="009416F8"/>
    <w:rsid w:val="009425D9"/>
    <w:rsid w:val="009436C2"/>
    <w:rsid w:val="00945672"/>
    <w:rsid w:val="00950B79"/>
    <w:rsid w:val="009545A0"/>
    <w:rsid w:val="009550B1"/>
    <w:rsid w:val="00955AC1"/>
    <w:rsid w:val="0095772D"/>
    <w:rsid w:val="00960EB9"/>
    <w:rsid w:val="00962F00"/>
    <w:rsid w:val="00963901"/>
    <w:rsid w:val="0096481A"/>
    <w:rsid w:val="00965F88"/>
    <w:rsid w:val="00972DD1"/>
    <w:rsid w:val="00974F52"/>
    <w:rsid w:val="00975601"/>
    <w:rsid w:val="00976C60"/>
    <w:rsid w:val="009777C3"/>
    <w:rsid w:val="00980742"/>
    <w:rsid w:val="009811AE"/>
    <w:rsid w:val="009813ED"/>
    <w:rsid w:val="009828AD"/>
    <w:rsid w:val="00984C6E"/>
    <w:rsid w:val="00984D0A"/>
    <w:rsid w:val="00986A7C"/>
    <w:rsid w:val="0098746E"/>
    <w:rsid w:val="009875F9"/>
    <w:rsid w:val="009906C2"/>
    <w:rsid w:val="00991FFF"/>
    <w:rsid w:val="00992FA0"/>
    <w:rsid w:val="00994846"/>
    <w:rsid w:val="00994FD2"/>
    <w:rsid w:val="00996909"/>
    <w:rsid w:val="00996A3F"/>
    <w:rsid w:val="009A00F3"/>
    <w:rsid w:val="009A4AC9"/>
    <w:rsid w:val="009A572B"/>
    <w:rsid w:val="009A5D94"/>
    <w:rsid w:val="009A7BE9"/>
    <w:rsid w:val="009B026D"/>
    <w:rsid w:val="009B0442"/>
    <w:rsid w:val="009B1DC1"/>
    <w:rsid w:val="009B32DF"/>
    <w:rsid w:val="009C28C0"/>
    <w:rsid w:val="009C3E02"/>
    <w:rsid w:val="009C5458"/>
    <w:rsid w:val="009C63B5"/>
    <w:rsid w:val="009D3493"/>
    <w:rsid w:val="009D69AB"/>
    <w:rsid w:val="009D6FEE"/>
    <w:rsid w:val="009D71A2"/>
    <w:rsid w:val="009D7EE4"/>
    <w:rsid w:val="009E01B0"/>
    <w:rsid w:val="009E22A8"/>
    <w:rsid w:val="009E2B79"/>
    <w:rsid w:val="009E349C"/>
    <w:rsid w:val="009E37A7"/>
    <w:rsid w:val="009E3E0D"/>
    <w:rsid w:val="009E57E4"/>
    <w:rsid w:val="009E74EE"/>
    <w:rsid w:val="009E7665"/>
    <w:rsid w:val="009F1802"/>
    <w:rsid w:val="009F2804"/>
    <w:rsid w:val="009F4E4E"/>
    <w:rsid w:val="009F5FCB"/>
    <w:rsid w:val="00A02101"/>
    <w:rsid w:val="00A04B32"/>
    <w:rsid w:val="00A1018E"/>
    <w:rsid w:val="00A10BA7"/>
    <w:rsid w:val="00A12A17"/>
    <w:rsid w:val="00A12FAC"/>
    <w:rsid w:val="00A14E5E"/>
    <w:rsid w:val="00A15283"/>
    <w:rsid w:val="00A15526"/>
    <w:rsid w:val="00A15F09"/>
    <w:rsid w:val="00A2280A"/>
    <w:rsid w:val="00A22B06"/>
    <w:rsid w:val="00A22C16"/>
    <w:rsid w:val="00A23789"/>
    <w:rsid w:val="00A242F7"/>
    <w:rsid w:val="00A30578"/>
    <w:rsid w:val="00A3132D"/>
    <w:rsid w:val="00A32ADD"/>
    <w:rsid w:val="00A34267"/>
    <w:rsid w:val="00A348F8"/>
    <w:rsid w:val="00A3505F"/>
    <w:rsid w:val="00A3537D"/>
    <w:rsid w:val="00A3786C"/>
    <w:rsid w:val="00A4036B"/>
    <w:rsid w:val="00A40520"/>
    <w:rsid w:val="00A430D0"/>
    <w:rsid w:val="00A430D8"/>
    <w:rsid w:val="00A439FA"/>
    <w:rsid w:val="00A45B74"/>
    <w:rsid w:val="00A4621D"/>
    <w:rsid w:val="00A46DE5"/>
    <w:rsid w:val="00A54DC4"/>
    <w:rsid w:val="00A55A26"/>
    <w:rsid w:val="00A56832"/>
    <w:rsid w:val="00A57C0F"/>
    <w:rsid w:val="00A627B8"/>
    <w:rsid w:val="00A65D93"/>
    <w:rsid w:val="00A66F0C"/>
    <w:rsid w:val="00A70790"/>
    <w:rsid w:val="00A715D8"/>
    <w:rsid w:val="00A71F34"/>
    <w:rsid w:val="00A7304F"/>
    <w:rsid w:val="00A73B57"/>
    <w:rsid w:val="00A7492F"/>
    <w:rsid w:val="00A7617B"/>
    <w:rsid w:val="00A81075"/>
    <w:rsid w:val="00A84D5C"/>
    <w:rsid w:val="00A85A1D"/>
    <w:rsid w:val="00A87E9E"/>
    <w:rsid w:val="00A93284"/>
    <w:rsid w:val="00A94B44"/>
    <w:rsid w:val="00A9742A"/>
    <w:rsid w:val="00AA0E97"/>
    <w:rsid w:val="00AA10B0"/>
    <w:rsid w:val="00AA13BF"/>
    <w:rsid w:val="00AA17BB"/>
    <w:rsid w:val="00AA3D7B"/>
    <w:rsid w:val="00AB1762"/>
    <w:rsid w:val="00AB367E"/>
    <w:rsid w:val="00AB36BC"/>
    <w:rsid w:val="00AB3A86"/>
    <w:rsid w:val="00AB5F4A"/>
    <w:rsid w:val="00AC31E8"/>
    <w:rsid w:val="00AC3303"/>
    <w:rsid w:val="00AC3621"/>
    <w:rsid w:val="00AC4751"/>
    <w:rsid w:val="00AC591E"/>
    <w:rsid w:val="00AC5AA0"/>
    <w:rsid w:val="00AD184C"/>
    <w:rsid w:val="00AD2A62"/>
    <w:rsid w:val="00AD35EA"/>
    <w:rsid w:val="00AD42B6"/>
    <w:rsid w:val="00AE29CB"/>
    <w:rsid w:val="00AE40FF"/>
    <w:rsid w:val="00AE4A62"/>
    <w:rsid w:val="00AE6C84"/>
    <w:rsid w:val="00AF00DD"/>
    <w:rsid w:val="00AF0196"/>
    <w:rsid w:val="00AF08D6"/>
    <w:rsid w:val="00AF4743"/>
    <w:rsid w:val="00AF7322"/>
    <w:rsid w:val="00B00AD1"/>
    <w:rsid w:val="00B021B1"/>
    <w:rsid w:val="00B04DCF"/>
    <w:rsid w:val="00B06967"/>
    <w:rsid w:val="00B07CDD"/>
    <w:rsid w:val="00B07DA2"/>
    <w:rsid w:val="00B1102F"/>
    <w:rsid w:val="00B122D0"/>
    <w:rsid w:val="00B12436"/>
    <w:rsid w:val="00B12E2B"/>
    <w:rsid w:val="00B17E29"/>
    <w:rsid w:val="00B200E2"/>
    <w:rsid w:val="00B213D6"/>
    <w:rsid w:val="00B26F4B"/>
    <w:rsid w:val="00B34A74"/>
    <w:rsid w:val="00B34BEB"/>
    <w:rsid w:val="00B34F4C"/>
    <w:rsid w:val="00B35445"/>
    <w:rsid w:val="00B35B41"/>
    <w:rsid w:val="00B371AC"/>
    <w:rsid w:val="00B37F77"/>
    <w:rsid w:val="00B42E47"/>
    <w:rsid w:val="00B43085"/>
    <w:rsid w:val="00B45032"/>
    <w:rsid w:val="00B5190D"/>
    <w:rsid w:val="00B540E1"/>
    <w:rsid w:val="00B543F0"/>
    <w:rsid w:val="00B54E52"/>
    <w:rsid w:val="00B558D5"/>
    <w:rsid w:val="00B55FEB"/>
    <w:rsid w:val="00B569B0"/>
    <w:rsid w:val="00B57866"/>
    <w:rsid w:val="00B60ACB"/>
    <w:rsid w:val="00B61B6C"/>
    <w:rsid w:val="00B61BF0"/>
    <w:rsid w:val="00B63AFE"/>
    <w:rsid w:val="00B64FF0"/>
    <w:rsid w:val="00B6559D"/>
    <w:rsid w:val="00B6622F"/>
    <w:rsid w:val="00B6646D"/>
    <w:rsid w:val="00B66FA6"/>
    <w:rsid w:val="00B711A4"/>
    <w:rsid w:val="00B7196C"/>
    <w:rsid w:val="00B72F55"/>
    <w:rsid w:val="00B750EE"/>
    <w:rsid w:val="00B761EE"/>
    <w:rsid w:val="00B769FD"/>
    <w:rsid w:val="00B76FC1"/>
    <w:rsid w:val="00B77781"/>
    <w:rsid w:val="00B834BF"/>
    <w:rsid w:val="00B8444C"/>
    <w:rsid w:val="00B85F6A"/>
    <w:rsid w:val="00B86478"/>
    <w:rsid w:val="00B90AD8"/>
    <w:rsid w:val="00B90C67"/>
    <w:rsid w:val="00B92083"/>
    <w:rsid w:val="00B92528"/>
    <w:rsid w:val="00B94F0D"/>
    <w:rsid w:val="00B9500D"/>
    <w:rsid w:val="00B965BF"/>
    <w:rsid w:val="00B97C7D"/>
    <w:rsid w:val="00BA0379"/>
    <w:rsid w:val="00BA2757"/>
    <w:rsid w:val="00BA5398"/>
    <w:rsid w:val="00BA6445"/>
    <w:rsid w:val="00BA73C2"/>
    <w:rsid w:val="00BB01D3"/>
    <w:rsid w:val="00BB14E5"/>
    <w:rsid w:val="00BB2F1A"/>
    <w:rsid w:val="00BB2F5A"/>
    <w:rsid w:val="00BB59D1"/>
    <w:rsid w:val="00BB67B5"/>
    <w:rsid w:val="00BB7972"/>
    <w:rsid w:val="00BC117A"/>
    <w:rsid w:val="00BC1B01"/>
    <w:rsid w:val="00BC41B9"/>
    <w:rsid w:val="00BC4516"/>
    <w:rsid w:val="00BC76F6"/>
    <w:rsid w:val="00BD2AB6"/>
    <w:rsid w:val="00BD4E5E"/>
    <w:rsid w:val="00BD51B1"/>
    <w:rsid w:val="00BD71B2"/>
    <w:rsid w:val="00BE0523"/>
    <w:rsid w:val="00BE076F"/>
    <w:rsid w:val="00BE2444"/>
    <w:rsid w:val="00BE3369"/>
    <w:rsid w:val="00BE47B7"/>
    <w:rsid w:val="00BE5F59"/>
    <w:rsid w:val="00BE7098"/>
    <w:rsid w:val="00BE753C"/>
    <w:rsid w:val="00BF0616"/>
    <w:rsid w:val="00BF097D"/>
    <w:rsid w:val="00BF2C13"/>
    <w:rsid w:val="00BF2C6D"/>
    <w:rsid w:val="00BF3256"/>
    <w:rsid w:val="00BF3389"/>
    <w:rsid w:val="00BF41FF"/>
    <w:rsid w:val="00BF45E1"/>
    <w:rsid w:val="00C00C59"/>
    <w:rsid w:val="00C066A7"/>
    <w:rsid w:val="00C10049"/>
    <w:rsid w:val="00C113AD"/>
    <w:rsid w:val="00C11DE8"/>
    <w:rsid w:val="00C125D2"/>
    <w:rsid w:val="00C140AC"/>
    <w:rsid w:val="00C14186"/>
    <w:rsid w:val="00C1482E"/>
    <w:rsid w:val="00C1687D"/>
    <w:rsid w:val="00C16E7D"/>
    <w:rsid w:val="00C16FF1"/>
    <w:rsid w:val="00C20E00"/>
    <w:rsid w:val="00C221C5"/>
    <w:rsid w:val="00C2242A"/>
    <w:rsid w:val="00C2550D"/>
    <w:rsid w:val="00C25711"/>
    <w:rsid w:val="00C2760E"/>
    <w:rsid w:val="00C31F3A"/>
    <w:rsid w:val="00C328C1"/>
    <w:rsid w:val="00C33194"/>
    <w:rsid w:val="00C33E24"/>
    <w:rsid w:val="00C343C1"/>
    <w:rsid w:val="00C379B8"/>
    <w:rsid w:val="00C409F0"/>
    <w:rsid w:val="00C42FB5"/>
    <w:rsid w:val="00C44A51"/>
    <w:rsid w:val="00C45232"/>
    <w:rsid w:val="00C46534"/>
    <w:rsid w:val="00C46EFF"/>
    <w:rsid w:val="00C4746B"/>
    <w:rsid w:val="00C521B8"/>
    <w:rsid w:val="00C52975"/>
    <w:rsid w:val="00C5368B"/>
    <w:rsid w:val="00C551FD"/>
    <w:rsid w:val="00C60357"/>
    <w:rsid w:val="00C632F7"/>
    <w:rsid w:val="00C63821"/>
    <w:rsid w:val="00C643AE"/>
    <w:rsid w:val="00C654AE"/>
    <w:rsid w:val="00C655DE"/>
    <w:rsid w:val="00C66968"/>
    <w:rsid w:val="00C67353"/>
    <w:rsid w:val="00C7163A"/>
    <w:rsid w:val="00C73B8F"/>
    <w:rsid w:val="00C76DB7"/>
    <w:rsid w:val="00C80AF2"/>
    <w:rsid w:val="00C81298"/>
    <w:rsid w:val="00C815B4"/>
    <w:rsid w:val="00C838C8"/>
    <w:rsid w:val="00C84065"/>
    <w:rsid w:val="00C85B14"/>
    <w:rsid w:val="00C8665B"/>
    <w:rsid w:val="00C86DA7"/>
    <w:rsid w:val="00C86FAF"/>
    <w:rsid w:val="00C93C0B"/>
    <w:rsid w:val="00C96AEC"/>
    <w:rsid w:val="00CA13D1"/>
    <w:rsid w:val="00CA15EE"/>
    <w:rsid w:val="00CA3E15"/>
    <w:rsid w:val="00CA5018"/>
    <w:rsid w:val="00CA5C6C"/>
    <w:rsid w:val="00CA5CAD"/>
    <w:rsid w:val="00CA7405"/>
    <w:rsid w:val="00CA7CF9"/>
    <w:rsid w:val="00CB0118"/>
    <w:rsid w:val="00CB03F1"/>
    <w:rsid w:val="00CB12F7"/>
    <w:rsid w:val="00CB15CC"/>
    <w:rsid w:val="00CB2A42"/>
    <w:rsid w:val="00CB2A89"/>
    <w:rsid w:val="00CB2F9A"/>
    <w:rsid w:val="00CB31DC"/>
    <w:rsid w:val="00CC1790"/>
    <w:rsid w:val="00CC2B99"/>
    <w:rsid w:val="00CC3AAF"/>
    <w:rsid w:val="00CC488C"/>
    <w:rsid w:val="00CC6F2E"/>
    <w:rsid w:val="00CC7205"/>
    <w:rsid w:val="00CC7A2B"/>
    <w:rsid w:val="00CD15C3"/>
    <w:rsid w:val="00CD1D27"/>
    <w:rsid w:val="00CD2D3A"/>
    <w:rsid w:val="00CD31B1"/>
    <w:rsid w:val="00CD34FE"/>
    <w:rsid w:val="00CD51E6"/>
    <w:rsid w:val="00CD5BD6"/>
    <w:rsid w:val="00CD70A3"/>
    <w:rsid w:val="00CD7A15"/>
    <w:rsid w:val="00CE038B"/>
    <w:rsid w:val="00CE088C"/>
    <w:rsid w:val="00CE103E"/>
    <w:rsid w:val="00CE3DD6"/>
    <w:rsid w:val="00CE593C"/>
    <w:rsid w:val="00CE594B"/>
    <w:rsid w:val="00CF122C"/>
    <w:rsid w:val="00CF122F"/>
    <w:rsid w:val="00CF24B2"/>
    <w:rsid w:val="00CF53F8"/>
    <w:rsid w:val="00D017D4"/>
    <w:rsid w:val="00D02557"/>
    <w:rsid w:val="00D0428B"/>
    <w:rsid w:val="00D11393"/>
    <w:rsid w:val="00D12A4B"/>
    <w:rsid w:val="00D131C7"/>
    <w:rsid w:val="00D13692"/>
    <w:rsid w:val="00D20BF5"/>
    <w:rsid w:val="00D22A64"/>
    <w:rsid w:val="00D241AB"/>
    <w:rsid w:val="00D263DA"/>
    <w:rsid w:val="00D2732B"/>
    <w:rsid w:val="00D30D44"/>
    <w:rsid w:val="00D30E4F"/>
    <w:rsid w:val="00D31CEE"/>
    <w:rsid w:val="00D31D6C"/>
    <w:rsid w:val="00D3370D"/>
    <w:rsid w:val="00D3412B"/>
    <w:rsid w:val="00D3487A"/>
    <w:rsid w:val="00D3759B"/>
    <w:rsid w:val="00D402D6"/>
    <w:rsid w:val="00D404B6"/>
    <w:rsid w:val="00D40BF5"/>
    <w:rsid w:val="00D40DF1"/>
    <w:rsid w:val="00D416E7"/>
    <w:rsid w:val="00D41947"/>
    <w:rsid w:val="00D4300A"/>
    <w:rsid w:val="00D4509B"/>
    <w:rsid w:val="00D4558E"/>
    <w:rsid w:val="00D4634D"/>
    <w:rsid w:val="00D47A34"/>
    <w:rsid w:val="00D5030C"/>
    <w:rsid w:val="00D54501"/>
    <w:rsid w:val="00D56909"/>
    <w:rsid w:val="00D605FC"/>
    <w:rsid w:val="00D64B79"/>
    <w:rsid w:val="00D66088"/>
    <w:rsid w:val="00D70BA8"/>
    <w:rsid w:val="00D71042"/>
    <w:rsid w:val="00D71334"/>
    <w:rsid w:val="00D71A68"/>
    <w:rsid w:val="00D72B9E"/>
    <w:rsid w:val="00D7428A"/>
    <w:rsid w:val="00D74A29"/>
    <w:rsid w:val="00D7543C"/>
    <w:rsid w:val="00D754EE"/>
    <w:rsid w:val="00D76559"/>
    <w:rsid w:val="00D80A77"/>
    <w:rsid w:val="00D83157"/>
    <w:rsid w:val="00D83221"/>
    <w:rsid w:val="00D84EF4"/>
    <w:rsid w:val="00D862F3"/>
    <w:rsid w:val="00D91405"/>
    <w:rsid w:val="00D91D6B"/>
    <w:rsid w:val="00D92A6F"/>
    <w:rsid w:val="00D9323B"/>
    <w:rsid w:val="00D9374D"/>
    <w:rsid w:val="00D9420B"/>
    <w:rsid w:val="00D949F8"/>
    <w:rsid w:val="00D95312"/>
    <w:rsid w:val="00D957A6"/>
    <w:rsid w:val="00DA09E7"/>
    <w:rsid w:val="00DA1EC2"/>
    <w:rsid w:val="00DA3F61"/>
    <w:rsid w:val="00DA7256"/>
    <w:rsid w:val="00DB0C01"/>
    <w:rsid w:val="00DB12C4"/>
    <w:rsid w:val="00DB446E"/>
    <w:rsid w:val="00DB5FE7"/>
    <w:rsid w:val="00DB6F44"/>
    <w:rsid w:val="00DC055B"/>
    <w:rsid w:val="00DC06C8"/>
    <w:rsid w:val="00DC205A"/>
    <w:rsid w:val="00DC4EA9"/>
    <w:rsid w:val="00DC57A2"/>
    <w:rsid w:val="00DD0A54"/>
    <w:rsid w:val="00DD3C0A"/>
    <w:rsid w:val="00DD4545"/>
    <w:rsid w:val="00DD4C69"/>
    <w:rsid w:val="00DE1564"/>
    <w:rsid w:val="00DE15C7"/>
    <w:rsid w:val="00DE1D08"/>
    <w:rsid w:val="00DE2729"/>
    <w:rsid w:val="00DE28CD"/>
    <w:rsid w:val="00DE31AC"/>
    <w:rsid w:val="00DE3643"/>
    <w:rsid w:val="00DE3B68"/>
    <w:rsid w:val="00DE4A7E"/>
    <w:rsid w:val="00DE5A77"/>
    <w:rsid w:val="00DE7D00"/>
    <w:rsid w:val="00DF2B5F"/>
    <w:rsid w:val="00DF2C74"/>
    <w:rsid w:val="00DF35AC"/>
    <w:rsid w:val="00DF545B"/>
    <w:rsid w:val="00DF722E"/>
    <w:rsid w:val="00DF7E89"/>
    <w:rsid w:val="00E0049B"/>
    <w:rsid w:val="00E0336E"/>
    <w:rsid w:val="00E0479F"/>
    <w:rsid w:val="00E04AB9"/>
    <w:rsid w:val="00E060D0"/>
    <w:rsid w:val="00E078B7"/>
    <w:rsid w:val="00E12B55"/>
    <w:rsid w:val="00E13F0F"/>
    <w:rsid w:val="00E141E4"/>
    <w:rsid w:val="00E152CB"/>
    <w:rsid w:val="00E2013E"/>
    <w:rsid w:val="00E207B4"/>
    <w:rsid w:val="00E21627"/>
    <w:rsid w:val="00E236E6"/>
    <w:rsid w:val="00E27515"/>
    <w:rsid w:val="00E27949"/>
    <w:rsid w:val="00E30B5A"/>
    <w:rsid w:val="00E30E98"/>
    <w:rsid w:val="00E34088"/>
    <w:rsid w:val="00E3438C"/>
    <w:rsid w:val="00E34DA4"/>
    <w:rsid w:val="00E35E40"/>
    <w:rsid w:val="00E364A0"/>
    <w:rsid w:val="00E36DFA"/>
    <w:rsid w:val="00E40280"/>
    <w:rsid w:val="00E40AC3"/>
    <w:rsid w:val="00E41FAC"/>
    <w:rsid w:val="00E45F2F"/>
    <w:rsid w:val="00E504A3"/>
    <w:rsid w:val="00E509A3"/>
    <w:rsid w:val="00E517D2"/>
    <w:rsid w:val="00E51D80"/>
    <w:rsid w:val="00E523CF"/>
    <w:rsid w:val="00E54ED2"/>
    <w:rsid w:val="00E55D48"/>
    <w:rsid w:val="00E601C1"/>
    <w:rsid w:val="00E65102"/>
    <w:rsid w:val="00E6708E"/>
    <w:rsid w:val="00E70642"/>
    <w:rsid w:val="00E70AFD"/>
    <w:rsid w:val="00E72A0A"/>
    <w:rsid w:val="00E7322D"/>
    <w:rsid w:val="00E742A4"/>
    <w:rsid w:val="00E75963"/>
    <w:rsid w:val="00E75E04"/>
    <w:rsid w:val="00E76031"/>
    <w:rsid w:val="00E773E7"/>
    <w:rsid w:val="00E8015E"/>
    <w:rsid w:val="00E857AC"/>
    <w:rsid w:val="00E85B39"/>
    <w:rsid w:val="00E868B1"/>
    <w:rsid w:val="00E86967"/>
    <w:rsid w:val="00E879D4"/>
    <w:rsid w:val="00E903D2"/>
    <w:rsid w:val="00E90523"/>
    <w:rsid w:val="00E90853"/>
    <w:rsid w:val="00E90BEA"/>
    <w:rsid w:val="00E91B4F"/>
    <w:rsid w:val="00E92623"/>
    <w:rsid w:val="00E92D2B"/>
    <w:rsid w:val="00E92F80"/>
    <w:rsid w:val="00E94E13"/>
    <w:rsid w:val="00E96F5B"/>
    <w:rsid w:val="00EA1831"/>
    <w:rsid w:val="00EA570F"/>
    <w:rsid w:val="00EA5A21"/>
    <w:rsid w:val="00EA60FE"/>
    <w:rsid w:val="00EA78AE"/>
    <w:rsid w:val="00EB32E2"/>
    <w:rsid w:val="00EB7983"/>
    <w:rsid w:val="00EC0B18"/>
    <w:rsid w:val="00EC21BA"/>
    <w:rsid w:val="00EC229C"/>
    <w:rsid w:val="00EC2E31"/>
    <w:rsid w:val="00EC64A7"/>
    <w:rsid w:val="00EC64DD"/>
    <w:rsid w:val="00EC7237"/>
    <w:rsid w:val="00EC7FC8"/>
    <w:rsid w:val="00ED0510"/>
    <w:rsid w:val="00ED3FF0"/>
    <w:rsid w:val="00ED4F95"/>
    <w:rsid w:val="00EE1FCB"/>
    <w:rsid w:val="00EE33AF"/>
    <w:rsid w:val="00EE404C"/>
    <w:rsid w:val="00EF0648"/>
    <w:rsid w:val="00EF1BE3"/>
    <w:rsid w:val="00EF3341"/>
    <w:rsid w:val="00EF6AC9"/>
    <w:rsid w:val="00EF7497"/>
    <w:rsid w:val="00EF76EE"/>
    <w:rsid w:val="00F00F53"/>
    <w:rsid w:val="00F04238"/>
    <w:rsid w:val="00F05F3F"/>
    <w:rsid w:val="00F074A2"/>
    <w:rsid w:val="00F07EF5"/>
    <w:rsid w:val="00F10936"/>
    <w:rsid w:val="00F13773"/>
    <w:rsid w:val="00F147E6"/>
    <w:rsid w:val="00F14ACF"/>
    <w:rsid w:val="00F152AB"/>
    <w:rsid w:val="00F159F6"/>
    <w:rsid w:val="00F16295"/>
    <w:rsid w:val="00F163C3"/>
    <w:rsid w:val="00F163F7"/>
    <w:rsid w:val="00F213E7"/>
    <w:rsid w:val="00F21479"/>
    <w:rsid w:val="00F2367A"/>
    <w:rsid w:val="00F25CF9"/>
    <w:rsid w:val="00F2734A"/>
    <w:rsid w:val="00F302C7"/>
    <w:rsid w:val="00F30D46"/>
    <w:rsid w:val="00F31202"/>
    <w:rsid w:val="00F314DE"/>
    <w:rsid w:val="00F31E29"/>
    <w:rsid w:val="00F31FC0"/>
    <w:rsid w:val="00F3229A"/>
    <w:rsid w:val="00F32A46"/>
    <w:rsid w:val="00F35017"/>
    <w:rsid w:val="00F41C54"/>
    <w:rsid w:val="00F42F5B"/>
    <w:rsid w:val="00F43DDD"/>
    <w:rsid w:val="00F44CB3"/>
    <w:rsid w:val="00F474B5"/>
    <w:rsid w:val="00F505CC"/>
    <w:rsid w:val="00F511D6"/>
    <w:rsid w:val="00F515ED"/>
    <w:rsid w:val="00F52789"/>
    <w:rsid w:val="00F53C3D"/>
    <w:rsid w:val="00F558A1"/>
    <w:rsid w:val="00F55E36"/>
    <w:rsid w:val="00F55F3B"/>
    <w:rsid w:val="00F615A5"/>
    <w:rsid w:val="00F62D47"/>
    <w:rsid w:val="00F67217"/>
    <w:rsid w:val="00F67E3D"/>
    <w:rsid w:val="00F7032E"/>
    <w:rsid w:val="00F72121"/>
    <w:rsid w:val="00F72A57"/>
    <w:rsid w:val="00F72DF9"/>
    <w:rsid w:val="00F73291"/>
    <w:rsid w:val="00F73A97"/>
    <w:rsid w:val="00F76870"/>
    <w:rsid w:val="00F82E6E"/>
    <w:rsid w:val="00F83F86"/>
    <w:rsid w:val="00F843EA"/>
    <w:rsid w:val="00F86F7F"/>
    <w:rsid w:val="00F917E8"/>
    <w:rsid w:val="00F965AF"/>
    <w:rsid w:val="00FA0997"/>
    <w:rsid w:val="00FA3364"/>
    <w:rsid w:val="00FA54C5"/>
    <w:rsid w:val="00FA6478"/>
    <w:rsid w:val="00FA6EA4"/>
    <w:rsid w:val="00FB015A"/>
    <w:rsid w:val="00FB115C"/>
    <w:rsid w:val="00FB1D9E"/>
    <w:rsid w:val="00FB34B7"/>
    <w:rsid w:val="00FB4241"/>
    <w:rsid w:val="00FB4406"/>
    <w:rsid w:val="00FB64DA"/>
    <w:rsid w:val="00FB6E05"/>
    <w:rsid w:val="00FC0477"/>
    <w:rsid w:val="00FC2993"/>
    <w:rsid w:val="00FC2DB9"/>
    <w:rsid w:val="00FC5F5E"/>
    <w:rsid w:val="00FD05D1"/>
    <w:rsid w:val="00FD154D"/>
    <w:rsid w:val="00FD21B4"/>
    <w:rsid w:val="00FD39D3"/>
    <w:rsid w:val="00FE1FBD"/>
    <w:rsid w:val="00FE2C73"/>
    <w:rsid w:val="00FE2EF9"/>
    <w:rsid w:val="00FE3FBC"/>
    <w:rsid w:val="00FE4727"/>
    <w:rsid w:val="00FE4BAC"/>
    <w:rsid w:val="00FE5620"/>
    <w:rsid w:val="00FE571F"/>
    <w:rsid w:val="00FE6C03"/>
    <w:rsid w:val="00FE6DE9"/>
    <w:rsid w:val="00FF0472"/>
    <w:rsid w:val="00FF0D2A"/>
    <w:rsid w:val="00FF0D73"/>
    <w:rsid w:val="00FF246A"/>
    <w:rsid w:val="00FF31A3"/>
    <w:rsid w:val="00FF460A"/>
    <w:rsid w:val="00FF62B6"/>
    <w:rsid w:val="00FF6437"/>
    <w:rsid w:val="00FF77A1"/>
    <w:rsid w:val="00FF78F6"/>
    <w:rsid w:val="01CE7923"/>
    <w:rsid w:val="02E003C5"/>
    <w:rsid w:val="02FF6C95"/>
    <w:rsid w:val="033835B9"/>
    <w:rsid w:val="04363AE8"/>
    <w:rsid w:val="04AA589D"/>
    <w:rsid w:val="05027B01"/>
    <w:rsid w:val="06606BFB"/>
    <w:rsid w:val="07603356"/>
    <w:rsid w:val="07E53B19"/>
    <w:rsid w:val="08597DA5"/>
    <w:rsid w:val="088210AA"/>
    <w:rsid w:val="08A4332D"/>
    <w:rsid w:val="09625C05"/>
    <w:rsid w:val="09AC24BF"/>
    <w:rsid w:val="09CD45A7"/>
    <w:rsid w:val="09FE0C04"/>
    <w:rsid w:val="0A1C52DC"/>
    <w:rsid w:val="0B225DFB"/>
    <w:rsid w:val="0B354AFA"/>
    <w:rsid w:val="0BDC095C"/>
    <w:rsid w:val="0BDD7C8A"/>
    <w:rsid w:val="0BE300B2"/>
    <w:rsid w:val="0CA555D6"/>
    <w:rsid w:val="0D4C1C87"/>
    <w:rsid w:val="0D935B07"/>
    <w:rsid w:val="0DF50570"/>
    <w:rsid w:val="0E8A2A67"/>
    <w:rsid w:val="1059113B"/>
    <w:rsid w:val="108A4FA0"/>
    <w:rsid w:val="10E721A2"/>
    <w:rsid w:val="11217992"/>
    <w:rsid w:val="113D27CE"/>
    <w:rsid w:val="11C62A58"/>
    <w:rsid w:val="12AF4254"/>
    <w:rsid w:val="134753CA"/>
    <w:rsid w:val="13814F69"/>
    <w:rsid w:val="13FA068E"/>
    <w:rsid w:val="14E153AA"/>
    <w:rsid w:val="151449A5"/>
    <w:rsid w:val="16314110"/>
    <w:rsid w:val="163C6526"/>
    <w:rsid w:val="16EE555F"/>
    <w:rsid w:val="177004DE"/>
    <w:rsid w:val="18203C3B"/>
    <w:rsid w:val="1ACB68E1"/>
    <w:rsid w:val="1ACC0453"/>
    <w:rsid w:val="1B7D58D8"/>
    <w:rsid w:val="1B844596"/>
    <w:rsid w:val="1CE26164"/>
    <w:rsid w:val="1D61352C"/>
    <w:rsid w:val="203C3F13"/>
    <w:rsid w:val="20661027"/>
    <w:rsid w:val="209440AA"/>
    <w:rsid w:val="20B1704B"/>
    <w:rsid w:val="21016E14"/>
    <w:rsid w:val="217E1BBD"/>
    <w:rsid w:val="21C80684"/>
    <w:rsid w:val="21F47A2F"/>
    <w:rsid w:val="228A1178"/>
    <w:rsid w:val="22DF10E6"/>
    <w:rsid w:val="24561F7E"/>
    <w:rsid w:val="26C64867"/>
    <w:rsid w:val="270F24F9"/>
    <w:rsid w:val="27344754"/>
    <w:rsid w:val="273F0FBB"/>
    <w:rsid w:val="27BB3D17"/>
    <w:rsid w:val="27CB586F"/>
    <w:rsid w:val="27E233C2"/>
    <w:rsid w:val="29AC3D81"/>
    <w:rsid w:val="29F36631"/>
    <w:rsid w:val="2A9A660B"/>
    <w:rsid w:val="2B8F74B6"/>
    <w:rsid w:val="2BBF1CE6"/>
    <w:rsid w:val="2C770676"/>
    <w:rsid w:val="2EA64C4C"/>
    <w:rsid w:val="2F320885"/>
    <w:rsid w:val="2F552A64"/>
    <w:rsid w:val="2F701BED"/>
    <w:rsid w:val="2F921D46"/>
    <w:rsid w:val="31291AF0"/>
    <w:rsid w:val="3196326F"/>
    <w:rsid w:val="324F79A0"/>
    <w:rsid w:val="32D87995"/>
    <w:rsid w:val="33624D6F"/>
    <w:rsid w:val="33F71E1E"/>
    <w:rsid w:val="34B14942"/>
    <w:rsid w:val="35135550"/>
    <w:rsid w:val="35386647"/>
    <w:rsid w:val="3569521C"/>
    <w:rsid w:val="3591124E"/>
    <w:rsid w:val="36245220"/>
    <w:rsid w:val="364D603B"/>
    <w:rsid w:val="36CE4570"/>
    <w:rsid w:val="36D94B9B"/>
    <w:rsid w:val="36E42DAC"/>
    <w:rsid w:val="373A6E70"/>
    <w:rsid w:val="394624FA"/>
    <w:rsid w:val="3A4E22AF"/>
    <w:rsid w:val="3A527AF7"/>
    <w:rsid w:val="3B3D1319"/>
    <w:rsid w:val="3B914B85"/>
    <w:rsid w:val="3BDD7DCA"/>
    <w:rsid w:val="3C1C4D96"/>
    <w:rsid w:val="3C597D99"/>
    <w:rsid w:val="3DB13E3B"/>
    <w:rsid w:val="3DFD24EF"/>
    <w:rsid w:val="3E7C60D2"/>
    <w:rsid w:val="3F2F3033"/>
    <w:rsid w:val="3F836EDA"/>
    <w:rsid w:val="3FC05505"/>
    <w:rsid w:val="414032D5"/>
    <w:rsid w:val="42343402"/>
    <w:rsid w:val="42995053"/>
    <w:rsid w:val="42CE66BF"/>
    <w:rsid w:val="434019E2"/>
    <w:rsid w:val="434D354E"/>
    <w:rsid w:val="44E328F5"/>
    <w:rsid w:val="45814E84"/>
    <w:rsid w:val="45BF7797"/>
    <w:rsid w:val="45F621B4"/>
    <w:rsid w:val="465F578E"/>
    <w:rsid w:val="46A7644D"/>
    <w:rsid w:val="46F7142F"/>
    <w:rsid w:val="478A34FC"/>
    <w:rsid w:val="480F6956"/>
    <w:rsid w:val="481C5B2A"/>
    <w:rsid w:val="490E1F0B"/>
    <w:rsid w:val="49DE368B"/>
    <w:rsid w:val="4A6C0C97"/>
    <w:rsid w:val="4AEA6060"/>
    <w:rsid w:val="4B5C08BE"/>
    <w:rsid w:val="4CB64A05"/>
    <w:rsid w:val="4CF14006"/>
    <w:rsid w:val="4D213F1E"/>
    <w:rsid w:val="50854950"/>
    <w:rsid w:val="509F6B09"/>
    <w:rsid w:val="50BD2394"/>
    <w:rsid w:val="515B54F1"/>
    <w:rsid w:val="526D7CA2"/>
    <w:rsid w:val="52816F9E"/>
    <w:rsid w:val="52CD0328"/>
    <w:rsid w:val="532C1C51"/>
    <w:rsid w:val="533D6EDC"/>
    <w:rsid w:val="5398055B"/>
    <w:rsid w:val="539B34DD"/>
    <w:rsid w:val="550F51D5"/>
    <w:rsid w:val="56051FA0"/>
    <w:rsid w:val="5634515D"/>
    <w:rsid w:val="569D69D1"/>
    <w:rsid w:val="57550251"/>
    <w:rsid w:val="580C6CA6"/>
    <w:rsid w:val="58775AAE"/>
    <w:rsid w:val="58BD6F6A"/>
    <w:rsid w:val="59155BDF"/>
    <w:rsid w:val="5AB75F5E"/>
    <w:rsid w:val="5AF47185"/>
    <w:rsid w:val="5B9C6656"/>
    <w:rsid w:val="5C484D92"/>
    <w:rsid w:val="5CF65FEC"/>
    <w:rsid w:val="5D413B33"/>
    <w:rsid w:val="5E282CCF"/>
    <w:rsid w:val="5EA617B3"/>
    <w:rsid w:val="5F076D88"/>
    <w:rsid w:val="5FB94527"/>
    <w:rsid w:val="5FF22466"/>
    <w:rsid w:val="604C539B"/>
    <w:rsid w:val="60A52CFD"/>
    <w:rsid w:val="60C07B37"/>
    <w:rsid w:val="616F3601"/>
    <w:rsid w:val="617F2D1C"/>
    <w:rsid w:val="619C04EF"/>
    <w:rsid w:val="62B0253E"/>
    <w:rsid w:val="633E24E3"/>
    <w:rsid w:val="63DF6526"/>
    <w:rsid w:val="64085A7D"/>
    <w:rsid w:val="645C36D2"/>
    <w:rsid w:val="646D1D84"/>
    <w:rsid w:val="649B244D"/>
    <w:rsid w:val="64B2784F"/>
    <w:rsid w:val="64CC2606"/>
    <w:rsid w:val="655B0B17"/>
    <w:rsid w:val="661A6960"/>
    <w:rsid w:val="66B521F3"/>
    <w:rsid w:val="675A18E7"/>
    <w:rsid w:val="67AB7CE7"/>
    <w:rsid w:val="67FD51CC"/>
    <w:rsid w:val="681731FB"/>
    <w:rsid w:val="689C6793"/>
    <w:rsid w:val="69022F46"/>
    <w:rsid w:val="6A554E4C"/>
    <w:rsid w:val="6A6D7AAB"/>
    <w:rsid w:val="6AFF6568"/>
    <w:rsid w:val="6B3510E1"/>
    <w:rsid w:val="6BAB09F8"/>
    <w:rsid w:val="6C145E5A"/>
    <w:rsid w:val="6D7D3037"/>
    <w:rsid w:val="6D92578D"/>
    <w:rsid w:val="6DCD4EFC"/>
    <w:rsid w:val="6EF015E7"/>
    <w:rsid w:val="6EF62979"/>
    <w:rsid w:val="70860455"/>
    <w:rsid w:val="70CD1BFC"/>
    <w:rsid w:val="711F7F62"/>
    <w:rsid w:val="732B0E40"/>
    <w:rsid w:val="73CE71AB"/>
    <w:rsid w:val="74424693"/>
    <w:rsid w:val="74B86703"/>
    <w:rsid w:val="74EA7F3B"/>
    <w:rsid w:val="74FF7F1D"/>
    <w:rsid w:val="751F2C26"/>
    <w:rsid w:val="75E25E85"/>
    <w:rsid w:val="75ED6880"/>
    <w:rsid w:val="762D0983"/>
    <w:rsid w:val="7651520C"/>
    <w:rsid w:val="76DF266D"/>
    <w:rsid w:val="77FC07C4"/>
    <w:rsid w:val="78F82795"/>
    <w:rsid w:val="7A36248D"/>
    <w:rsid w:val="7A8552D9"/>
    <w:rsid w:val="7AFC7326"/>
    <w:rsid w:val="7B191C40"/>
    <w:rsid w:val="7B26234D"/>
    <w:rsid w:val="7B7428EB"/>
    <w:rsid w:val="7C277F07"/>
    <w:rsid w:val="7C6D6C5F"/>
    <w:rsid w:val="7D562F5D"/>
    <w:rsid w:val="7D56740C"/>
    <w:rsid w:val="7DA0242A"/>
    <w:rsid w:val="7EBE0DBA"/>
    <w:rsid w:val="7F3720F0"/>
    <w:rsid w:val="7F4D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qFormat="1" w:unhideWhenUsed="0" w:uiPriority="0"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48"/>
    <w:qFormat/>
    <w:uiPriority w:val="0"/>
    <w:pPr>
      <w:keepNext/>
      <w:keepLines/>
      <w:spacing w:before="340" w:after="330"/>
      <w:outlineLvl w:val="0"/>
    </w:pPr>
    <w:rPr>
      <w:rFonts w:ascii="华文细黑"/>
      <w:b/>
      <w:bCs/>
      <w:snapToGrid w:val="0"/>
      <w:sz w:val="28"/>
      <w:szCs w:val="44"/>
      <w:lang w:val="zh-CN"/>
    </w:rPr>
  </w:style>
  <w:style w:type="paragraph" w:styleId="5">
    <w:name w:val="heading 2"/>
    <w:basedOn w:val="6"/>
    <w:next w:val="7"/>
    <w:link w:val="49"/>
    <w:qFormat/>
    <w:uiPriority w:val="0"/>
    <w:pPr>
      <w:jc w:val="center"/>
      <w:outlineLvl w:val="1"/>
    </w:pPr>
    <w:rPr>
      <w:rFonts w:ascii="华文细黑"/>
      <w:sz w:val="44"/>
    </w:rPr>
  </w:style>
  <w:style w:type="paragraph" w:styleId="6">
    <w:name w:val="heading 3"/>
    <w:basedOn w:val="7"/>
    <w:next w:val="1"/>
    <w:link w:val="50"/>
    <w:qFormat/>
    <w:uiPriority w:val="0"/>
    <w:pPr>
      <w:spacing w:before="260" w:after="260" w:line="416" w:lineRule="auto"/>
      <w:outlineLvl w:val="2"/>
    </w:pPr>
    <w:rPr>
      <w:rFonts w:eastAsia="华文细黑"/>
      <w:sz w:val="36"/>
      <w:szCs w:val="32"/>
    </w:rPr>
  </w:style>
  <w:style w:type="paragraph" w:styleId="7">
    <w:name w:val="heading 4"/>
    <w:basedOn w:val="1"/>
    <w:next w:val="1"/>
    <w:link w:val="51"/>
    <w:qFormat/>
    <w:uiPriority w:val="0"/>
    <w:pPr>
      <w:keepNext/>
      <w:keepLines/>
      <w:spacing w:before="280" w:after="290" w:line="376" w:lineRule="auto"/>
      <w:outlineLvl w:val="3"/>
    </w:pPr>
    <w:rPr>
      <w:rFonts w:ascii="Arial" w:hAnsi="Arial" w:eastAsia="黑体"/>
      <w:b/>
      <w:bCs/>
      <w:sz w:val="28"/>
      <w:szCs w:val="28"/>
      <w:lang w:val="zh-CN"/>
    </w:rPr>
  </w:style>
  <w:style w:type="paragraph" w:styleId="8">
    <w:name w:val="heading 5"/>
    <w:basedOn w:val="1"/>
    <w:next w:val="1"/>
    <w:link w:val="52"/>
    <w:qFormat/>
    <w:uiPriority w:val="0"/>
    <w:pPr>
      <w:keepNext/>
      <w:keepLines/>
      <w:spacing w:before="280" w:after="290" w:line="376" w:lineRule="auto"/>
      <w:outlineLvl w:val="4"/>
    </w:pPr>
    <w:rPr>
      <w:b/>
      <w:bCs/>
      <w:sz w:val="28"/>
      <w:szCs w:val="28"/>
      <w:lang w:val="zh-CN"/>
    </w:rPr>
  </w:style>
  <w:style w:type="paragraph" w:styleId="9">
    <w:name w:val="heading 6"/>
    <w:basedOn w:val="1"/>
    <w:next w:val="1"/>
    <w:link w:val="53"/>
    <w:qFormat/>
    <w:uiPriority w:val="0"/>
    <w:pPr>
      <w:keepNext/>
      <w:keepLines/>
      <w:spacing w:before="240" w:after="64" w:line="320" w:lineRule="auto"/>
      <w:outlineLvl w:val="5"/>
    </w:pPr>
    <w:rPr>
      <w:rFonts w:ascii="Arial" w:hAnsi="Arial" w:eastAsia="黑体"/>
      <w:b/>
      <w:bCs/>
      <w:lang w:val="zh-CN"/>
    </w:rPr>
  </w:style>
  <w:style w:type="paragraph" w:styleId="10">
    <w:name w:val="heading 7"/>
    <w:basedOn w:val="1"/>
    <w:next w:val="1"/>
    <w:link w:val="54"/>
    <w:qFormat/>
    <w:uiPriority w:val="0"/>
    <w:pPr>
      <w:keepNext/>
      <w:keepLines/>
      <w:spacing w:before="240" w:after="64" w:line="320" w:lineRule="auto"/>
      <w:outlineLvl w:val="6"/>
    </w:pPr>
    <w:rPr>
      <w:b/>
      <w:bCs/>
      <w:lang w:val="zh-CN"/>
    </w:rPr>
  </w:style>
  <w:style w:type="paragraph" w:styleId="11">
    <w:name w:val="heading 8"/>
    <w:basedOn w:val="1"/>
    <w:next w:val="1"/>
    <w:link w:val="55"/>
    <w:qFormat/>
    <w:uiPriority w:val="0"/>
    <w:pPr>
      <w:keepNext/>
      <w:keepLines/>
      <w:spacing w:before="240" w:after="64" w:line="320" w:lineRule="auto"/>
      <w:outlineLvl w:val="7"/>
    </w:pPr>
    <w:rPr>
      <w:rFonts w:ascii="Arial" w:hAnsi="Arial" w:eastAsia="黑体"/>
      <w:lang w:val="zh-CN"/>
    </w:rPr>
  </w:style>
  <w:style w:type="paragraph" w:styleId="12">
    <w:name w:val="heading 9"/>
    <w:basedOn w:val="1"/>
    <w:next w:val="1"/>
    <w:link w:val="56"/>
    <w:qFormat/>
    <w:uiPriority w:val="0"/>
    <w:pPr>
      <w:keepNext/>
      <w:keepLines/>
      <w:spacing w:before="240" w:after="64" w:line="320" w:lineRule="auto"/>
      <w:outlineLvl w:val="8"/>
    </w:pPr>
    <w:rPr>
      <w:rFonts w:ascii="Arial" w:hAnsi="Arial" w:eastAsia="黑体"/>
      <w:szCs w:val="21"/>
      <w:lang w:val="zh-CN"/>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next w:val="1"/>
    <w:link w:val="71"/>
    <w:qFormat/>
    <w:uiPriority w:val="0"/>
    <w:pPr>
      <w:spacing w:line="360" w:lineRule="auto"/>
      <w:ind w:firstLine="630"/>
    </w:pPr>
    <w:rPr>
      <w:szCs w:val="20"/>
    </w:rPr>
  </w:style>
  <w:style w:type="paragraph" w:styleId="13">
    <w:name w:val="toc 7"/>
    <w:basedOn w:val="1"/>
    <w:next w:val="1"/>
    <w:qFormat/>
    <w:uiPriority w:val="39"/>
    <w:pPr>
      <w:ind w:left="1440"/>
    </w:pPr>
    <w:rPr>
      <w:sz w:val="18"/>
      <w:szCs w:val="18"/>
    </w:rPr>
  </w:style>
  <w:style w:type="paragraph" w:styleId="14">
    <w:name w:val="Normal Indent"/>
    <w:basedOn w:val="1"/>
    <w:qFormat/>
    <w:uiPriority w:val="0"/>
    <w:pPr>
      <w:ind w:firstLine="420"/>
    </w:pPr>
    <w:rPr>
      <w:szCs w:val="20"/>
    </w:rPr>
  </w:style>
  <w:style w:type="paragraph" w:styleId="15">
    <w:name w:val="Document Map"/>
    <w:basedOn w:val="1"/>
    <w:link w:val="60"/>
    <w:qFormat/>
    <w:uiPriority w:val="0"/>
    <w:pPr>
      <w:shd w:val="clear" w:color="auto" w:fill="000080"/>
    </w:pPr>
    <w:rPr>
      <w:rFonts w:eastAsiaTheme="minorEastAsia" w:cstheme="minorBidi"/>
    </w:rPr>
  </w:style>
  <w:style w:type="paragraph" w:styleId="16">
    <w:name w:val="annotation text"/>
    <w:basedOn w:val="1"/>
    <w:link w:val="57"/>
    <w:qFormat/>
    <w:uiPriority w:val="0"/>
    <w:rPr>
      <w:rFonts w:eastAsiaTheme="minorEastAsia" w:cstheme="minorBidi"/>
    </w:rPr>
  </w:style>
  <w:style w:type="paragraph" w:styleId="17">
    <w:name w:val="Body Text"/>
    <w:basedOn w:val="1"/>
    <w:next w:val="1"/>
    <w:link w:val="69"/>
    <w:qFormat/>
    <w:uiPriority w:val="0"/>
    <w:pPr>
      <w:spacing w:line="320" w:lineRule="exact"/>
    </w:pPr>
    <w:rPr>
      <w:b/>
      <w:bCs/>
    </w:rPr>
  </w:style>
  <w:style w:type="paragraph" w:styleId="18">
    <w:name w:val="toc 5"/>
    <w:basedOn w:val="1"/>
    <w:next w:val="1"/>
    <w:qFormat/>
    <w:uiPriority w:val="39"/>
    <w:pPr>
      <w:ind w:left="960"/>
    </w:pPr>
    <w:rPr>
      <w:sz w:val="18"/>
      <w:szCs w:val="18"/>
    </w:rPr>
  </w:style>
  <w:style w:type="paragraph" w:styleId="19">
    <w:name w:val="toc 3"/>
    <w:basedOn w:val="1"/>
    <w:next w:val="1"/>
    <w:qFormat/>
    <w:uiPriority w:val="39"/>
    <w:pPr>
      <w:ind w:left="480"/>
    </w:pPr>
    <w:rPr>
      <w:i/>
      <w:iCs/>
      <w:sz w:val="20"/>
      <w:szCs w:val="20"/>
    </w:rPr>
  </w:style>
  <w:style w:type="paragraph" w:styleId="20">
    <w:name w:val="Plain Text"/>
    <w:basedOn w:val="1"/>
    <w:link w:val="68"/>
    <w:qFormat/>
    <w:uiPriority w:val="0"/>
    <w:rPr>
      <w:rFonts w:hAnsi="Courier New" w:cs="Courier New"/>
      <w:szCs w:val="21"/>
    </w:rPr>
  </w:style>
  <w:style w:type="paragraph" w:styleId="21">
    <w:name w:val="toc 8"/>
    <w:basedOn w:val="1"/>
    <w:next w:val="1"/>
    <w:qFormat/>
    <w:uiPriority w:val="39"/>
    <w:pPr>
      <w:ind w:left="1680"/>
    </w:pPr>
    <w:rPr>
      <w:sz w:val="18"/>
      <w:szCs w:val="18"/>
    </w:rPr>
  </w:style>
  <w:style w:type="paragraph" w:styleId="22">
    <w:name w:val="Date"/>
    <w:basedOn w:val="1"/>
    <w:next w:val="1"/>
    <w:link w:val="74"/>
    <w:qFormat/>
    <w:uiPriority w:val="0"/>
    <w:pPr>
      <w:ind w:left="100" w:leftChars="2500"/>
    </w:pPr>
    <w:rPr>
      <w:rFonts w:asciiTheme="minorHAnsi" w:hAnsiTheme="minorHAnsi" w:eastAsiaTheme="minorEastAsia" w:cstheme="minorBidi"/>
    </w:rPr>
  </w:style>
  <w:style w:type="paragraph" w:styleId="23">
    <w:name w:val="Body Text Indent 2"/>
    <w:basedOn w:val="1"/>
    <w:link w:val="70"/>
    <w:qFormat/>
    <w:uiPriority w:val="0"/>
    <w:pPr>
      <w:ind w:firstLine="640" w:firstLineChars="200"/>
    </w:pPr>
    <w:rPr>
      <w:rFonts w:eastAsia="仿宋_GB2312"/>
      <w:sz w:val="32"/>
    </w:rPr>
  </w:style>
  <w:style w:type="paragraph" w:styleId="24">
    <w:name w:val="Balloon Text"/>
    <w:basedOn w:val="1"/>
    <w:link w:val="59"/>
    <w:qFormat/>
    <w:uiPriority w:val="0"/>
    <w:rPr>
      <w:sz w:val="18"/>
      <w:szCs w:val="18"/>
      <w:lang w:val="zh-CN"/>
    </w:rPr>
  </w:style>
  <w:style w:type="paragraph" w:styleId="25">
    <w:name w:val="footer"/>
    <w:basedOn w:val="1"/>
    <w:link w:val="66"/>
    <w:unhideWhenUsed/>
    <w:qFormat/>
    <w:uiPriority w:val="99"/>
    <w:pPr>
      <w:tabs>
        <w:tab w:val="center" w:pos="4153"/>
        <w:tab w:val="right" w:pos="8306"/>
      </w:tabs>
      <w:snapToGrid w:val="0"/>
    </w:pPr>
    <w:rPr>
      <w:sz w:val="18"/>
      <w:szCs w:val="18"/>
    </w:rPr>
  </w:style>
  <w:style w:type="paragraph" w:styleId="26">
    <w:name w:val="header"/>
    <w:basedOn w:val="1"/>
    <w:link w:val="62"/>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pPr>
    <w:rPr>
      <w:b/>
      <w:bCs/>
      <w:caps/>
      <w:sz w:val="20"/>
      <w:szCs w:val="20"/>
    </w:rPr>
  </w:style>
  <w:style w:type="paragraph" w:styleId="28">
    <w:name w:val="toc 4"/>
    <w:basedOn w:val="1"/>
    <w:next w:val="1"/>
    <w:qFormat/>
    <w:uiPriority w:val="39"/>
    <w:pPr>
      <w:ind w:left="720"/>
    </w:pPr>
    <w:rPr>
      <w:sz w:val="18"/>
      <w:szCs w:val="18"/>
    </w:rPr>
  </w:style>
  <w:style w:type="paragraph" w:styleId="29">
    <w:name w:val="toc 6"/>
    <w:basedOn w:val="1"/>
    <w:next w:val="1"/>
    <w:qFormat/>
    <w:uiPriority w:val="39"/>
    <w:pPr>
      <w:ind w:left="1200"/>
    </w:pPr>
    <w:rPr>
      <w:sz w:val="18"/>
      <w:szCs w:val="18"/>
    </w:rPr>
  </w:style>
  <w:style w:type="paragraph" w:styleId="30">
    <w:name w:val="List 5"/>
    <w:basedOn w:val="1"/>
    <w:qFormat/>
    <w:uiPriority w:val="0"/>
    <w:pPr>
      <w:ind w:left="2100" w:hanging="420"/>
    </w:pPr>
    <w:rPr>
      <w:szCs w:val="20"/>
    </w:rPr>
  </w:style>
  <w:style w:type="paragraph" w:styleId="31">
    <w:name w:val="Body Text Indent 3"/>
    <w:basedOn w:val="1"/>
    <w:link w:val="72"/>
    <w:qFormat/>
    <w:uiPriority w:val="0"/>
    <w:pPr>
      <w:spacing w:line="400" w:lineRule="exact"/>
      <w:ind w:firstLine="630"/>
    </w:pPr>
  </w:style>
  <w:style w:type="paragraph" w:styleId="32">
    <w:name w:val="toc 2"/>
    <w:basedOn w:val="1"/>
    <w:next w:val="1"/>
    <w:qFormat/>
    <w:uiPriority w:val="39"/>
    <w:pPr>
      <w:ind w:left="240"/>
    </w:pPr>
    <w:rPr>
      <w:smallCaps/>
      <w:sz w:val="20"/>
      <w:szCs w:val="20"/>
    </w:rPr>
  </w:style>
  <w:style w:type="paragraph" w:styleId="33">
    <w:name w:val="toc 9"/>
    <w:basedOn w:val="1"/>
    <w:next w:val="1"/>
    <w:qFormat/>
    <w:uiPriority w:val="39"/>
    <w:pPr>
      <w:ind w:left="1920"/>
    </w:pPr>
    <w:rPr>
      <w:sz w:val="18"/>
      <w:szCs w:val="18"/>
    </w:rPr>
  </w:style>
  <w:style w:type="paragraph" w:styleId="34">
    <w:name w:val="Body Text 2"/>
    <w:basedOn w:val="1"/>
    <w:link w:val="73"/>
    <w:qFormat/>
    <w:uiPriority w:val="0"/>
    <w:rPr>
      <w:rFonts w:ascii="楷体_GB2312" w:eastAsia="楷体_GB2312"/>
      <w:color w:val="000000"/>
      <w:szCs w:val="21"/>
    </w:rPr>
  </w:style>
  <w:style w:type="paragraph" w:styleId="35">
    <w:name w:val="Normal (Web)"/>
    <w:basedOn w:val="1"/>
    <w:unhideWhenUsed/>
    <w:qFormat/>
    <w:uiPriority w:val="0"/>
    <w:pPr>
      <w:spacing w:before="100" w:beforeAutospacing="1" w:after="100" w:afterAutospacing="1"/>
    </w:pPr>
  </w:style>
  <w:style w:type="paragraph" w:styleId="36">
    <w:name w:val="index 1"/>
    <w:basedOn w:val="1"/>
    <w:next w:val="1"/>
    <w:qFormat/>
    <w:uiPriority w:val="0"/>
    <w:pPr>
      <w:spacing w:line="360" w:lineRule="auto"/>
    </w:pPr>
    <w:rPr>
      <w:b/>
      <w:color w:val="0000FF"/>
    </w:rPr>
  </w:style>
  <w:style w:type="paragraph" w:styleId="37">
    <w:name w:val="Title"/>
    <w:basedOn w:val="1"/>
    <w:next w:val="1"/>
    <w:link w:val="81"/>
    <w:qFormat/>
    <w:uiPriority w:val="0"/>
    <w:pPr>
      <w:spacing w:before="240" w:after="60"/>
      <w:jc w:val="center"/>
      <w:outlineLvl w:val="0"/>
    </w:pPr>
    <w:rPr>
      <w:rFonts w:ascii="Cambria" w:hAnsi="Cambria"/>
      <w:b/>
      <w:bCs/>
      <w:sz w:val="32"/>
      <w:szCs w:val="32"/>
    </w:rPr>
  </w:style>
  <w:style w:type="paragraph" w:styleId="38">
    <w:name w:val="annotation subject"/>
    <w:basedOn w:val="16"/>
    <w:next w:val="16"/>
    <w:link w:val="64"/>
    <w:unhideWhenUsed/>
    <w:qFormat/>
    <w:uiPriority w:val="0"/>
    <w:rPr>
      <w:b/>
      <w:bCs/>
    </w:rPr>
  </w:style>
  <w:style w:type="table" w:styleId="40">
    <w:name w:val="Table Grid"/>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1">
    <w:name w:val="Table Simple 2"/>
    <w:basedOn w:val="39"/>
    <w:semiHidden/>
    <w:qFormat/>
    <w:uiPriority w:val="0"/>
    <w:pPr>
      <w:widowControl w:val="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43">
    <w:name w:val="Strong"/>
    <w:qFormat/>
    <w:uiPriority w:val="0"/>
    <w:rPr>
      <w:b/>
      <w:bCs/>
    </w:rPr>
  </w:style>
  <w:style w:type="character" w:styleId="44">
    <w:name w:val="page number"/>
    <w:basedOn w:val="42"/>
    <w:qFormat/>
    <w:uiPriority w:val="0"/>
  </w:style>
  <w:style w:type="character" w:styleId="45">
    <w:name w:val="FollowedHyperlink"/>
    <w:unhideWhenUsed/>
    <w:qFormat/>
    <w:uiPriority w:val="99"/>
    <w:rPr>
      <w:color w:val="800080"/>
      <w:u w:val="single"/>
    </w:rPr>
  </w:style>
  <w:style w:type="character" w:styleId="46">
    <w:name w:val="Hyperlink"/>
    <w:qFormat/>
    <w:uiPriority w:val="99"/>
    <w:rPr>
      <w:color w:val="0000FF"/>
      <w:u w:val="single"/>
    </w:rPr>
  </w:style>
  <w:style w:type="character" w:styleId="47">
    <w:name w:val="annotation reference"/>
    <w:unhideWhenUsed/>
    <w:qFormat/>
    <w:uiPriority w:val="99"/>
    <w:rPr>
      <w:sz w:val="21"/>
      <w:szCs w:val="21"/>
    </w:rPr>
  </w:style>
  <w:style w:type="character" w:customStyle="1" w:styleId="48">
    <w:name w:val="标题 1 Char"/>
    <w:basedOn w:val="42"/>
    <w:link w:val="4"/>
    <w:qFormat/>
    <w:uiPriority w:val="0"/>
    <w:rPr>
      <w:rFonts w:ascii="华文细黑" w:hAnsi="Times New Roman" w:eastAsia="宋体" w:cs="Times New Roman"/>
      <w:b/>
      <w:bCs/>
      <w:snapToGrid w:val="0"/>
      <w:kern w:val="0"/>
      <w:sz w:val="28"/>
      <w:szCs w:val="44"/>
      <w:lang w:val="zh-CN" w:eastAsia="zh-CN"/>
    </w:rPr>
  </w:style>
  <w:style w:type="character" w:customStyle="1" w:styleId="49">
    <w:name w:val="标题 2 Char"/>
    <w:basedOn w:val="42"/>
    <w:link w:val="5"/>
    <w:qFormat/>
    <w:uiPriority w:val="0"/>
    <w:rPr>
      <w:rFonts w:ascii="华文细黑" w:hAnsi="Arial" w:eastAsia="宋体" w:cs="Times New Roman"/>
      <w:b/>
      <w:bCs/>
      <w:kern w:val="0"/>
      <w:sz w:val="44"/>
      <w:szCs w:val="32"/>
      <w:lang w:val="zh-CN" w:eastAsia="zh-CN"/>
    </w:rPr>
  </w:style>
  <w:style w:type="character" w:customStyle="1" w:styleId="50">
    <w:name w:val="标题 3 Char"/>
    <w:basedOn w:val="42"/>
    <w:link w:val="6"/>
    <w:qFormat/>
    <w:uiPriority w:val="0"/>
    <w:rPr>
      <w:rFonts w:ascii="Times New Roman" w:hAnsi="Times New Roman" w:eastAsia="华文细黑" w:cs="Times New Roman"/>
      <w:bCs/>
      <w:kern w:val="0"/>
      <w:sz w:val="36"/>
      <w:szCs w:val="32"/>
      <w:lang w:val="zh-CN" w:eastAsia="zh-CN"/>
    </w:rPr>
  </w:style>
  <w:style w:type="character" w:customStyle="1" w:styleId="51">
    <w:name w:val="标题 4 Char"/>
    <w:basedOn w:val="42"/>
    <w:link w:val="7"/>
    <w:qFormat/>
    <w:uiPriority w:val="0"/>
    <w:rPr>
      <w:rFonts w:ascii="Arial" w:hAnsi="Arial" w:eastAsia="黑体" w:cs="Times New Roman"/>
      <w:b/>
      <w:bCs/>
      <w:kern w:val="0"/>
      <w:sz w:val="28"/>
      <w:szCs w:val="28"/>
      <w:lang w:val="zh-CN" w:eastAsia="zh-CN"/>
    </w:rPr>
  </w:style>
  <w:style w:type="character" w:customStyle="1" w:styleId="52">
    <w:name w:val="标题 5 Char"/>
    <w:basedOn w:val="42"/>
    <w:link w:val="8"/>
    <w:qFormat/>
    <w:uiPriority w:val="0"/>
    <w:rPr>
      <w:rFonts w:ascii="Times New Roman" w:hAnsi="Times New Roman" w:eastAsia="宋体" w:cs="Times New Roman"/>
      <w:b/>
      <w:bCs/>
      <w:kern w:val="0"/>
      <w:sz w:val="28"/>
      <w:szCs w:val="28"/>
      <w:lang w:val="zh-CN" w:eastAsia="zh-CN"/>
    </w:rPr>
  </w:style>
  <w:style w:type="character" w:customStyle="1" w:styleId="53">
    <w:name w:val="标题 6 Char"/>
    <w:basedOn w:val="42"/>
    <w:link w:val="9"/>
    <w:qFormat/>
    <w:uiPriority w:val="0"/>
    <w:rPr>
      <w:rFonts w:ascii="Arial" w:hAnsi="Arial" w:eastAsia="黑体" w:cs="Times New Roman"/>
      <w:b/>
      <w:bCs/>
      <w:kern w:val="0"/>
      <w:sz w:val="24"/>
      <w:szCs w:val="24"/>
      <w:lang w:val="zh-CN" w:eastAsia="zh-CN"/>
    </w:rPr>
  </w:style>
  <w:style w:type="character" w:customStyle="1" w:styleId="54">
    <w:name w:val="标题 7 Char"/>
    <w:basedOn w:val="42"/>
    <w:link w:val="10"/>
    <w:qFormat/>
    <w:uiPriority w:val="0"/>
    <w:rPr>
      <w:rFonts w:ascii="Times New Roman" w:hAnsi="Times New Roman" w:eastAsia="宋体" w:cs="Times New Roman"/>
      <w:b/>
      <w:bCs/>
      <w:kern w:val="0"/>
      <w:sz w:val="24"/>
      <w:szCs w:val="24"/>
      <w:lang w:val="zh-CN" w:eastAsia="zh-CN"/>
    </w:rPr>
  </w:style>
  <w:style w:type="character" w:customStyle="1" w:styleId="55">
    <w:name w:val="标题 8 Char"/>
    <w:basedOn w:val="42"/>
    <w:link w:val="11"/>
    <w:qFormat/>
    <w:uiPriority w:val="0"/>
    <w:rPr>
      <w:rFonts w:ascii="Arial" w:hAnsi="Arial" w:eastAsia="黑体" w:cs="Times New Roman"/>
      <w:kern w:val="0"/>
      <w:sz w:val="24"/>
      <w:szCs w:val="24"/>
      <w:lang w:val="zh-CN" w:eastAsia="zh-CN"/>
    </w:rPr>
  </w:style>
  <w:style w:type="character" w:customStyle="1" w:styleId="56">
    <w:name w:val="标题 9 Char"/>
    <w:basedOn w:val="42"/>
    <w:link w:val="12"/>
    <w:qFormat/>
    <w:uiPriority w:val="0"/>
    <w:rPr>
      <w:rFonts w:ascii="Arial" w:hAnsi="Arial" w:eastAsia="黑体" w:cs="Times New Roman"/>
      <w:kern w:val="0"/>
      <w:szCs w:val="21"/>
      <w:lang w:val="zh-CN" w:eastAsia="zh-CN"/>
    </w:rPr>
  </w:style>
  <w:style w:type="character" w:customStyle="1" w:styleId="57">
    <w:name w:val="批注文字 Char"/>
    <w:link w:val="16"/>
    <w:qFormat/>
    <w:uiPriority w:val="0"/>
    <w:rPr>
      <w:rFonts w:ascii="Times New Roman" w:hAnsi="Times New Roman"/>
      <w:szCs w:val="24"/>
    </w:rPr>
  </w:style>
  <w:style w:type="character" w:customStyle="1" w:styleId="58">
    <w:name w:val="批注文字 Char1"/>
    <w:basedOn w:val="42"/>
    <w:qFormat/>
    <w:uiPriority w:val="0"/>
    <w:rPr>
      <w:rFonts w:ascii="Times New Roman" w:hAnsi="Times New Roman" w:eastAsia="宋体" w:cs="Times New Roman"/>
      <w:szCs w:val="24"/>
    </w:rPr>
  </w:style>
  <w:style w:type="character" w:customStyle="1" w:styleId="59">
    <w:name w:val="批注框文本 Char"/>
    <w:basedOn w:val="42"/>
    <w:link w:val="24"/>
    <w:qFormat/>
    <w:uiPriority w:val="0"/>
    <w:rPr>
      <w:rFonts w:ascii="Times New Roman" w:hAnsi="Times New Roman" w:eastAsia="宋体" w:cs="Times New Roman"/>
      <w:kern w:val="0"/>
      <w:sz w:val="18"/>
      <w:szCs w:val="18"/>
      <w:lang w:val="zh-CN" w:eastAsia="zh-CN"/>
    </w:rPr>
  </w:style>
  <w:style w:type="character" w:customStyle="1" w:styleId="60">
    <w:name w:val="文档结构图 Char"/>
    <w:link w:val="15"/>
    <w:qFormat/>
    <w:uiPriority w:val="0"/>
    <w:rPr>
      <w:rFonts w:ascii="Times New Roman" w:hAnsi="Times New Roman"/>
      <w:sz w:val="24"/>
      <w:szCs w:val="24"/>
      <w:shd w:val="clear" w:color="auto" w:fill="000080"/>
    </w:rPr>
  </w:style>
  <w:style w:type="character" w:customStyle="1" w:styleId="61">
    <w:name w:val="文档结构图 Char1"/>
    <w:basedOn w:val="42"/>
    <w:qFormat/>
    <w:uiPriority w:val="0"/>
    <w:rPr>
      <w:rFonts w:ascii="宋体" w:hAnsi="Times New Roman" w:eastAsia="宋体" w:cs="Times New Roman"/>
      <w:sz w:val="18"/>
      <w:szCs w:val="18"/>
    </w:rPr>
  </w:style>
  <w:style w:type="character" w:customStyle="1" w:styleId="62">
    <w:name w:val="页眉 Char"/>
    <w:basedOn w:val="42"/>
    <w:link w:val="26"/>
    <w:qFormat/>
    <w:uiPriority w:val="0"/>
    <w:rPr>
      <w:rFonts w:ascii="Times New Roman" w:hAnsi="Times New Roman" w:eastAsia="宋体" w:cs="Times New Roman"/>
      <w:sz w:val="18"/>
      <w:szCs w:val="18"/>
    </w:rPr>
  </w:style>
  <w:style w:type="character" w:customStyle="1" w:styleId="63">
    <w:name w:val="日期 Char1"/>
    <w:basedOn w:val="42"/>
    <w:qFormat/>
    <w:uiPriority w:val="0"/>
    <w:rPr>
      <w:rFonts w:ascii="Times New Roman" w:hAnsi="Times New Roman" w:eastAsia="宋体" w:cs="Times New Roman"/>
      <w:szCs w:val="24"/>
    </w:rPr>
  </w:style>
  <w:style w:type="character" w:customStyle="1" w:styleId="64">
    <w:name w:val="批注主题 Char"/>
    <w:basedOn w:val="58"/>
    <w:link w:val="38"/>
    <w:qFormat/>
    <w:uiPriority w:val="0"/>
    <w:rPr>
      <w:rFonts w:ascii="Times New Roman" w:hAnsi="Times New Roman" w:eastAsia="宋体" w:cs="Times New Roman"/>
      <w:b/>
      <w:bCs/>
      <w:szCs w:val="24"/>
    </w:rPr>
  </w:style>
  <w:style w:type="paragraph" w:customStyle="1" w:styleId="65">
    <w:name w:val="修订1"/>
    <w:hidden/>
    <w:qFormat/>
    <w:uiPriority w:val="71"/>
    <w:rPr>
      <w:rFonts w:ascii="Times New Roman" w:hAnsi="Times New Roman" w:eastAsia="宋体" w:cs="Times New Roman"/>
      <w:kern w:val="2"/>
      <w:sz w:val="21"/>
      <w:szCs w:val="24"/>
      <w:lang w:val="en-US" w:eastAsia="zh-CN" w:bidi="ar-SA"/>
    </w:rPr>
  </w:style>
  <w:style w:type="character" w:customStyle="1" w:styleId="66">
    <w:name w:val="页脚 Char"/>
    <w:basedOn w:val="42"/>
    <w:link w:val="25"/>
    <w:qFormat/>
    <w:uiPriority w:val="99"/>
    <w:rPr>
      <w:rFonts w:ascii="Times New Roman" w:hAnsi="Times New Roman" w:eastAsia="宋体" w:cs="Times New Roman"/>
      <w:sz w:val="18"/>
      <w:szCs w:val="18"/>
    </w:rPr>
  </w:style>
  <w:style w:type="paragraph" w:customStyle="1" w:styleId="67">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8">
    <w:name w:val="纯文本 Char"/>
    <w:basedOn w:val="42"/>
    <w:link w:val="20"/>
    <w:qFormat/>
    <w:uiPriority w:val="0"/>
    <w:rPr>
      <w:rFonts w:ascii="宋体" w:hAnsi="Courier New" w:eastAsia="宋体" w:cs="Courier New"/>
      <w:szCs w:val="21"/>
    </w:rPr>
  </w:style>
  <w:style w:type="character" w:customStyle="1" w:styleId="69">
    <w:name w:val="正文文本 Char"/>
    <w:basedOn w:val="42"/>
    <w:link w:val="17"/>
    <w:qFormat/>
    <w:uiPriority w:val="0"/>
    <w:rPr>
      <w:rFonts w:ascii="Times New Roman" w:hAnsi="Times New Roman" w:eastAsia="宋体" w:cs="Times New Roman"/>
      <w:b/>
      <w:bCs/>
      <w:szCs w:val="24"/>
    </w:rPr>
  </w:style>
  <w:style w:type="character" w:customStyle="1" w:styleId="70">
    <w:name w:val="正文文本缩进 2 Char"/>
    <w:basedOn w:val="42"/>
    <w:link w:val="23"/>
    <w:qFormat/>
    <w:uiPriority w:val="0"/>
    <w:rPr>
      <w:rFonts w:ascii="Times New Roman" w:hAnsi="Times New Roman" w:eastAsia="仿宋_GB2312" w:cs="Times New Roman"/>
      <w:sz w:val="32"/>
      <w:szCs w:val="24"/>
    </w:rPr>
  </w:style>
  <w:style w:type="character" w:customStyle="1" w:styleId="71">
    <w:name w:val="正文文本缩进 Char"/>
    <w:basedOn w:val="42"/>
    <w:link w:val="3"/>
    <w:qFormat/>
    <w:uiPriority w:val="0"/>
    <w:rPr>
      <w:rFonts w:ascii="宋体" w:hAnsi="宋体" w:eastAsia="宋体" w:cs="Times New Roman"/>
      <w:sz w:val="24"/>
      <w:szCs w:val="20"/>
    </w:rPr>
  </w:style>
  <w:style w:type="character" w:customStyle="1" w:styleId="72">
    <w:name w:val="正文文本缩进 3 Char"/>
    <w:basedOn w:val="42"/>
    <w:link w:val="31"/>
    <w:qFormat/>
    <w:uiPriority w:val="0"/>
    <w:rPr>
      <w:rFonts w:ascii="宋体" w:hAnsi="宋体" w:eastAsia="宋体" w:cs="Times New Roman"/>
      <w:szCs w:val="24"/>
    </w:rPr>
  </w:style>
  <w:style w:type="character" w:customStyle="1" w:styleId="73">
    <w:name w:val="正文文本 2 Char"/>
    <w:basedOn w:val="42"/>
    <w:link w:val="34"/>
    <w:qFormat/>
    <w:uiPriority w:val="0"/>
    <w:rPr>
      <w:rFonts w:ascii="楷体_GB2312" w:hAnsi="宋体" w:eastAsia="楷体_GB2312" w:cs="Times New Roman"/>
      <w:color w:val="000000"/>
      <w:kern w:val="0"/>
      <w:szCs w:val="21"/>
    </w:rPr>
  </w:style>
  <w:style w:type="character" w:customStyle="1" w:styleId="74">
    <w:name w:val="日期 Char"/>
    <w:link w:val="22"/>
    <w:qFormat/>
    <w:uiPriority w:val="0"/>
    <w:rPr>
      <w:szCs w:val="24"/>
    </w:rPr>
  </w:style>
  <w:style w:type="character" w:customStyle="1" w:styleId="75">
    <w:name w:val="日期 Char2"/>
    <w:basedOn w:val="42"/>
    <w:semiHidden/>
    <w:qFormat/>
    <w:uiPriority w:val="0"/>
    <w:rPr>
      <w:rFonts w:ascii="Times New Roman" w:hAnsi="Times New Roman" w:eastAsia="宋体" w:cs="Times New Roman"/>
      <w:szCs w:val="24"/>
    </w:rPr>
  </w:style>
  <w:style w:type="paragraph" w:customStyle="1" w:styleId="76">
    <w:name w:val="Char"/>
    <w:basedOn w:val="1"/>
    <w:qFormat/>
    <w:uiPriority w:val="0"/>
    <w:pPr>
      <w:tabs>
        <w:tab w:val="left" w:pos="360"/>
      </w:tabs>
    </w:pPr>
  </w:style>
  <w:style w:type="paragraph" w:customStyle="1" w:styleId="77">
    <w:name w:val="彩色列表 - 强调文字颜色 11"/>
    <w:basedOn w:val="1"/>
    <w:qFormat/>
    <w:uiPriority w:val="0"/>
    <w:pPr>
      <w:ind w:firstLine="420" w:firstLineChars="200"/>
    </w:pPr>
    <w:rPr>
      <w:rFonts w:ascii="Calibri" w:hAnsi="Calibri"/>
      <w:szCs w:val="22"/>
    </w:rPr>
  </w:style>
  <w:style w:type="paragraph" w:customStyle="1" w:styleId="78">
    <w:name w:val="Char Char Char Char"/>
    <w:basedOn w:val="1"/>
    <w:qFormat/>
    <w:uiPriority w:val="0"/>
    <w:pPr>
      <w:tabs>
        <w:tab w:val="left" w:pos="360"/>
      </w:tabs>
    </w:pPr>
  </w:style>
  <w:style w:type="paragraph" w:customStyle="1" w:styleId="79">
    <w:name w:val="Char1"/>
    <w:basedOn w:val="1"/>
    <w:qFormat/>
    <w:uiPriority w:val="0"/>
    <w:pPr>
      <w:tabs>
        <w:tab w:val="left" w:pos="360"/>
      </w:tabs>
    </w:pPr>
  </w:style>
  <w:style w:type="character" w:customStyle="1" w:styleId="80">
    <w:name w:val="defaultfont1"/>
    <w:basedOn w:val="42"/>
    <w:qFormat/>
    <w:uiPriority w:val="0"/>
  </w:style>
  <w:style w:type="character" w:customStyle="1" w:styleId="81">
    <w:name w:val="标题 Char"/>
    <w:basedOn w:val="42"/>
    <w:link w:val="37"/>
    <w:qFormat/>
    <w:uiPriority w:val="0"/>
    <w:rPr>
      <w:rFonts w:ascii="Cambria" w:hAnsi="Cambria" w:eastAsia="宋体" w:cs="Times New Roman"/>
      <w:b/>
      <w:bCs/>
      <w:sz w:val="32"/>
      <w:szCs w:val="32"/>
    </w:rPr>
  </w:style>
  <w:style w:type="character" w:customStyle="1" w:styleId="82">
    <w:name w:val="Char Char16"/>
    <w:qFormat/>
    <w:uiPriority w:val="0"/>
    <w:rPr>
      <w:rFonts w:ascii="华文细黑" w:hAnsi="Arial" w:eastAsia="宋体"/>
      <w:b/>
      <w:bCs/>
      <w:sz w:val="44"/>
      <w:szCs w:val="32"/>
      <w:lang w:val="en-US" w:eastAsia="zh-CN" w:bidi="ar-SA"/>
    </w:rPr>
  </w:style>
  <w:style w:type="character" w:customStyle="1" w:styleId="83">
    <w:name w:val="正文文本 (32) + 10.5 pt5"/>
    <w:qFormat/>
    <w:uiPriority w:val="99"/>
    <w:rPr>
      <w:rFonts w:ascii="MingLiU" w:eastAsia="MingLiU" w:cs="MingLiU"/>
      <w:sz w:val="21"/>
      <w:szCs w:val="21"/>
      <w:u w:val="none"/>
    </w:rPr>
  </w:style>
  <w:style w:type="character" w:customStyle="1" w:styleId="84">
    <w:name w:val="正文文本 (2)_"/>
    <w:link w:val="85"/>
    <w:qFormat/>
    <w:uiPriority w:val="99"/>
    <w:rPr>
      <w:rFonts w:ascii="MingLiU" w:eastAsia="MingLiU" w:cs="MingLiU"/>
      <w:spacing w:val="20"/>
      <w:sz w:val="19"/>
      <w:szCs w:val="19"/>
      <w:shd w:val="clear" w:color="auto" w:fill="FFFFFF"/>
    </w:rPr>
  </w:style>
  <w:style w:type="paragraph" w:customStyle="1" w:styleId="85">
    <w:name w:val="正文文本 (2)1"/>
    <w:basedOn w:val="1"/>
    <w:link w:val="84"/>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6">
    <w:name w:val="正文文本 (32) + 10.5 pt"/>
    <w:qFormat/>
    <w:uiPriority w:val="99"/>
    <w:rPr>
      <w:rFonts w:ascii="MingLiU" w:eastAsia="MingLiU" w:cs="MingLiU"/>
      <w:sz w:val="21"/>
      <w:szCs w:val="21"/>
      <w:u w:val="none"/>
    </w:rPr>
  </w:style>
  <w:style w:type="character" w:customStyle="1" w:styleId="87">
    <w:name w:val="正文文本 (2) + 6 pt"/>
    <w:qFormat/>
    <w:uiPriority w:val="99"/>
    <w:rPr>
      <w:rFonts w:ascii="MingLiU" w:eastAsia="MingLiU" w:cs="MingLiU"/>
      <w:spacing w:val="0"/>
      <w:sz w:val="12"/>
      <w:szCs w:val="12"/>
      <w:u w:val="none"/>
      <w:shd w:val="clear" w:color="auto" w:fill="FFFFFF"/>
    </w:rPr>
  </w:style>
  <w:style w:type="paragraph" w:customStyle="1" w:styleId="8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9">
    <w:name w:val="reader-word-layer reader-word-s1-4"/>
    <w:basedOn w:val="1"/>
    <w:qFormat/>
    <w:uiPriority w:val="0"/>
    <w:pPr>
      <w:spacing w:before="100" w:beforeAutospacing="1" w:after="100" w:afterAutospacing="1"/>
    </w:pPr>
  </w:style>
  <w:style w:type="paragraph" w:customStyle="1" w:styleId="90">
    <w:name w:val="reader-word-layer reader-word-s1-6"/>
    <w:basedOn w:val="1"/>
    <w:qFormat/>
    <w:uiPriority w:val="0"/>
    <w:pPr>
      <w:spacing w:before="100" w:beforeAutospacing="1" w:after="100" w:afterAutospacing="1"/>
    </w:pPr>
  </w:style>
  <w:style w:type="paragraph" w:customStyle="1" w:styleId="91">
    <w:name w:val="reader-word-layer reader-word-s1-7"/>
    <w:basedOn w:val="1"/>
    <w:qFormat/>
    <w:uiPriority w:val="0"/>
    <w:pPr>
      <w:spacing w:before="100" w:beforeAutospacing="1" w:after="100" w:afterAutospacing="1"/>
    </w:pPr>
  </w:style>
  <w:style w:type="paragraph" w:styleId="92">
    <w:name w:val="List Paragraph"/>
    <w:basedOn w:val="1"/>
    <w:qFormat/>
    <w:uiPriority w:val="99"/>
    <w:pPr>
      <w:ind w:firstLine="420" w:firstLineChars="200"/>
    </w:pPr>
  </w:style>
  <w:style w:type="paragraph" w:customStyle="1" w:styleId="93">
    <w:name w:val="Normal_0"/>
    <w:qFormat/>
    <w:uiPriority w:val="0"/>
    <w:pPr>
      <w:widowControl w:val="0"/>
      <w:jc w:val="both"/>
    </w:pPr>
    <w:rPr>
      <w:rFonts w:ascii="等线" w:hAnsi="等线" w:eastAsia="等线" w:cs="Times New Roman"/>
      <w:lang w:val="en-US" w:eastAsia="zh-CN" w:bidi="ar-SA"/>
    </w:rPr>
  </w:style>
  <w:style w:type="paragraph" w:customStyle="1" w:styleId="94">
    <w:name w:val="Normal_3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Default_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Normal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Normal_1"/>
    <w:qFormat/>
    <w:uiPriority w:val="0"/>
    <w:rPr>
      <w:rFonts w:ascii="宋体" w:hAnsi="宋体" w:eastAsia="宋体" w:cs="宋体"/>
      <w:sz w:val="24"/>
      <w:szCs w:val="24"/>
      <w:lang w:val="en-US" w:eastAsia="zh-CN" w:bidi="ar-SA"/>
    </w:rPr>
  </w:style>
  <w:style w:type="paragraph" w:customStyle="1" w:styleId="99">
    <w:name w:val="Normal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p2"/>
    <w:basedOn w:val="96"/>
    <w:qFormat/>
    <w:uiPriority w:val="0"/>
    <w:pPr>
      <w:widowControl/>
      <w:spacing w:line="480" w:lineRule="auto"/>
      <w:ind w:firstLine="480"/>
      <w:jc w:val="left"/>
    </w:pPr>
    <w:rPr>
      <w:rFonts w:ascii="宋体" w:hAnsi="宋体" w:cs="宋体"/>
      <w:kern w:val="0"/>
      <w:sz w:val="24"/>
    </w:rPr>
  </w:style>
  <w:style w:type="paragraph" w:customStyle="1" w:styleId="101">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02">
    <w:name w:val="Default_0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03">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Normal_2"/>
    <w:qFormat/>
    <w:uiPriority w:val="0"/>
    <w:rPr>
      <w:rFonts w:ascii="Times New Roman" w:hAnsi="Times New Roman" w:eastAsia="Times New Roman" w:cs="Times New Roman"/>
      <w:sz w:val="24"/>
      <w:szCs w:val="24"/>
      <w:lang w:val="en-US" w:eastAsia="zh-CN" w:bidi="ar-SA"/>
    </w:rPr>
  </w:style>
  <w:style w:type="paragraph" w:customStyle="1" w:styleId="105">
    <w:name w:val="Normal_3"/>
    <w:qFormat/>
    <w:uiPriority w:val="0"/>
    <w:rPr>
      <w:rFonts w:ascii="Times New Roman" w:hAnsi="Times New Roman" w:eastAsia="Times New Roman" w:cs="Times New Roman"/>
      <w:sz w:val="24"/>
      <w:szCs w:val="24"/>
      <w:lang w:val="en-US" w:eastAsia="zh-CN" w:bidi="ar-SA"/>
    </w:rPr>
  </w:style>
  <w:style w:type="character" w:customStyle="1" w:styleId="106">
    <w:name w:val="纯文本 Char4"/>
    <w:basedOn w:val="42"/>
    <w:qFormat/>
    <w:uiPriority w:val="0"/>
    <w:rPr>
      <w:rFonts w:hint="eastAsia" w:ascii="宋体" w:hAnsi="Courier New" w:eastAsia="宋体" w:cs="Courier New"/>
      <w:kern w:val="2"/>
      <w:sz w:val="21"/>
      <w:szCs w:val="21"/>
    </w:rPr>
  </w:style>
  <w:style w:type="paragraph" w:customStyle="1" w:styleId="107">
    <w:name w:val="A一表格"/>
    <w:qFormat/>
    <w:uiPriority w:val="0"/>
    <w:rPr>
      <w:rFonts w:ascii="宋体" w:hAnsi="宋体" w:eastAsia="宋体" w:cs="Times New Roman"/>
      <w:kern w:val="2"/>
      <w:sz w:val="21"/>
      <w:szCs w:val="21"/>
      <w:lang w:val="en-US" w:eastAsia="zh-CN" w:bidi="ar-SA"/>
    </w:rPr>
  </w:style>
  <w:style w:type="character" w:customStyle="1" w:styleId="108">
    <w:name w:val="A一字符（加粗）"/>
    <w:qFormat/>
    <w:uiPriority w:val="0"/>
    <w:rPr>
      <w:b/>
    </w:rPr>
  </w:style>
  <w:style w:type="table" w:customStyle="1" w:styleId="109">
    <w:name w:val="Table Grid_0"/>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style93"/>
    <w:basedOn w:val="1"/>
    <w:qFormat/>
    <w:uiPriority w:val="0"/>
    <w:pPr>
      <w:spacing w:before="100" w:beforeAutospacing="1" w:after="100" w:afterAutospacing="1"/>
    </w:pPr>
  </w:style>
  <w:style w:type="paragraph" w:customStyle="1" w:styleId="111">
    <w:name w:val="Normal_2_0"/>
    <w:qFormat/>
    <w:uiPriority w:val="0"/>
    <w:pPr>
      <w:widowControl w:val="0"/>
      <w:jc w:val="both"/>
    </w:pPr>
    <w:rPr>
      <w:rFonts w:ascii="Calibri" w:hAnsi="Calibri" w:eastAsia="宋体" w:cs="Times New Roman"/>
      <w:lang w:val="en-US" w:eastAsia="zh-CN" w:bidi="ar-SA"/>
    </w:rPr>
  </w:style>
  <w:style w:type="table" w:customStyle="1" w:styleId="112">
    <w:name w:val="Table Normal"/>
    <w:semiHidden/>
    <w:unhideWhenUsed/>
    <w:qFormat/>
    <w:uiPriority w:val="0"/>
    <w:tblPr>
      <w:tblCellMar>
        <w:top w:w="0" w:type="dxa"/>
        <w:left w:w="0" w:type="dxa"/>
        <w:bottom w:w="0" w:type="dxa"/>
        <w:right w:w="0" w:type="dxa"/>
      </w:tblCellMar>
    </w:tblPr>
  </w:style>
  <w:style w:type="paragraph" w:customStyle="1" w:styleId="113">
    <w:name w:val="文档正文"/>
    <w:basedOn w:val="1"/>
    <w:qFormat/>
    <w:uiPriority w:val="99"/>
    <w:pPr>
      <w:adjustRightInd w:val="0"/>
      <w:spacing w:line="480" w:lineRule="atLeast"/>
      <w:ind w:firstLine="567" w:firstLineChars="200"/>
      <w:textAlignment w:val="baseline"/>
    </w:pPr>
    <w:rPr>
      <w:rFonts w:ascii="长城仿宋"/>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F0879-4663-453E-B475-99E0DF8D2BA9}">
  <ds:schemaRefs/>
</ds:datastoreItem>
</file>

<file path=docProps/app.xml><?xml version="1.0" encoding="utf-8"?>
<Properties xmlns="http://schemas.openxmlformats.org/officeDocument/2006/extended-properties" xmlns:vt="http://schemas.openxmlformats.org/officeDocument/2006/docPropsVTypes">
  <Template>Normal.dotm</Template>
  <Company>北京筑龙</Company>
  <Pages>57</Pages>
  <Words>2151</Words>
  <Characters>2231</Characters>
  <Lines>241</Lines>
  <Paragraphs>67</Paragraphs>
  <TotalTime>160</TotalTime>
  <ScaleCrop>false</ScaleCrop>
  <LinksUpToDate>false</LinksUpToDate>
  <CharactersWithSpaces>2375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2022-08-17T03:10:00Z</dcterms:created>
  <dc:creator>快节奏</dc:creator>
  <cp:lastModifiedBy>微信用户</cp:lastModifiedBy>
  <cp:lastPrinted>2022-08-18T02:16:00Z</cp:lastPrinted>
  <dcterms:modified xsi:type="dcterms:W3CDTF">2025-04-21T03:08:03Z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D7705D019FF6418EAD4F5279F5FBFCAE</vt:lpwstr>
  </property>
  <property fmtid="{D5CDD505-2E9C-101B-9397-08002B2CF9AE}" pid="4" name="KSOTemplateDocerSaveRecord">
    <vt:lpwstr>eyJoZGlkIjoiY2VmNzRhMDEyNGJlNzM1MDdkYjM4YTMwNmRkMjI5MmMiLCJ1c2VySWQiOiIxMjQxNDYxNTA3In0=</vt:lpwstr>
  </property>
</Properties>
</file>