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深圳市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南山区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水务局予以水土保持设施验收集中备案的生产建设项目清单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47"/>
        <w:gridCol w:w="3615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生产建设项目名称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生产建设项目水土保持方案审批文号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南山区南海玫瑰园及海斯比排放口整治工程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深圳市兴沃尔石化有限公司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深南环水保许〔2016〕33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南山区南海大道(东滨路-工业八路)段污水管改造工程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广东电网公司深圳供电局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深南环水保许〔2016〕25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蛇口松湖路(港湾大道-赤湾六路)污水管道改造工程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深圳市建设（集团）有限公司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深南环水保许〔2016〕28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西丽水库原水管（东滨路至蛇口水厂段）修复工程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深南环水保许〔2015〕88号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地铁蛇口西车辆段上盖物业市政配套——兴海大道改造工程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深南环水许（2014）19号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前海片区桃园路西段项目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深南环水许〔2013〕15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深圳海事局南山海事处业务用房项目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深圳市水务局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深南环水许〔2013〕1号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桃花园E区110KV架空线迁移工程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深圳市麒麟山疗养院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深南环水保许〔2012〕27号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深圳市海上世界广场-船后广场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深圳市塘朗山郊野公园管理处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深南环水保许〔2011〕13号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深圳市海上世界船前广场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深圳市职业技术学院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深南农水许可函〔2010〕53号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深圳市海上世界船前广场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深南农水许可函〔2010〕54号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外代前海仓库二期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深南农水许可函〔2010〕27号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前海湾汽车物流园一汽大众4S店项目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深南农水许可函〔2009〕48号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伍兹公寓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深南农水许可函〔2009〕34号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深圳前海湾汽车物流园汽车检测中心一期项目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深南农水许可函〔2009〕16号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前海湾汽车场物流园平博汽车品牌店项目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深圳市土地投资开发中心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深南农水许可函〔2009〕17号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南山污水处理厂中水处理工程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边检依山居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深圳大学城管理办公室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科技大厦二期项目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深圳市道桥维修中心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蛇口检验检疫局南山临时卫生处理场项目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哈尔滨工业大学深圳研究生院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深南电循环经济项目污泥干化及综合楼项目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兰溪谷二期二号用地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深南农水许可函〔2008〕21号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南山公园配套服务及管理用房建设项目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深南农水函〔2007〕32号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7880525" o:spid="_x0000_s2066" o:spt="136" type="#_x0000_t136" style="position:absolute;left:0pt;margin-left:722.15pt;margin-top:263.25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7755369" o:spid="_x0000_s2065" o:spt="136" type="#_x0000_t136" style="position:absolute;left:0pt;margin-left:519.9pt;margin-top:465.5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7634254" o:spid="_x0000_s2064" o:spt="136" type="#_x0000_t136" style="position:absolute;left:0pt;margin-left:722.15pt;margin-top:57.95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7055595" o:spid="_x0000_s2063" o:spt="136" type="#_x0000_t136" style="position:absolute;left:0pt;margin-left:519.9pt;margin-top:260.1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6281978" o:spid="_x0000_s2062" o:spt="136" type="#_x0000_t136" style="position:absolute;left:0pt;margin-left:317.65pt;margin-top:462.4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6171196" o:spid="_x0000_s2061" o:spt="136" type="#_x0000_t136" style="position:absolute;left:0pt;margin-left:722.15pt;margin-top:-147.4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6112014" o:spid="_x0000_s2060" o:spt="136" type="#_x0000_t136" style="position:absolute;left:0pt;margin-left:519.9pt;margin-top:54.85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5324046" o:spid="_x0000_s2059" o:spt="136" type="#_x0000_t136" style="position:absolute;left:0pt;margin-left:317.65pt;margin-top:257.1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5089219" o:spid="_x0000_s2058" o:spt="136" type="#_x0000_t136" style="position:absolute;left:0pt;margin-left:115.45pt;margin-top:459.3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4900520" o:spid="_x0000_s2057" o:spt="136" type="#_x0000_t136" style="position:absolute;left:0pt;margin-left:519.9pt;margin-top:-150.4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4716857" o:spid="_x0000_s2056" o:spt="136" type="#_x0000_t136" style="position:absolute;left:0pt;margin-left:317.65pt;margin-top:51.75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4317347" o:spid="_x0000_s2055" o:spt="136" type="#_x0000_t136" style="position:absolute;left:0pt;margin-left:115.45pt;margin-top:254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3500135" o:spid="_x0000_s2054" o:spt="136" type="#_x0000_t136" style="position:absolute;left:0pt;margin-left:-86.8pt;margin-top:456.2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2816789" o:spid="_x0000_s2053" o:spt="136" type="#_x0000_t136" style="position:absolute;left:0pt;margin-left:317.65pt;margin-top:-153.5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2729286" o:spid="_x0000_s2052" o:spt="136" type="#_x0000_t136" style="position:absolute;left:0pt;margin-left:115.45pt;margin-top:48.7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1874796" o:spid="_x0000_s2051" o:spt="136" type="#_x0000_t136" style="position:absolute;left:0pt;margin-left:-86.8pt;margin-top:250.9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1356916" o:spid="_x0000_s2050" o:spt="136" type="#_x0000_t136" style="position:absolute;left:0pt;margin-left:115.45pt;margin-top:-156.6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  <w:r>
      <w:rPr>
        <w:sz w:val="18"/>
      </w:rPr>
      <w:pict>
        <v:shape id="PowerPlusWaterMarkObject629469" o:spid="_x0000_s2049" o:spt="136" type="#_x0000_t136" style="position:absolute;left:0pt;margin-left:-86.8pt;margin-top:45.6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融媒体岗2&#10;&#10;&#10;&#10;2024-06-06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1E"/>
    <w:rsid w:val="003B06EA"/>
    <w:rsid w:val="00575C1E"/>
    <w:rsid w:val="00945C6D"/>
    <w:rsid w:val="00BA3C01"/>
    <w:rsid w:val="065F3D20"/>
    <w:rsid w:val="13374210"/>
    <w:rsid w:val="1A721507"/>
    <w:rsid w:val="1D8F7561"/>
    <w:rsid w:val="2CEE451D"/>
    <w:rsid w:val="32722182"/>
    <w:rsid w:val="34F06ABA"/>
    <w:rsid w:val="35101E3A"/>
    <w:rsid w:val="375227FA"/>
    <w:rsid w:val="5996240E"/>
    <w:rsid w:val="5CFC13D9"/>
    <w:rsid w:val="64E72E79"/>
    <w:rsid w:val="663A6CFD"/>
    <w:rsid w:val="74801E40"/>
    <w:rsid w:val="7FFE8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2021-07-14T22:24:00Z</dcterms:created>
  <dc:creator>高阳</dc:creator>
  <cp:lastModifiedBy>root</cp:lastModifiedBy>
  <dcterms:modified xsi:type="dcterms:W3CDTF">2024-06-06T06:12:33Z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  <property fmtid="{D5CDD505-2E9C-101B-9397-08002B2CF9AE}" pid="3" name="ICV">
    <vt:lpwstr>A69D131495824C54BCDB245CF99BDCCC</vt:lpwstr>
  </property>
</Properties>
</file>