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pacing w:beforeAutospacing="0" w:afterAutospacing="0" w:line="579" w:lineRule="atLeas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《南山区政府投资项目代建制管理办法》</w:t>
      </w:r>
    </w:p>
    <w:p>
      <w:pPr>
        <w:pStyle w:val="17"/>
        <w:widowControl/>
        <w:spacing w:beforeAutospacing="0" w:afterAutospacing="0" w:line="579" w:lineRule="atLeas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编制说明</w:t>
      </w:r>
    </w:p>
    <w:p>
      <w:pPr>
        <w:pStyle w:val="17"/>
        <w:widowControl/>
        <w:spacing w:beforeAutospacing="0" w:afterAutospacing="0" w:line="579" w:lineRule="atLeast"/>
        <w:ind w:firstLine="0" w:firstLineChars="0"/>
        <w:jc w:val="center"/>
        <w:rPr>
          <w:rFonts w:hint="eastAsia" w:ascii="方正小标宋_GBK" w:hAnsi="方正小标宋_GBK" w:eastAsia="方正小标宋_GBK" w:cs="方正小标宋_GBK"/>
          <w:sz w:val="32"/>
          <w:szCs w:val="32"/>
        </w:rPr>
      </w:pPr>
    </w:p>
    <w:p>
      <w:pPr>
        <w:ind w:firstLine="640"/>
        <w:rPr>
          <w:rFonts w:hint="eastAsia"/>
        </w:rPr>
      </w:pPr>
      <w:bookmarkStart w:id="2" w:name="_GoBack"/>
      <w:r>
        <w:rPr>
          <w:rFonts w:hint="eastAsia"/>
        </w:rPr>
        <w:t>为完善南山区政府投资管理体制、切实提高政府投资代建项目的建设管理水平和投资效益，南山区发展和改革局依据《政府投资条例》《深圳经济特区政府投资项目管理条例》《南山区政府投资项目管理办法》等规定，结合南山区项目管理的实际需求及各单位反馈的意见制定了《南山区政府投资项目代建制管理办法》（以下简称《办法》）</w:t>
      </w:r>
      <w:bookmarkEnd w:id="2"/>
      <w:r>
        <w:rPr>
          <w:rFonts w:hint="eastAsia"/>
        </w:rPr>
        <w:t>。现将编制情况说明如下：</w:t>
      </w:r>
    </w:p>
    <w:p>
      <w:pPr>
        <w:pStyle w:val="2"/>
        <w:ind w:firstLine="640"/>
      </w:pPr>
      <w:r>
        <w:rPr>
          <w:rFonts w:hint="eastAsia"/>
        </w:rPr>
        <w:t>编制</w:t>
      </w:r>
      <w:r>
        <w:t>必要性</w:t>
      </w:r>
    </w:p>
    <w:p>
      <w:pPr>
        <w:ind w:firstLine="640"/>
      </w:pPr>
      <w:r>
        <w:rPr>
          <w:rFonts w:hint="eastAsia"/>
        </w:rPr>
        <w:t>代建制作为南山区政府投资项目中的重要建设管理模式，经过几年来的发展，有效地提升了政府投资项目的投资效益，但也存在一些问题和挑战。一方面是《南山区政府投资项目代建制管理办法》现已失效，暂未出台新的规范性文件对此类项目进行系统、全面的指导。另一方面是新时期新形势下对政府投资项目提出了新的要求和挑战，亟需与上位法规进行对齐。</w:t>
      </w:r>
    </w:p>
    <w:p>
      <w:pPr>
        <w:ind w:firstLine="640"/>
      </w:pPr>
      <w:r>
        <w:rPr>
          <w:rFonts w:hint="eastAsia" w:ascii="仿宋_GB2312" w:hAnsi="仿宋_GB2312" w:cs="仿宋_GB2312"/>
          <w:szCs w:val="32"/>
        </w:rPr>
        <w:t>为契合上位法规的最新要求，并充分梳理吸收南山区的代建制管理经验，规范代建项目全过程、全链条的管理，有效提升政府投资项目的建设管理水平和投资效益，编制本《办法》尤为必要。</w:t>
      </w:r>
    </w:p>
    <w:p>
      <w:pPr>
        <w:pStyle w:val="2"/>
        <w:ind w:firstLine="640"/>
      </w:pPr>
      <w:r>
        <w:rPr>
          <w:rFonts w:hint="eastAsia"/>
        </w:rPr>
        <w:t>编制过程</w:t>
      </w:r>
    </w:p>
    <w:p>
      <w:p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自2025年6月中旬起，</w:t>
      </w:r>
      <w:bookmarkStart w:id="0" w:name="_Hlk215838471"/>
      <w:r>
        <w:rPr>
          <w:rFonts w:hint="eastAsia" w:ascii="CESI仿宋-GB2312" w:hAnsi="CESI仿宋-GB2312" w:eastAsia="CESI仿宋-GB2312" w:cs="CESI仿宋-GB2312"/>
        </w:rPr>
        <w:t>区发展改革局</w:t>
      </w:r>
      <w:bookmarkEnd w:id="0"/>
      <w:r>
        <w:rPr>
          <w:rFonts w:hint="eastAsia" w:ascii="CESI仿宋-GB2312" w:hAnsi="CESI仿宋-GB2312" w:eastAsia="CESI仿宋-GB2312" w:cs="CESI仿宋-GB2312"/>
        </w:rPr>
        <w:t>紧锣密鼓开展资料收集、项目分析、办法起草、征求相关单位意见等一系列工作。</w:t>
      </w:r>
    </w:p>
    <w:p>
      <w:pPr>
        <w:pStyle w:val="37"/>
        <w:numPr>
          <w:ilvl w:val="0"/>
          <w:numId w:val="2"/>
        </w:numPr>
        <w:ind w:left="-3" w:leftChars="0" w:firstLine="643" w:firstLineChars="0"/>
        <w:rPr>
          <w:rFonts w:hint="eastAsia" w:ascii="CESI仿宋-GB2312" w:hAnsi="CESI仿宋-GB2312" w:eastAsia="CESI仿宋-GB2312" w:cs="CESI仿宋-GB2312"/>
        </w:rPr>
      </w:pPr>
      <w:r>
        <w:rPr>
          <w:rFonts w:hint="eastAsia" w:ascii="CESI仿宋-GB2312" w:hAnsi="CESI仿宋-GB2312" w:eastAsia="CESI仿宋-GB2312" w:cs="CESI仿宋-GB2312"/>
          <w:b/>
          <w:bCs/>
        </w:rPr>
        <w:t>开展资料收集。</w:t>
      </w:r>
      <w:r>
        <w:rPr>
          <w:rFonts w:hint="eastAsia" w:ascii="CESI仿宋-GB2312" w:hAnsi="CESI仿宋-GB2312" w:eastAsia="CESI仿宋-GB2312" w:cs="CESI仿宋-GB2312"/>
          <w:kern w:val="2"/>
          <w:sz w:val="32"/>
          <w:szCs w:val="21"/>
          <w:lang w:val="en-US" w:eastAsia="zh-CN" w:bidi="ar-SA"/>
        </w:rPr>
        <w:t>2025年6月，收集国家、省、市及其他各区关于政府投资项目管理的相关文件，并重点梳理先进地区对代建制项目的管理经验，对比分析，为《南山区政府投资项目代建制管理办法》的编制奠定扎实基础。</w:t>
      </w:r>
    </w:p>
    <w:p>
      <w:pPr>
        <w:pStyle w:val="37"/>
        <w:numPr>
          <w:ilvl w:val="0"/>
          <w:numId w:val="2"/>
        </w:numPr>
        <w:ind w:left="-3" w:leftChars="0" w:firstLine="643" w:firstLineChars="0"/>
        <w:rPr>
          <w:rFonts w:hint="eastAsia" w:ascii="CESI仿宋-GB2312" w:hAnsi="CESI仿宋-GB2312" w:eastAsia="CESI仿宋-GB2312" w:cs="CESI仿宋-GB2312"/>
          <w:kern w:val="2"/>
          <w:sz w:val="32"/>
          <w:szCs w:val="21"/>
          <w:lang w:val="en-US" w:eastAsia="zh-CN" w:bidi="ar-SA"/>
        </w:rPr>
      </w:pPr>
      <w:r>
        <w:rPr>
          <w:rFonts w:hint="eastAsia" w:ascii="CESI仿宋-GB2312" w:hAnsi="CESI仿宋-GB2312" w:eastAsia="CESI仿宋-GB2312" w:cs="CESI仿宋-GB2312"/>
          <w:b/>
          <w:bCs/>
        </w:rPr>
        <w:t>前期研究分析。</w:t>
      </w:r>
      <w:r>
        <w:rPr>
          <w:rFonts w:hint="eastAsia" w:ascii="CESI仿宋-GB2312" w:hAnsi="CESI仿宋-GB2312" w:eastAsia="CESI仿宋-GB2312" w:cs="CESI仿宋-GB2312"/>
          <w:kern w:val="2"/>
          <w:sz w:val="32"/>
          <w:szCs w:val="21"/>
          <w:lang w:val="en-US" w:eastAsia="zh-CN" w:bidi="ar-SA"/>
        </w:rPr>
        <w:t>2025年7月，统计分析南山区2016年至今实施代建制的政府投资项目，总结过往代建制运行中存在的问题，针对性进行顶层设计。</w:t>
      </w:r>
    </w:p>
    <w:p>
      <w:pPr>
        <w:pStyle w:val="37"/>
        <w:numPr>
          <w:ilvl w:val="0"/>
          <w:numId w:val="2"/>
        </w:numPr>
        <w:ind w:left="-3" w:leftChars="0" w:firstLine="643" w:firstLineChars="0"/>
        <w:rPr>
          <w:rFonts w:hint="eastAsia" w:ascii="CESI仿宋-GB2312" w:hAnsi="CESI仿宋-GB2312" w:eastAsia="CESI仿宋-GB2312" w:cs="CESI仿宋-GB2312"/>
        </w:rPr>
      </w:pPr>
      <w:r>
        <w:rPr>
          <w:rFonts w:hint="eastAsia" w:ascii="CESI仿宋-GB2312" w:hAnsi="CESI仿宋-GB2312" w:eastAsia="CESI仿宋-GB2312" w:cs="CESI仿宋-GB2312"/>
          <w:b/>
          <w:bCs/>
        </w:rPr>
        <w:t>完成办法起草。</w:t>
      </w:r>
      <w:r>
        <w:rPr>
          <w:rFonts w:hint="eastAsia" w:ascii="CESI仿宋-GB2312" w:hAnsi="CESI仿宋-GB2312" w:eastAsia="CESI仿宋-GB2312" w:cs="CESI仿宋-GB2312"/>
          <w:kern w:val="2"/>
          <w:sz w:val="32"/>
          <w:szCs w:val="21"/>
          <w:lang w:val="en-US" w:eastAsia="zh-CN" w:bidi="ar-SA"/>
        </w:rPr>
        <w:t>2025年7月至10月，在确定文件基本框架的基础上编制《南山区政府投资项目代建制管理办法（初稿）》及相关配套文件初稿，并内部</w:t>
      </w:r>
      <w:r>
        <w:rPr>
          <w:rFonts w:hint="eastAsia" w:ascii="CESI仿宋-GB2312" w:hAnsi="CESI仿宋-GB2312" w:eastAsia="CESI仿宋-GB2312" w:cs="CESI仿宋-GB2312"/>
        </w:rPr>
        <w:t>反复讨论修改完善，形成《南山区政府投资项目代建制管理办法（征求意见稿）》。</w:t>
      </w:r>
    </w:p>
    <w:p>
      <w:pPr>
        <w:pStyle w:val="37"/>
        <w:numPr>
          <w:ilvl w:val="0"/>
          <w:numId w:val="2"/>
        </w:numPr>
        <w:ind w:left="-3" w:leftChars="0" w:firstLine="643" w:firstLineChars="0"/>
        <w:rPr>
          <w:rFonts w:hint="eastAsia" w:ascii="CESI仿宋-GB2312" w:hAnsi="CESI仿宋-GB2312" w:eastAsia="CESI仿宋-GB2312" w:cs="CESI仿宋-GB2312"/>
        </w:rPr>
      </w:pPr>
      <w:r>
        <w:rPr>
          <w:rFonts w:hint="eastAsia" w:ascii="CESI仿宋-GB2312" w:hAnsi="CESI仿宋-GB2312" w:eastAsia="CESI仿宋-GB2312" w:cs="CESI仿宋-GB2312"/>
          <w:b/>
          <w:bCs/>
        </w:rPr>
        <w:t>征求各单位意见。</w:t>
      </w:r>
      <w:r>
        <w:rPr>
          <w:rFonts w:hint="eastAsia" w:ascii="CESI仿宋-GB2312" w:hAnsi="CESI仿宋-GB2312" w:eastAsia="CESI仿宋-GB2312" w:cs="CESI仿宋-GB2312"/>
          <w:kern w:val="2"/>
          <w:sz w:val="32"/>
          <w:szCs w:val="21"/>
          <w:lang w:val="en-US" w:eastAsia="zh-CN" w:bidi="ar-SA"/>
        </w:rPr>
        <w:t>2025年11月至12月，向区各相关单位开展两轮意见征求工作，</w:t>
      </w:r>
      <w:r>
        <w:rPr>
          <w:rFonts w:hint="eastAsia" w:ascii="CESI仿宋-GB2312" w:hAnsi="CESI仿宋-GB2312" w:eastAsia="CESI仿宋-GB2312" w:cs="CESI仿宋-GB2312"/>
        </w:rPr>
        <w:t>根据意见反馈形成本次征求意见稿。</w:t>
      </w:r>
    </w:p>
    <w:p>
      <w:pPr>
        <w:pStyle w:val="2"/>
        <w:ind w:firstLine="640"/>
      </w:pPr>
      <w:r>
        <w:rPr>
          <w:rFonts w:hint="eastAsia"/>
        </w:rPr>
        <w:t>编制思路和主要内容</w:t>
      </w:r>
    </w:p>
    <w:p>
      <w:pPr>
        <w:pStyle w:val="3"/>
        <w:ind w:firstLine="643"/>
        <w:rPr>
          <w:rFonts w:hint="eastAsia" w:ascii="CESI仿宋-GB2312" w:hAnsi="CESI仿宋-GB2312" w:eastAsia="CESI仿宋-GB2312" w:cs="CESI仿宋-GB2312"/>
        </w:rPr>
      </w:pPr>
      <w:r>
        <w:rPr>
          <w:rFonts w:hint="eastAsia" w:ascii="CESI仿宋-GB2312" w:hAnsi="CESI仿宋-GB2312" w:eastAsia="CESI仿宋-GB2312" w:cs="CESI仿宋-GB2312"/>
        </w:rPr>
        <w:t>编制思路</w:t>
      </w:r>
    </w:p>
    <w:p>
      <w:p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办法》的编制以代建制项目的全生命周期管理为基本框架，以对齐上位法规和解决实际问题为导向，充分梳理分析现行文件的最新要求以及制度运行中存在的痛点和难点，并针对性进行顶层设计，进而形成了全生命、全链条的制度文件，以实现《办法》的科学性、规范性和可操作性。</w:t>
      </w:r>
    </w:p>
    <w:p>
      <w:pPr>
        <w:pStyle w:val="3"/>
        <w:ind w:firstLine="643"/>
        <w:rPr>
          <w:rFonts w:hint="eastAsia" w:ascii="CESI仿宋-GB2312" w:hAnsi="CESI仿宋-GB2312" w:eastAsia="CESI仿宋-GB2312" w:cs="CESI仿宋-GB2312"/>
        </w:rPr>
      </w:pPr>
      <w:r>
        <w:rPr>
          <w:rFonts w:hint="eastAsia" w:ascii="CESI仿宋-GB2312" w:hAnsi="CESI仿宋-GB2312" w:eastAsia="CESI仿宋-GB2312" w:cs="CESI仿宋-GB2312"/>
        </w:rPr>
        <w:t>主要内容</w:t>
      </w:r>
    </w:p>
    <w:p>
      <w:p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《办法》分为“总则”“前期决策与代建单位选择”“项目组织实施”“职责与分工”“代建费用与奖励制度”“法律责任”和“附则”七个章节，共三十五条，主要内容如下：</w:t>
      </w:r>
    </w:p>
    <w:p>
      <w:pPr>
        <w:pStyle w:val="4"/>
        <w:ind w:firstLine="643"/>
        <w:rPr>
          <w:rFonts w:hint="eastAsia" w:ascii="CESI仿宋-GB2312" w:hAnsi="CESI仿宋-GB2312" w:eastAsia="CESI仿宋-GB2312" w:cs="CESI仿宋-GB2312"/>
        </w:rPr>
      </w:pPr>
      <w:r>
        <w:rPr>
          <w:rFonts w:hint="eastAsia" w:ascii="CESI仿宋-GB2312" w:hAnsi="CESI仿宋-GB2312" w:eastAsia="CESI仿宋-GB2312" w:cs="CESI仿宋-GB2312"/>
        </w:rPr>
        <w:t>明确代建制项目实施范围</w:t>
      </w:r>
    </w:p>
    <w:p>
      <w:p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参考其他区代建制实施的范围，结合南山区政府投资项目的实际情况，明</w:t>
      </w:r>
      <w:r>
        <w:rPr>
          <w:rFonts w:hint="eastAsia" w:ascii="CESI仿宋-GB2312" w:hAnsi="CESI仿宋-GB2312" w:eastAsia="CESI仿宋-GB2312" w:cs="CESI仿宋-GB2312"/>
          <w:kern w:val="2"/>
          <w:sz w:val="32"/>
          <w:szCs w:val="21"/>
          <w:lang w:val="en-US" w:eastAsia="zh-CN" w:bidi="ar-SA"/>
        </w:rPr>
        <w:t>确总投资5000万元（含）以上且复</w:t>
      </w:r>
      <w:r>
        <w:rPr>
          <w:rFonts w:hint="eastAsia" w:ascii="CESI仿宋-GB2312" w:hAnsi="CESI仿宋-GB2312" w:eastAsia="CESI仿宋-GB2312" w:cs="CESI仿宋-GB2312"/>
        </w:rPr>
        <w:t>杂程度较高或管理目标较高或特殊项目或重大项目适用于代建制，零代建及其他区政府研究同意的项目不受上述条件约束。</w:t>
      </w:r>
    </w:p>
    <w:p>
      <w:pPr>
        <w:pStyle w:val="4"/>
        <w:ind w:firstLine="643"/>
        <w:rPr>
          <w:rFonts w:hint="eastAsia" w:ascii="CESI仿宋-GB2312" w:hAnsi="CESI仿宋-GB2312" w:eastAsia="CESI仿宋-GB2312" w:cs="CESI仿宋-GB2312"/>
        </w:rPr>
      </w:pPr>
      <w:r>
        <w:rPr>
          <w:rFonts w:hint="eastAsia" w:ascii="CESI仿宋-GB2312" w:hAnsi="CESI仿宋-GB2312" w:eastAsia="CESI仿宋-GB2312" w:cs="CESI仿宋-GB2312"/>
        </w:rPr>
        <w:t>规范代建制项目生成机制</w:t>
      </w:r>
    </w:p>
    <w:p>
      <w:p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参考《南山区政府投资项目管理办法》和其他区的做法，明确拟实行委托代建的项目，原则上实行全过程代建，应在项目立项后由委托单位提出代建方案，</w:t>
      </w:r>
      <w:bookmarkStart w:id="1" w:name="OLE_LINK11"/>
      <w:r>
        <w:rPr>
          <w:rFonts w:hint="eastAsia" w:ascii="CESI仿宋-GB2312" w:hAnsi="CESI仿宋-GB2312" w:eastAsia="CESI仿宋-GB2312" w:cs="CESI仿宋-GB2312"/>
        </w:rPr>
        <w:t>经征求相关部门意见后报委托单位分管区领导</w:t>
      </w:r>
      <w:bookmarkEnd w:id="1"/>
      <w:r>
        <w:rPr>
          <w:rFonts w:hint="eastAsia" w:ascii="CESI仿宋-GB2312" w:hAnsi="CESI仿宋-GB2312" w:eastAsia="CESI仿宋-GB2312" w:cs="CESI仿宋-GB2312"/>
        </w:rPr>
        <w:t>批准后执行。对于市、区政府相关会议已确定按代建模式实施的，可直接实行代建模式。同时明确代建方案需包含代建单位的选择方式、代建委托内容和管理要求等内容。</w:t>
      </w:r>
    </w:p>
    <w:p>
      <w:pPr>
        <w:pStyle w:val="4"/>
        <w:ind w:firstLine="643"/>
        <w:rPr>
          <w:rFonts w:hint="eastAsia" w:ascii="CESI仿宋-GB2312" w:hAnsi="CESI仿宋-GB2312" w:eastAsia="CESI仿宋-GB2312" w:cs="CESI仿宋-GB2312"/>
        </w:rPr>
      </w:pPr>
      <w:r>
        <w:rPr>
          <w:rFonts w:hint="eastAsia" w:ascii="CESI仿宋-GB2312" w:hAnsi="CESI仿宋-GB2312" w:eastAsia="CESI仿宋-GB2312" w:cs="CESI仿宋-GB2312"/>
        </w:rPr>
        <w:t>优化代建单位选择方式、条件及服务范围</w:t>
      </w:r>
    </w:p>
    <w:p>
      <w:pPr>
        <w:pStyle w:val="37"/>
        <w:numPr>
          <w:ilvl w:val="0"/>
          <w:numId w:val="3"/>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代建单位选择方式：结合《深圳经济特区优化营商环境条例》的规定，明确代建项目的选择方式以公开招标为主。采用零代建方式实施的项目，代建方案批准后可采取直接委托的方式。</w:t>
      </w:r>
    </w:p>
    <w:p>
      <w:pPr>
        <w:pStyle w:val="37"/>
        <w:numPr>
          <w:ilvl w:val="0"/>
          <w:numId w:val="3"/>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代建单位选择条件：明确代建单位应具有与项目相适应的全过程项目管理能力与经验、与项目相适应的专业力量以及良好的资信水平。同时规定代建项目首席责任人的任职及更换参照深圳市项目经理和项目总监相关任职管理规定执行。</w:t>
      </w:r>
    </w:p>
    <w:p>
      <w:pPr>
        <w:pStyle w:val="37"/>
        <w:numPr>
          <w:ilvl w:val="0"/>
          <w:numId w:val="3"/>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代建单位服务范围：结合《必须招标的工程项目规定》的要求，委托单位可以在依法选择代建单位时，将代建项目的投资咨询、勘察、设计、工程监理、招标代理、造价等纳入全部或部分工程服务事项，具体事项应当在招标文件或代建合同中明确。相关服务事项费用可先按照暂定价，最终以总概算批复为准。同时，明确规定代建单位应当具备相应工程服务事项的资质、能力要求。</w:t>
      </w:r>
    </w:p>
    <w:p>
      <w:pPr>
        <w:pStyle w:val="4"/>
        <w:ind w:firstLine="643"/>
        <w:rPr>
          <w:rFonts w:hint="eastAsia" w:ascii="CESI仿宋-GB2312" w:hAnsi="CESI仿宋-GB2312" w:eastAsia="CESI仿宋-GB2312" w:cs="CESI仿宋-GB2312"/>
        </w:rPr>
      </w:pPr>
      <w:r>
        <w:rPr>
          <w:rFonts w:hint="eastAsia" w:ascii="CESI仿宋-GB2312" w:hAnsi="CESI仿宋-GB2312" w:eastAsia="CESI仿宋-GB2312" w:cs="CESI仿宋-GB2312"/>
        </w:rPr>
        <w:t>规范合同签订及备案程序</w:t>
      </w:r>
    </w:p>
    <w:p>
      <w:pPr>
        <w:pStyle w:val="37"/>
        <w:numPr>
          <w:ilvl w:val="0"/>
          <w:numId w:val="4"/>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合同签订时间及内容：明确委托单位需在确定代建单位后30日内签订合同，且明确代建合同应包含双方权利及义务，具体工作范围和内容，管理目标，代建费用等内容。</w:t>
      </w:r>
    </w:p>
    <w:p>
      <w:pPr>
        <w:pStyle w:val="37"/>
        <w:numPr>
          <w:ilvl w:val="0"/>
          <w:numId w:val="4"/>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履约保函要求：明确合同生效前代建单位应当提供不低于项目代建</w:t>
      </w:r>
      <w:r>
        <w:rPr>
          <w:rFonts w:hint="eastAsia" w:ascii="CESI仿宋-GB2312" w:hAnsi="CESI仿宋-GB2312" w:eastAsia="CESI仿宋-GB2312" w:cs="CESI仿宋-GB2312"/>
          <w:kern w:val="2"/>
          <w:sz w:val="32"/>
          <w:szCs w:val="21"/>
          <w:lang w:val="en-US" w:eastAsia="zh-CN" w:bidi="ar-SA"/>
        </w:rPr>
        <w:t>管理费100%的履约保函，</w:t>
      </w:r>
      <w:r>
        <w:rPr>
          <w:rFonts w:hint="eastAsia" w:ascii="CESI仿宋-GB2312" w:hAnsi="CESI仿宋-GB2312" w:eastAsia="CESI仿宋-GB2312" w:cs="CESI仿宋-GB2312"/>
        </w:rPr>
        <w:t>其中零代建项目的履约保函金额亦不低于按项目概算金额（如无概算金额，可按估算或匡算金额）计算的代建管理费。</w:t>
      </w:r>
    </w:p>
    <w:p>
      <w:pPr>
        <w:pStyle w:val="37"/>
        <w:numPr>
          <w:ilvl w:val="0"/>
          <w:numId w:val="4"/>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合同备案及信息共享：明确代建合同签订后委托单位应及时在区政府投资项目管理相关平台上进行备案，后续还应通过该平台如实报送项目相关进展和信息，实现信息共享。</w:t>
      </w:r>
    </w:p>
    <w:p>
      <w:pPr>
        <w:pStyle w:val="4"/>
        <w:ind w:firstLine="643"/>
        <w:rPr>
          <w:rFonts w:hint="eastAsia" w:ascii="CESI仿宋-GB2312" w:hAnsi="CESI仿宋-GB2312" w:eastAsia="CESI仿宋-GB2312" w:cs="CESI仿宋-GB2312"/>
        </w:rPr>
      </w:pPr>
      <w:r>
        <w:rPr>
          <w:rFonts w:hint="eastAsia" w:ascii="CESI仿宋-GB2312" w:hAnsi="CESI仿宋-GB2312" w:eastAsia="CESI仿宋-GB2312" w:cs="CESI仿宋-GB2312"/>
        </w:rPr>
        <w:t>规范项目实施流程</w:t>
      </w:r>
    </w:p>
    <w:p>
      <w:pPr>
        <w:pStyle w:val="37"/>
        <w:numPr>
          <w:ilvl w:val="0"/>
          <w:numId w:val="5"/>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招标管理工作：结合《深圳市人民政府关于进一步规范建设工程招标投标活动的通知》（深府规〔2024〕8号）的文件精神，参考福田区、龙岗区等代建制相关规定，明确工程监理单位可由委托单位或代建单位按照程序选择，若由代建单位选定，招标方案应经委托单位确认后实施，招标完成后应当将工程监理单位信息和项目负责人向委托单位报备。同时明确规定项目预算、结算及竣工决算的造价审核单位由委托单位按规定自行选择产生。对于其他确有必要的工作事项，也可由委托单位自行开展招标或委托。</w:t>
      </w:r>
    </w:p>
    <w:p>
      <w:pPr>
        <w:pStyle w:val="37"/>
        <w:numPr>
          <w:ilvl w:val="0"/>
          <w:numId w:val="5"/>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工程款支付：明确由代建单位代编年度投资计划和项目用款报告，通过审核后由委托单位按照程序向区发展改革部门和区财政部门申请下达资金。代建单位应在收到拨付资金的十个工作日内及时足额支付工程款，人工费用应当及时足额支付至农民工工资专用账户。</w:t>
      </w:r>
    </w:p>
    <w:p>
      <w:pPr>
        <w:pStyle w:val="37"/>
        <w:numPr>
          <w:ilvl w:val="0"/>
          <w:numId w:val="5"/>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项目工程管理：明确项目应按批准的施工图进行施工，所有变更申请均应报委托单位审批，未经委托单位批准变更不予认可。原则上，较大、重大变更还应按《南山区政府投资项目工程变更实施细则》规定的流程审批。</w:t>
      </w:r>
    </w:p>
    <w:p>
      <w:pPr>
        <w:pStyle w:val="37"/>
        <w:numPr>
          <w:ilvl w:val="0"/>
          <w:numId w:val="5"/>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行政监管：明确区发改局及其他职能部门应采取在线监测、现场核查等方式对项目进行监督检查。</w:t>
      </w:r>
    </w:p>
    <w:p>
      <w:pPr>
        <w:pStyle w:val="4"/>
        <w:ind w:firstLine="643"/>
        <w:rPr>
          <w:rFonts w:hint="eastAsia" w:ascii="CESI仿宋-GB2312" w:hAnsi="CESI仿宋-GB2312" w:eastAsia="CESI仿宋-GB2312" w:cs="CESI仿宋-GB2312"/>
        </w:rPr>
      </w:pPr>
      <w:r>
        <w:rPr>
          <w:rFonts w:hint="eastAsia" w:ascii="CESI仿宋-GB2312" w:hAnsi="CESI仿宋-GB2312" w:eastAsia="CESI仿宋-GB2312" w:cs="CESI仿宋-GB2312"/>
        </w:rPr>
        <w:t>明晰双方职责与分工</w:t>
      </w:r>
    </w:p>
    <w:p>
      <w:pPr>
        <w:pStyle w:val="37"/>
        <w:numPr>
          <w:ilvl w:val="0"/>
          <w:numId w:val="6"/>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委托单位职责：包括代建方案的编制及报批，监督代建单位的人员到位情况、招标管理、合同管理等情况，协调完成项目相关报建手续，审核项目报告及文件，负责资金申请和使用，配合开展后评价工作等。</w:t>
      </w:r>
    </w:p>
    <w:p>
      <w:pPr>
        <w:pStyle w:val="37"/>
        <w:numPr>
          <w:ilvl w:val="0"/>
          <w:numId w:val="6"/>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代建单位职责：包括落实专业负责人员的配备，负责代建项目的全过程项目管理工作，负责相关报建手续，编制项目相关报告及文件，配合开展质量监督检查工作，组织代建项目验收、结决算、档案管理和移交工作等。</w:t>
      </w:r>
    </w:p>
    <w:p>
      <w:pPr>
        <w:pStyle w:val="4"/>
        <w:ind w:firstLine="643"/>
        <w:rPr>
          <w:rFonts w:hint="eastAsia" w:ascii="CESI仿宋-GB2312" w:hAnsi="CESI仿宋-GB2312" w:eastAsia="CESI仿宋-GB2312" w:cs="CESI仿宋-GB2312"/>
        </w:rPr>
      </w:pPr>
      <w:r>
        <w:rPr>
          <w:rFonts w:hint="eastAsia" w:ascii="CESI仿宋-GB2312" w:hAnsi="CESI仿宋-GB2312" w:eastAsia="CESI仿宋-GB2312" w:cs="CESI仿宋-GB2312"/>
        </w:rPr>
        <w:t>完善代建费用与奖励制度</w:t>
      </w:r>
    </w:p>
    <w:p>
      <w:pPr>
        <w:pStyle w:val="37"/>
        <w:numPr>
          <w:ilvl w:val="0"/>
          <w:numId w:val="7"/>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代建管理费标准：明确代建费用由代建管理费和奖励金等构成，且代建管理费严格执行《基本建设项目建设成本管理规定》（财建〔2016〕504号）的核定标准。对于初步设计和概算批复后实施代建的项目，代建管理费按照不超过项目实行全过程代建管理费总额的70%执行。</w:t>
      </w:r>
    </w:p>
    <w:p>
      <w:pPr>
        <w:pStyle w:val="37"/>
        <w:numPr>
          <w:ilvl w:val="0"/>
          <w:numId w:val="7"/>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代建奖励金：明确同时满足“竣工决算控制在概算批复范围内、按合同约定时间完成项目代建任务和工程质量优良（原则上以获得省级及以上建筑工程奖项为标准）”的代建项目可按不超过代建管理费的10%且不超过节余资金的上限获得奖励金。</w:t>
      </w:r>
    </w:p>
    <w:p>
      <w:pPr>
        <w:pStyle w:val="4"/>
        <w:ind w:firstLine="643"/>
        <w:rPr>
          <w:rFonts w:hint="eastAsia" w:ascii="CESI仿宋-GB2312" w:hAnsi="CESI仿宋-GB2312" w:eastAsia="CESI仿宋-GB2312" w:cs="CESI仿宋-GB2312"/>
        </w:rPr>
      </w:pPr>
      <w:r>
        <w:rPr>
          <w:rFonts w:hint="eastAsia" w:ascii="CESI仿宋-GB2312" w:hAnsi="CESI仿宋-GB2312" w:eastAsia="CESI仿宋-GB2312" w:cs="CESI仿宋-GB2312"/>
        </w:rPr>
        <w:t>明确各方法律责任</w:t>
      </w:r>
    </w:p>
    <w:p>
      <w:pPr>
        <w:pStyle w:val="37"/>
        <w:numPr>
          <w:ilvl w:val="0"/>
          <w:numId w:val="8"/>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质量终身责任制：明确实行六方主体项目负责人质量终身责任制，六方主体项目负责人分别为委托单位的委托责任人、代建单位的首席责任人、勘察单位的项目负责人、设计单位的项目负责人、施工单位项目经理和监理单位总监理工程师。</w:t>
      </w:r>
    </w:p>
    <w:p>
      <w:pPr>
        <w:pStyle w:val="37"/>
        <w:numPr>
          <w:ilvl w:val="0"/>
          <w:numId w:val="8"/>
        </w:num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其他法律责任：参考《南山区政府投资项目管理办法》的相关规定明确委托单位、代建单位在代建项目中可能涉及的不同情形及相应法律责任。</w:t>
      </w:r>
    </w:p>
    <w:p>
      <w:pPr>
        <w:pStyle w:val="4"/>
        <w:ind w:firstLine="643"/>
        <w:rPr>
          <w:rFonts w:hint="eastAsia" w:ascii="CESI仿宋-GB2312" w:hAnsi="CESI仿宋-GB2312" w:eastAsia="CESI仿宋-GB2312" w:cs="CESI仿宋-GB2312"/>
        </w:rPr>
      </w:pPr>
      <w:r>
        <w:rPr>
          <w:rFonts w:hint="eastAsia" w:ascii="CESI仿宋-GB2312" w:hAnsi="CESI仿宋-GB2312" w:eastAsia="CESI仿宋-GB2312" w:cs="CESI仿宋-GB2312"/>
        </w:rPr>
        <w:t>相关配套文件</w:t>
      </w:r>
    </w:p>
    <w:p>
      <w:pPr>
        <w:ind w:firstLine="640"/>
        <w:rPr>
          <w:rFonts w:hint="eastAsia" w:ascii="CESI仿宋-GB2312" w:hAnsi="CESI仿宋-GB2312" w:eastAsia="CESI仿宋-GB2312" w:cs="CESI仿宋-GB2312"/>
        </w:rPr>
      </w:pPr>
      <w:r>
        <w:rPr>
          <w:rFonts w:hint="eastAsia" w:ascii="CESI仿宋-GB2312" w:hAnsi="CESI仿宋-GB2312" w:eastAsia="CESI仿宋-GB2312" w:cs="CESI仿宋-GB2312"/>
        </w:rPr>
        <w:t>结合南山区政府投资项目代建管理的实际需要，还另行编制了两份配套文件，分别是《南山区代建项目代建方案模板》和《南山区代建项目代建管理费总额控制标准》。</w:t>
      </w:r>
    </w:p>
    <w:p>
      <w:pPr>
        <w:pStyle w:val="2"/>
        <w:ind w:firstLine="640"/>
      </w:pPr>
      <w:r>
        <w:rPr>
          <w:rFonts w:hint="eastAsia"/>
        </w:rPr>
        <w:t>主要创新点</w:t>
      </w:r>
    </w:p>
    <w:p>
      <w:pPr>
        <w:ind w:firstLine="643"/>
        <w:rPr>
          <w:rFonts w:hint="eastAsia" w:ascii="CESI仿宋-GB2312" w:hAnsi="CESI仿宋-GB2312" w:eastAsia="CESI仿宋-GB2312" w:cs="CESI仿宋-GB2312"/>
        </w:rPr>
      </w:pPr>
      <w:r>
        <w:rPr>
          <w:rFonts w:hint="eastAsia" w:ascii="CESI仿宋-GB2312" w:hAnsi="CESI仿宋-GB2312" w:eastAsia="CESI仿宋-GB2312" w:cs="CESI仿宋-GB2312"/>
          <w:b/>
          <w:bCs/>
        </w:rPr>
        <w:t>一是完善代建项目适用范围</w:t>
      </w:r>
      <w:r>
        <w:rPr>
          <w:rFonts w:hint="eastAsia" w:ascii="CESI仿宋-GB2312" w:hAnsi="CESI仿宋-GB2312" w:eastAsia="CESI仿宋-GB2312" w:cs="CESI仿宋-GB2312"/>
        </w:rPr>
        <w:t>。适用范围涵盖投资规模、复杂程度、重要程度、管理目标等维度，并将总投资规模的标准从3000万提升至5000万，以响应党的二十届三中全会提出“建立政府投资支持基础性、公益性、长远性重大项目建设长效机制”以及国家关于“过紧日子”的政策精神。</w:t>
      </w:r>
    </w:p>
    <w:p>
      <w:pPr>
        <w:ind w:firstLine="643"/>
        <w:rPr>
          <w:rFonts w:hint="eastAsia" w:ascii="CESI仿宋-GB2312" w:hAnsi="CESI仿宋-GB2312" w:eastAsia="CESI仿宋-GB2312" w:cs="CESI仿宋-GB2312"/>
        </w:rPr>
      </w:pPr>
      <w:r>
        <w:rPr>
          <w:rFonts w:hint="eastAsia" w:ascii="CESI仿宋-GB2312" w:hAnsi="CESI仿宋-GB2312" w:eastAsia="CESI仿宋-GB2312" w:cs="CESI仿宋-GB2312"/>
          <w:b/>
          <w:bCs/>
        </w:rPr>
        <w:t>二是打造多层论证生成机制。</w:t>
      </w:r>
      <w:r>
        <w:rPr>
          <w:rFonts w:hint="eastAsia" w:ascii="CESI仿宋-GB2312" w:hAnsi="CESI仿宋-GB2312" w:eastAsia="CESI仿宋-GB2312" w:cs="CESI仿宋-GB2312"/>
        </w:rPr>
        <w:t>代建项目的论证生成涉及方案编制、意见征求、区领导审批多重环节，同时以代建方案的模板为配套，充分保障项目模式论证的科学性。</w:t>
      </w:r>
    </w:p>
    <w:p>
      <w:pPr>
        <w:ind w:firstLine="643"/>
        <w:rPr>
          <w:rFonts w:hint="eastAsia" w:ascii="CESI仿宋-GB2312" w:hAnsi="CESI仿宋-GB2312" w:eastAsia="CESI仿宋-GB2312" w:cs="CESI仿宋-GB2312"/>
        </w:rPr>
      </w:pPr>
      <w:r>
        <w:rPr>
          <w:rFonts w:hint="eastAsia" w:ascii="CESI仿宋-GB2312" w:hAnsi="CESI仿宋-GB2312" w:eastAsia="CESI仿宋-GB2312" w:cs="CESI仿宋-GB2312"/>
          <w:b/>
          <w:bCs/>
        </w:rPr>
        <w:t>三是规范实施全过程工程咨询</w:t>
      </w:r>
      <w:r>
        <w:rPr>
          <w:rFonts w:hint="eastAsia" w:ascii="CESI仿宋-GB2312" w:hAnsi="CESI仿宋-GB2312" w:eastAsia="CESI仿宋-GB2312" w:cs="CESI仿宋-GB2312"/>
        </w:rPr>
        <w:t>。明确可将全过程工程咨询融入代建制制度体系，并明确其服务范围、委托要求、服务费用、资质要求等，确保在规范的基础上提高工程建设组织水平。</w:t>
      </w:r>
    </w:p>
    <w:p>
      <w:pPr>
        <w:ind w:firstLine="643"/>
        <w:rPr>
          <w:rFonts w:hint="eastAsia" w:ascii="CESI仿宋-GB2312" w:hAnsi="CESI仿宋-GB2312" w:eastAsia="CESI仿宋-GB2312" w:cs="CESI仿宋-GB2312"/>
        </w:rPr>
      </w:pPr>
      <w:r>
        <w:rPr>
          <w:rFonts w:hint="eastAsia" w:ascii="CESI仿宋-GB2312" w:hAnsi="CESI仿宋-GB2312" w:eastAsia="CESI仿宋-GB2312" w:cs="CESI仿宋-GB2312"/>
          <w:b/>
          <w:bCs/>
        </w:rPr>
        <w:t>四是强化代建项目全生命周期管理</w:t>
      </w:r>
      <w:r>
        <w:rPr>
          <w:rFonts w:hint="eastAsia" w:ascii="CESI仿宋-GB2312" w:hAnsi="CESI仿宋-GB2312" w:eastAsia="CESI仿宋-GB2312" w:cs="CESI仿宋-GB2312"/>
        </w:rPr>
        <w:t>。项目实施前，明确由委托单位负责造价审核单位的委托同时强化对监理单位选择的参与及管控；项目实施中，明确了工程变更的相关规定，同时通过在线监测、现场核查等方式及时进行监督检查；项目实施后，明确缺陷责任期的维修及费用承担责任，确保事后管理有法可依。</w:t>
      </w:r>
    </w:p>
    <w:p>
      <w:pPr>
        <w:ind w:firstLine="643"/>
        <w:rPr>
          <w:rFonts w:hint="eastAsia" w:ascii="CESI仿宋-GB2312" w:hAnsi="CESI仿宋-GB2312" w:eastAsia="CESI仿宋-GB2312" w:cs="CESI仿宋-GB2312"/>
        </w:rPr>
      </w:pPr>
      <w:r>
        <w:rPr>
          <w:rFonts w:hint="eastAsia" w:ascii="CESI仿宋-GB2312" w:hAnsi="CESI仿宋-GB2312" w:eastAsia="CESI仿宋-GB2312" w:cs="CESI仿宋-GB2312"/>
          <w:b/>
          <w:bCs/>
        </w:rPr>
        <w:t>五是明确推行代建项目的激励制度</w:t>
      </w:r>
      <w:r>
        <w:rPr>
          <w:rFonts w:hint="eastAsia" w:ascii="CESI仿宋-GB2312" w:hAnsi="CESI仿宋-GB2312" w:eastAsia="CESI仿宋-GB2312" w:cs="CESI仿宋-GB2312"/>
        </w:rPr>
        <w:t>。即在代建管理费收费标准的基础上，结合代建项目的投资、工期、质量等目标实现情况予以充分的奖励，充分提升代建单位管理的积极性及项目的管理水平。</w:t>
      </w:r>
    </w:p>
    <w:p>
      <w:pPr>
        <w:pStyle w:val="37"/>
        <w:spacing w:line="579" w:lineRule="atLeast"/>
        <w:ind w:firstLine="640"/>
        <w:rPr>
          <w:rFonts w:ascii="仿宋_GB231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191" w:gutter="0"/>
      <w:pgNumType w:fmt="numberInDash"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FreeSerif">
    <w:panose1 w:val="02020603050405020304"/>
    <w:charset w:val="00"/>
    <w:family w:val="auto"/>
    <w:pitch w:val="default"/>
    <w:sig w:usb0="E59FAFFF" w:usb1="C200FDFF" w:usb2="43501B29" w:usb3="04000043" w:csb0="600101FF" w:csb1="FFFF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297501"/>
    </w:sdtPr>
    <w:sdtEndPr>
      <w:rPr>
        <w:rFonts w:asciiTheme="minorEastAsia" w:hAnsiTheme="minorEastAsia" w:eastAsiaTheme="minorEastAsia"/>
        <w:sz w:val="32"/>
        <w:szCs w:val="32"/>
      </w:rPr>
    </w:sdtEndPr>
    <w:sdtContent>
      <w:p>
        <w:pPr>
          <w:pStyle w:val="14"/>
          <w:ind w:firstLine="360"/>
          <w:jc w:val="right"/>
          <w:rPr>
            <w:rFonts w:hint="eastAsia"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PAGE   \* MERGEFORMAT</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lang w:val="zh-CN"/>
          </w:rPr>
          <w:t>2</w:t>
        </w:r>
        <w:r>
          <w:rPr>
            <w:rFonts w:asciiTheme="minorEastAsia" w:hAnsiTheme="minorEastAsia" w:eastAsiaTheme="minorEastAsia"/>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936546"/>
    </w:sdtPr>
    <w:sdtEndPr>
      <w:rPr>
        <w:rFonts w:asciiTheme="minorEastAsia" w:hAnsiTheme="minorEastAsia" w:eastAsiaTheme="minorEastAsia"/>
        <w:sz w:val="32"/>
        <w:szCs w:val="32"/>
      </w:rPr>
    </w:sdtEndPr>
    <w:sdtContent>
      <w:p>
        <w:pPr>
          <w:pStyle w:val="14"/>
          <w:ind w:right="90" w:firstLine="360"/>
          <w:rPr>
            <w:rFonts w:hint="eastAsia"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PAGE   \* MERGEFORMAT</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lang w:val="zh-CN"/>
          </w:rPr>
          <w:t>2</w:t>
        </w:r>
        <w:r>
          <w:rPr>
            <w:rFonts w:asciiTheme="minorEastAsia" w:hAnsiTheme="minorEastAsia" w:eastAsiaTheme="minorEastAsia"/>
            <w:sz w:val="32"/>
            <w:szCs w:val="3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D7C71"/>
    <w:multiLevelType w:val="singleLevel"/>
    <w:tmpl w:val="946D7C71"/>
    <w:lvl w:ilvl="0" w:tentative="0">
      <w:start w:val="1"/>
      <w:numFmt w:val="decimal"/>
      <w:suff w:val="nothing"/>
      <w:lvlText w:val="（%1）"/>
      <w:lvlJc w:val="left"/>
    </w:lvl>
  </w:abstractNum>
  <w:abstractNum w:abstractNumId="1">
    <w:nsid w:val="A7975676"/>
    <w:multiLevelType w:val="singleLevel"/>
    <w:tmpl w:val="A7975676"/>
    <w:lvl w:ilvl="0" w:tentative="0">
      <w:start w:val="1"/>
      <w:numFmt w:val="decimal"/>
      <w:suff w:val="nothing"/>
      <w:lvlText w:val="（%1）"/>
      <w:lvlJc w:val="left"/>
    </w:lvl>
  </w:abstractNum>
  <w:abstractNum w:abstractNumId="2">
    <w:nsid w:val="EA09D782"/>
    <w:multiLevelType w:val="singleLevel"/>
    <w:tmpl w:val="EA09D782"/>
    <w:lvl w:ilvl="0" w:tentative="0">
      <w:start w:val="1"/>
      <w:numFmt w:val="decimal"/>
      <w:suff w:val="nothing"/>
      <w:lvlText w:val="（%1）"/>
      <w:lvlJc w:val="left"/>
    </w:lvl>
  </w:abstractNum>
  <w:abstractNum w:abstractNumId="3">
    <w:nsid w:val="EF0BE876"/>
    <w:multiLevelType w:val="singleLevel"/>
    <w:tmpl w:val="EF0BE876"/>
    <w:lvl w:ilvl="0" w:tentative="0">
      <w:start w:val="1"/>
      <w:numFmt w:val="decimal"/>
      <w:suff w:val="nothing"/>
      <w:lvlText w:val="（%1）"/>
      <w:lvlJc w:val="left"/>
    </w:lvl>
  </w:abstractNum>
  <w:abstractNum w:abstractNumId="4">
    <w:nsid w:val="F0E7101C"/>
    <w:multiLevelType w:val="singleLevel"/>
    <w:tmpl w:val="F0E7101C"/>
    <w:lvl w:ilvl="0" w:tentative="0">
      <w:start w:val="1"/>
      <w:numFmt w:val="decimal"/>
      <w:suff w:val="nothing"/>
      <w:lvlText w:val="（%1）"/>
      <w:lvlJc w:val="left"/>
    </w:lvl>
  </w:abstractNum>
  <w:abstractNum w:abstractNumId="5">
    <w:nsid w:val="173AC5D3"/>
    <w:multiLevelType w:val="singleLevel"/>
    <w:tmpl w:val="173AC5D3"/>
    <w:lvl w:ilvl="0" w:tentative="0">
      <w:start w:val="1"/>
      <w:numFmt w:val="decimal"/>
      <w:suff w:val="nothing"/>
      <w:lvlText w:val="（%1）"/>
      <w:lvlJc w:val="left"/>
    </w:lvl>
  </w:abstractNum>
  <w:abstractNum w:abstractNumId="6">
    <w:nsid w:val="4224EACD"/>
    <w:multiLevelType w:val="singleLevel"/>
    <w:tmpl w:val="4224EACD"/>
    <w:lvl w:ilvl="0" w:tentative="0">
      <w:start w:val="1"/>
      <w:numFmt w:val="chineseCounting"/>
      <w:suff w:val="nothing"/>
      <w:lvlText w:val="（%1）"/>
      <w:lvlJc w:val="left"/>
      <w:pPr>
        <w:ind w:left="-3" w:firstLine="420"/>
      </w:pPr>
      <w:rPr>
        <w:rFonts w:hint="eastAsia"/>
        <w:b/>
        <w:bCs/>
      </w:rPr>
    </w:lvl>
  </w:abstractNum>
  <w:abstractNum w:abstractNumId="7">
    <w:nsid w:val="5E5DE5C0"/>
    <w:multiLevelType w:val="multilevel"/>
    <w:tmpl w:val="5E5DE5C0"/>
    <w:lvl w:ilvl="0" w:tentative="0">
      <w:start w:val="1"/>
      <w:numFmt w:val="chineseCountingThousand"/>
      <w:pStyle w:val="2"/>
      <w:suff w:val="nothing"/>
      <w:lvlText w:val="%1、"/>
      <w:lvlJc w:val="left"/>
      <w:pPr>
        <w:ind w:left="425" w:hanging="425"/>
      </w:pPr>
      <w:rPr>
        <w:rFonts w:hint="eastAsia" w:eastAsia="黑体"/>
        <w:sz w:val="32"/>
      </w:rPr>
    </w:lvl>
    <w:lvl w:ilvl="1" w:tentative="0">
      <w:start w:val="1"/>
      <w:numFmt w:val="chineseCountingThousand"/>
      <w:pStyle w:val="3"/>
      <w:lvlText w:val="（%2）"/>
      <w:lvlJc w:val="left"/>
      <w:pPr>
        <w:ind w:left="992" w:hanging="567"/>
      </w:pPr>
      <w:rPr>
        <w:rFonts w:hint="eastAsia" w:eastAsia="楷体_GB2312"/>
        <w:sz w:val="32"/>
      </w:rPr>
    </w:lvl>
    <w:lvl w:ilvl="2" w:tentative="0">
      <w:start w:val="1"/>
      <w:numFmt w:val="decimal"/>
      <w:pStyle w:val="4"/>
      <w:suff w:val="space"/>
      <w:lvlText w:val="%3."/>
      <w:lvlJc w:val="left"/>
      <w:pPr>
        <w:ind w:left="1418" w:hanging="567"/>
      </w:pPr>
      <w:rPr>
        <w:rFonts w:hint="eastAsia"/>
      </w:rPr>
    </w:lvl>
    <w:lvl w:ilvl="3" w:tentative="0">
      <w:start w:val="1"/>
      <w:numFmt w:val="decimal"/>
      <w:pStyle w:val="5"/>
      <w:suff w:val="space"/>
      <w:lvlText w:val="（%4）"/>
      <w:lvlJc w:val="left"/>
      <w:pPr>
        <w:ind w:left="1418" w:hanging="567"/>
      </w:pPr>
      <w:rPr>
        <w:rFonts w:hint="eastAsia"/>
      </w:rPr>
    </w:lvl>
    <w:lvl w:ilvl="4" w:tentative="0">
      <w:start w:val="1"/>
      <w:numFmt w:val="decimal"/>
      <w:pStyle w:val="6"/>
      <w:suff w:val="space"/>
      <w:lvlText w:val="%5）"/>
      <w:lvlJc w:val="left"/>
      <w:pPr>
        <w:ind w:left="1418" w:hanging="567"/>
      </w:pPr>
      <w:rPr>
        <w:rFonts w:hint="eastAsia"/>
      </w:rPr>
    </w:lvl>
    <w:lvl w:ilvl="5" w:tentative="0">
      <w:start w:val="1"/>
      <w:numFmt w:val="upperLetter"/>
      <w:pStyle w:val="7"/>
      <w:suff w:val="space"/>
      <w:lvlText w:val="%6、"/>
      <w:lvlJc w:val="left"/>
      <w:pPr>
        <w:ind w:left="1418" w:hanging="567"/>
      </w:pPr>
      <w:rPr>
        <w:rFonts w:hint="eastAsia"/>
      </w:rPr>
    </w:lvl>
    <w:lvl w:ilvl="6" w:tentative="0">
      <w:start w:val="1"/>
      <w:numFmt w:val="lowerLetter"/>
      <w:pStyle w:val="8"/>
      <w:suff w:val="space"/>
      <w:lvlText w:val="%7、"/>
      <w:lvlJc w:val="left"/>
      <w:pPr>
        <w:ind w:left="1418" w:hanging="567"/>
      </w:pPr>
      <w:rPr>
        <w:rFonts w:hint="eastAsia"/>
      </w:rPr>
    </w:lvl>
    <w:lvl w:ilvl="7" w:tentative="0">
      <w:start w:val="1"/>
      <w:numFmt w:val="upperRoman"/>
      <w:pStyle w:val="9"/>
      <w:suff w:val="space"/>
      <w:lvlText w:val="%8、"/>
      <w:lvlJc w:val="left"/>
      <w:pPr>
        <w:ind w:left="1418" w:hanging="567"/>
      </w:pPr>
      <w:rPr>
        <w:rFonts w:hint="eastAsia"/>
      </w:rPr>
    </w:lvl>
    <w:lvl w:ilvl="8" w:tentative="0">
      <w:start w:val="1"/>
      <w:numFmt w:val="lowerRoman"/>
      <w:pStyle w:val="10"/>
      <w:suff w:val="space"/>
      <w:lvlText w:val="%9、"/>
      <w:lvlJc w:val="left"/>
      <w:pPr>
        <w:ind w:left="1418" w:hanging="567"/>
      </w:pPr>
      <w:rPr>
        <w:rFonts w:hint="eastAsia" w:eastAsia="楷体_GB2312"/>
      </w:rPr>
    </w:lvl>
  </w:abstractNum>
  <w:num w:numId="1">
    <w:abstractNumId w:val="7"/>
  </w:num>
  <w:num w:numId="2">
    <w:abstractNumId w:val="6"/>
  </w:num>
  <w:num w:numId="3">
    <w:abstractNumId w:val="5"/>
  </w:num>
  <w:num w:numId="4">
    <w:abstractNumId w:val="2"/>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evenAndOddHeaders w:val="1"/>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7F"/>
    <w:rsid w:val="0000495F"/>
    <w:rsid w:val="00006A4E"/>
    <w:rsid w:val="0001535E"/>
    <w:rsid w:val="00016593"/>
    <w:rsid w:val="00035138"/>
    <w:rsid w:val="00096FD5"/>
    <w:rsid w:val="000F4C55"/>
    <w:rsid w:val="000F4D78"/>
    <w:rsid w:val="001029DB"/>
    <w:rsid w:val="00124DB5"/>
    <w:rsid w:val="00130A08"/>
    <w:rsid w:val="00154F71"/>
    <w:rsid w:val="00173FBD"/>
    <w:rsid w:val="001A6B4B"/>
    <w:rsid w:val="001B0FC2"/>
    <w:rsid w:val="001B73A1"/>
    <w:rsid w:val="001B73F9"/>
    <w:rsid w:val="001B77AF"/>
    <w:rsid w:val="001C24E1"/>
    <w:rsid w:val="001D2CF7"/>
    <w:rsid w:val="00203C7A"/>
    <w:rsid w:val="0021420D"/>
    <w:rsid w:val="002339BB"/>
    <w:rsid w:val="00233DDE"/>
    <w:rsid w:val="002343C9"/>
    <w:rsid w:val="00250244"/>
    <w:rsid w:val="002510C9"/>
    <w:rsid w:val="00277990"/>
    <w:rsid w:val="002A1772"/>
    <w:rsid w:val="002D38EA"/>
    <w:rsid w:val="002D7444"/>
    <w:rsid w:val="002D7CFA"/>
    <w:rsid w:val="002E0D23"/>
    <w:rsid w:val="00303C03"/>
    <w:rsid w:val="00311AF8"/>
    <w:rsid w:val="00324C22"/>
    <w:rsid w:val="003357D1"/>
    <w:rsid w:val="00345910"/>
    <w:rsid w:val="00383DD5"/>
    <w:rsid w:val="003A1CBB"/>
    <w:rsid w:val="003A61EC"/>
    <w:rsid w:val="003C3162"/>
    <w:rsid w:val="003C7422"/>
    <w:rsid w:val="003E34C7"/>
    <w:rsid w:val="003E4864"/>
    <w:rsid w:val="003E5939"/>
    <w:rsid w:val="003F571E"/>
    <w:rsid w:val="00405E9A"/>
    <w:rsid w:val="00416123"/>
    <w:rsid w:val="00417555"/>
    <w:rsid w:val="00420543"/>
    <w:rsid w:val="004A66DD"/>
    <w:rsid w:val="004A775A"/>
    <w:rsid w:val="004C739B"/>
    <w:rsid w:val="004D44BF"/>
    <w:rsid w:val="00501866"/>
    <w:rsid w:val="00503E6B"/>
    <w:rsid w:val="00540B7F"/>
    <w:rsid w:val="005411A2"/>
    <w:rsid w:val="005677ED"/>
    <w:rsid w:val="00591186"/>
    <w:rsid w:val="00591747"/>
    <w:rsid w:val="00595555"/>
    <w:rsid w:val="005963FC"/>
    <w:rsid w:val="005A3877"/>
    <w:rsid w:val="005C2B01"/>
    <w:rsid w:val="005F667D"/>
    <w:rsid w:val="005F7CA3"/>
    <w:rsid w:val="0062277F"/>
    <w:rsid w:val="006313A0"/>
    <w:rsid w:val="006507A5"/>
    <w:rsid w:val="006763AF"/>
    <w:rsid w:val="00681963"/>
    <w:rsid w:val="00691CD0"/>
    <w:rsid w:val="0072212B"/>
    <w:rsid w:val="007336E3"/>
    <w:rsid w:val="00775D3B"/>
    <w:rsid w:val="00777C16"/>
    <w:rsid w:val="00786EB6"/>
    <w:rsid w:val="007B3BF7"/>
    <w:rsid w:val="007B6FF8"/>
    <w:rsid w:val="007C2EDF"/>
    <w:rsid w:val="007D66D8"/>
    <w:rsid w:val="0080009A"/>
    <w:rsid w:val="00807E9E"/>
    <w:rsid w:val="0081026A"/>
    <w:rsid w:val="00822E27"/>
    <w:rsid w:val="008400C7"/>
    <w:rsid w:val="0085150D"/>
    <w:rsid w:val="00853820"/>
    <w:rsid w:val="00865E9A"/>
    <w:rsid w:val="008817AF"/>
    <w:rsid w:val="008B4952"/>
    <w:rsid w:val="008D375B"/>
    <w:rsid w:val="008D5973"/>
    <w:rsid w:val="008E1B68"/>
    <w:rsid w:val="008E659A"/>
    <w:rsid w:val="008E65B2"/>
    <w:rsid w:val="00902398"/>
    <w:rsid w:val="00903769"/>
    <w:rsid w:val="00906AA3"/>
    <w:rsid w:val="009121AF"/>
    <w:rsid w:val="00923F07"/>
    <w:rsid w:val="009240E1"/>
    <w:rsid w:val="00931778"/>
    <w:rsid w:val="00945A74"/>
    <w:rsid w:val="00956AB4"/>
    <w:rsid w:val="00981011"/>
    <w:rsid w:val="009A77AA"/>
    <w:rsid w:val="009C34B1"/>
    <w:rsid w:val="009D5B50"/>
    <w:rsid w:val="009E3A16"/>
    <w:rsid w:val="00A152B3"/>
    <w:rsid w:val="00A44B7E"/>
    <w:rsid w:val="00A50F8F"/>
    <w:rsid w:val="00A5281D"/>
    <w:rsid w:val="00A63F65"/>
    <w:rsid w:val="00A96263"/>
    <w:rsid w:val="00AA1051"/>
    <w:rsid w:val="00AF6D9C"/>
    <w:rsid w:val="00B202E4"/>
    <w:rsid w:val="00B40BCD"/>
    <w:rsid w:val="00B52981"/>
    <w:rsid w:val="00B86967"/>
    <w:rsid w:val="00BC50B0"/>
    <w:rsid w:val="00BF76C5"/>
    <w:rsid w:val="00C3653F"/>
    <w:rsid w:val="00C40033"/>
    <w:rsid w:val="00C54A1D"/>
    <w:rsid w:val="00C571E4"/>
    <w:rsid w:val="00C61C35"/>
    <w:rsid w:val="00C83129"/>
    <w:rsid w:val="00CA6984"/>
    <w:rsid w:val="00CE3E21"/>
    <w:rsid w:val="00CE4115"/>
    <w:rsid w:val="00CE6570"/>
    <w:rsid w:val="00CF1BC3"/>
    <w:rsid w:val="00D01FD5"/>
    <w:rsid w:val="00D156EB"/>
    <w:rsid w:val="00D22A46"/>
    <w:rsid w:val="00D34DC8"/>
    <w:rsid w:val="00D44328"/>
    <w:rsid w:val="00D47925"/>
    <w:rsid w:val="00D518EF"/>
    <w:rsid w:val="00D6319A"/>
    <w:rsid w:val="00D72861"/>
    <w:rsid w:val="00D757D7"/>
    <w:rsid w:val="00D83F46"/>
    <w:rsid w:val="00DA3BB0"/>
    <w:rsid w:val="00E00991"/>
    <w:rsid w:val="00E066CD"/>
    <w:rsid w:val="00E24ABF"/>
    <w:rsid w:val="00E77AE2"/>
    <w:rsid w:val="00EB1769"/>
    <w:rsid w:val="00ED097E"/>
    <w:rsid w:val="00EE14B6"/>
    <w:rsid w:val="00EF0C56"/>
    <w:rsid w:val="00F02119"/>
    <w:rsid w:val="00F211FF"/>
    <w:rsid w:val="00F217A1"/>
    <w:rsid w:val="00F30809"/>
    <w:rsid w:val="00F32FDF"/>
    <w:rsid w:val="00F35727"/>
    <w:rsid w:val="00F476B4"/>
    <w:rsid w:val="00F71F49"/>
    <w:rsid w:val="00F8760C"/>
    <w:rsid w:val="00FA01F1"/>
    <w:rsid w:val="00FE022E"/>
    <w:rsid w:val="01513237"/>
    <w:rsid w:val="015D61AF"/>
    <w:rsid w:val="01C132AE"/>
    <w:rsid w:val="04E416EA"/>
    <w:rsid w:val="057320A6"/>
    <w:rsid w:val="06AA1884"/>
    <w:rsid w:val="077A22C1"/>
    <w:rsid w:val="08F7638C"/>
    <w:rsid w:val="09F44902"/>
    <w:rsid w:val="0AE06BA5"/>
    <w:rsid w:val="0D7E01CE"/>
    <w:rsid w:val="0E55371B"/>
    <w:rsid w:val="0F8F6C6C"/>
    <w:rsid w:val="11586695"/>
    <w:rsid w:val="124612D2"/>
    <w:rsid w:val="15793835"/>
    <w:rsid w:val="15E038B4"/>
    <w:rsid w:val="161C2B3E"/>
    <w:rsid w:val="17156BF6"/>
    <w:rsid w:val="179D1A5D"/>
    <w:rsid w:val="1C16002F"/>
    <w:rsid w:val="1C997298"/>
    <w:rsid w:val="1D311D3B"/>
    <w:rsid w:val="1E883EAC"/>
    <w:rsid w:val="1EE567CC"/>
    <w:rsid w:val="205155A6"/>
    <w:rsid w:val="21AB121A"/>
    <w:rsid w:val="21EB5ABA"/>
    <w:rsid w:val="22AA41E9"/>
    <w:rsid w:val="23A645C1"/>
    <w:rsid w:val="243279D1"/>
    <w:rsid w:val="24681644"/>
    <w:rsid w:val="25551BC9"/>
    <w:rsid w:val="2697113F"/>
    <w:rsid w:val="28AD20B4"/>
    <w:rsid w:val="29660F75"/>
    <w:rsid w:val="2AD06DF5"/>
    <w:rsid w:val="2D7E5A35"/>
    <w:rsid w:val="2D8C247C"/>
    <w:rsid w:val="2EA9483D"/>
    <w:rsid w:val="2EAF5036"/>
    <w:rsid w:val="2FF150EA"/>
    <w:rsid w:val="323977F1"/>
    <w:rsid w:val="38E440AC"/>
    <w:rsid w:val="3A5D1961"/>
    <w:rsid w:val="3BE222D1"/>
    <w:rsid w:val="3EAC5224"/>
    <w:rsid w:val="3FF325EA"/>
    <w:rsid w:val="40581BF5"/>
    <w:rsid w:val="44311683"/>
    <w:rsid w:val="46635397"/>
    <w:rsid w:val="46737CA9"/>
    <w:rsid w:val="47267801"/>
    <w:rsid w:val="48166B3E"/>
    <w:rsid w:val="4A2C089A"/>
    <w:rsid w:val="4C6D5CD6"/>
    <w:rsid w:val="4D4B6F2D"/>
    <w:rsid w:val="51372589"/>
    <w:rsid w:val="547A48F8"/>
    <w:rsid w:val="567F6137"/>
    <w:rsid w:val="578A6DE2"/>
    <w:rsid w:val="57AC1520"/>
    <w:rsid w:val="58C93758"/>
    <w:rsid w:val="5A636083"/>
    <w:rsid w:val="5AD00DCE"/>
    <w:rsid w:val="5AF82DDC"/>
    <w:rsid w:val="5D753EAF"/>
    <w:rsid w:val="5F136BFC"/>
    <w:rsid w:val="5F163B6C"/>
    <w:rsid w:val="607E751E"/>
    <w:rsid w:val="618F5835"/>
    <w:rsid w:val="624A590A"/>
    <w:rsid w:val="65774421"/>
    <w:rsid w:val="65F53DDF"/>
    <w:rsid w:val="6611613F"/>
    <w:rsid w:val="686314D3"/>
    <w:rsid w:val="690F6C6C"/>
    <w:rsid w:val="6BB24174"/>
    <w:rsid w:val="6D4549E6"/>
    <w:rsid w:val="7189187F"/>
    <w:rsid w:val="73B9644B"/>
    <w:rsid w:val="77A110AB"/>
    <w:rsid w:val="7ABE0BDD"/>
    <w:rsid w:val="7AE464DF"/>
    <w:rsid w:val="7AF95CC7"/>
    <w:rsid w:val="7BBD4E90"/>
    <w:rsid w:val="7D427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2">
    <w:name w:val="heading 1"/>
    <w:basedOn w:val="1"/>
    <w:next w:val="1"/>
    <w:link w:val="29"/>
    <w:qFormat/>
    <w:uiPriority w:val="9"/>
    <w:pPr>
      <w:keepNext/>
      <w:keepLines/>
      <w:numPr>
        <w:ilvl w:val="0"/>
        <w:numId w:val="1"/>
      </w:numPr>
      <w:ind w:left="0" w:firstLine="200"/>
      <w:outlineLvl w:val="0"/>
    </w:pPr>
    <w:rPr>
      <w:rFonts w:eastAsia="黑体"/>
      <w:bCs/>
      <w:kern w:val="44"/>
      <w:szCs w:val="44"/>
    </w:rPr>
  </w:style>
  <w:style w:type="paragraph" w:styleId="3">
    <w:name w:val="heading 2"/>
    <w:basedOn w:val="1"/>
    <w:next w:val="1"/>
    <w:link w:val="30"/>
    <w:unhideWhenUsed/>
    <w:qFormat/>
    <w:uiPriority w:val="9"/>
    <w:pPr>
      <w:keepNext/>
      <w:keepLines/>
      <w:numPr>
        <w:ilvl w:val="1"/>
        <w:numId w:val="1"/>
      </w:numPr>
      <w:ind w:left="0" w:firstLine="200"/>
      <w:jc w:val="left"/>
      <w:outlineLvl w:val="1"/>
    </w:pPr>
    <w:rPr>
      <w:rFonts w:eastAsia="楷体_GB2312" w:cstheme="majorBidi"/>
      <w:b/>
      <w:bCs/>
      <w:szCs w:val="32"/>
    </w:rPr>
  </w:style>
  <w:style w:type="paragraph" w:styleId="4">
    <w:name w:val="heading 3"/>
    <w:basedOn w:val="1"/>
    <w:next w:val="1"/>
    <w:link w:val="31"/>
    <w:unhideWhenUsed/>
    <w:qFormat/>
    <w:uiPriority w:val="9"/>
    <w:pPr>
      <w:keepNext/>
      <w:keepLines/>
      <w:numPr>
        <w:ilvl w:val="2"/>
        <w:numId w:val="1"/>
      </w:numPr>
      <w:ind w:left="0" w:firstLine="200"/>
      <w:outlineLvl w:val="2"/>
    </w:pPr>
    <w:rPr>
      <w:b/>
      <w:bCs/>
      <w:szCs w:val="32"/>
    </w:rPr>
  </w:style>
  <w:style w:type="paragraph" w:styleId="5">
    <w:name w:val="heading 4"/>
    <w:basedOn w:val="1"/>
    <w:next w:val="1"/>
    <w:link w:val="28"/>
    <w:unhideWhenUsed/>
    <w:qFormat/>
    <w:uiPriority w:val="9"/>
    <w:pPr>
      <w:keepNext/>
      <w:keepLines/>
      <w:numPr>
        <w:ilvl w:val="3"/>
        <w:numId w:val="1"/>
      </w:numPr>
      <w:ind w:firstLine="0" w:firstLineChars="0"/>
      <w:outlineLvl w:val="3"/>
    </w:pPr>
    <w:rPr>
      <w:rFonts w:cstheme="majorBidi"/>
      <w:b/>
      <w:bCs/>
      <w:szCs w:val="28"/>
    </w:rPr>
  </w:style>
  <w:style w:type="paragraph" w:styleId="6">
    <w:name w:val="heading 5"/>
    <w:basedOn w:val="1"/>
    <w:next w:val="1"/>
    <w:link w:val="32"/>
    <w:unhideWhenUsed/>
    <w:qFormat/>
    <w:uiPriority w:val="9"/>
    <w:pPr>
      <w:keepNext/>
      <w:keepLines/>
      <w:numPr>
        <w:ilvl w:val="4"/>
        <w:numId w:val="1"/>
      </w:numPr>
      <w:ind w:firstLine="0" w:firstLineChars="0"/>
      <w:outlineLvl w:val="4"/>
    </w:pPr>
    <w:rPr>
      <w:bCs/>
      <w:szCs w:val="28"/>
    </w:rPr>
  </w:style>
  <w:style w:type="paragraph" w:styleId="7">
    <w:name w:val="heading 6"/>
    <w:basedOn w:val="1"/>
    <w:next w:val="1"/>
    <w:link w:val="25"/>
    <w:unhideWhenUsed/>
    <w:qFormat/>
    <w:uiPriority w:val="9"/>
    <w:pPr>
      <w:keepNext/>
      <w:keepLines/>
      <w:numPr>
        <w:ilvl w:val="5"/>
        <w:numId w:val="1"/>
      </w:numPr>
      <w:ind w:firstLine="0" w:firstLineChars="0"/>
      <w:outlineLvl w:val="5"/>
    </w:pPr>
    <w:rPr>
      <w:rFonts w:cstheme="majorBidi"/>
      <w:bCs/>
      <w:szCs w:val="24"/>
    </w:rPr>
  </w:style>
  <w:style w:type="paragraph" w:styleId="8">
    <w:name w:val="heading 7"/>
    <w:basedOn w:val="1"/>
    <w:next w:val="1"/>
    <w:link w:val="33"/>
    <w:unhideWhenUsed/>
    <w:qFormat/>
    <w:uiPriority w:val="9"/>
    <w:pPr>
      <w:keepNext/>
      <w:keepLines/>
      <w:numPr>
        <w:ilvl w:val="6"/>
        <w:numId w:val="1"/>
      </w:numPr>
      <w:ind w:firstLine="0" w:firstLineChars="0"/>
      <w:outlineLvl w:val="6"/>
    </w:pPr>
    <w:rPr>
      <w:bCs/>
      <w:sz w:val="30"/>
      <w:szCs w:val="24"/>
    </w:rPr>
  </w:style>
  <w:style w:type="paragraph" w:styleId="9">
    <w:name w:val="heading 8"/>
    <w:basedOn w:val="1"/>
    <w:next w:val="1"/>
    <w:link w:val="34"/>
    <w:unhideWhenUsed/>
    <w:qFormat/>
    <w:uiPriority w:val="9"/>
    <w:pPr>
      <w:keepNext/>
      <w:keepLines/>
      <w:numPr>
        <w:ilvl w:val="7"/>
        <w:numId w:val="1"/>
      </w:numPr>
      <w:spacing w:before="240" w:after="64" w:line="320" w:lineRule="auto"/>
      <w:ind w:firstLine="0" w:firstLineChars="0"/>
      <w:outlineLvl w:val="7"/>
    </w:pPr>
    <w:rPr>
      <w:rFonts w:asciiTheme="majorHAnsi" w:hAnsiTheme="majorHAnsi" w:cstheme="majorBidi"/>
      <w:sz w:val="30"/>
      <w:szCs w:val="24"/>
    </w:rPr>
  </w:style>
  <w:style w:type="paragraph" w:styleId="10">
    <w:name w:val="heading 9"/>
    <w:basedOn w:val="1"/>
    <w:next w:val="1"/>
    <w:link w:val="35"/>
    <w:unhideWhenUsed/>
    <w:qFormat/>
    <w:uiPriority w:val="9"/>
    <w:pPr>
      <w:keepNext/>
      <w:keepLines/>
      <w:numPr>
        <w:ilvl w:val="8"/>
        <w:numId w:val="1"/>
      </w:numPr>
      <w:spacing w:before="240" w:after="64" w:line="320" w:lineRule="auto"/>
      <w:ind w:firstLine="0" w:firstLineChars="0"/>
      <w:outlineLvl w:val="8"/>
    </w:pPr>
    <w:rPr>
      <w:rFonts w:asciiTheme="majorHAnsi" w:hAnsiTheme="majorHAnsi" w:cstheme="majorBidi"/>
      <w:sz w:val="3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jc w:val="center"/>
    </w:pPr>
    <w:rPr>
      <w:rFonts w:eastAsia="黑体" w:asciiTheme="majorHAnsi" w:hAnsiTheme="majorHAnsi" w:cstheme="majorBidi"/>
      <w:sz w:val="30"/>
      <w:szCs w:val="20"/>
    </w:rPr>
  </w:style>
  <w:style w:type="paragraph" w:styleId="12">
    <w:name w:val="annotation text"/>
    <w:basedOn w:val="1"/>
    <w:semiHidden/>
    <w:unhideWhenUsed/>
    <w:qFormat/>
    <w:uiPriority w:val="99"/>
    <w:pPr>
      <w:jc w:val="left"/>
    </w:pPr>
  </w:style>
  <w:style w:type="paragraph" w:styleId="13">
    <w:name w:val="Balloon Text"/>
    <w:basedOn w:val="1"/>
    <w:link w:val="36"/>
    <w:semiHidden/>
    <w:unhideWhenUsed/>
    <w:qFormat/>
    <w:uiPriority w:val="99"/>
    <w:pPr>
      <w:spacing w:line="240" w:lineRule="auto"/>
    </w:pPr>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11"/>
    <w:pPr>
      <w:spacing w:before="240" w:after="60" w:line="312" w:lineRule="atLeast"/>
      <w:jc w:val="center"/>
      <w:outlineLvl w:val="1"/>
    </w:pPr>
    <w:rPr>
      <w:rFonts w:eastAsia="黑体" w:asciiTheme="minorHAnsi" w:hAnsiTheme="minorHAnsi"/>
      <w:bCs/>
      <w:kern w:val="28"/>
      <w:szCs w:val="32"/>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Title"/>
    <w:basedOn w:val="1"/>
    <w:next w:val="1"/>
    <w:link w:val="39"/>
    <w:qFormat/>
    <w:uiPriority w:val="10"/>
    <w:pPr>
      <w:ind w:firstLine="0" w:firstLineChars="0"/>
      <w:jc w:val="center"/>
      <w:outlineLvl w:val="0"/>
    </w:pPr>
    <w:rPr>
      <w:rFonts w:eastAsia="方正小标宋_GBK" w:cstheme="majorBidi"/>
      <w:bCs/>
      <w:sz w:val="44"/>
      <w:szCs w:val="32"/>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标题 6 字符"/>
    <w:basedOn w:val="21"/>
    <w:link w:val="7"/>
    <w:qFormat/>
    <w:uiPriority w:val="9"/>
    <w:rPr>
      <w:rFonts w:ascii="Times New Roman" w:hAnsi="Times New Roman" w:eastAsia="仿宋_GB2312" w:cstheme="majorBidi"/>
      <w:bCs/>
      <w:sz w:val="32"/>
      <w:szCs w:val="24"/>
    </w:rPr>
  </w:style>
  <w:style w:type="character" w:customStyle="1" w:styleId="26">
    <w:name w:val="页眉 字符"/>
    <w:basedOn w:val="21"/>
    <w:link w:val="15"/>
    <w:qFormat/>
    <w:uiPriority w:val="99"/>
    <w:rPr>
      <w:sz w:val="18"/>
      <w:szCs w:val="18"/>
    </w:rPr>
  </w:style>
  <w:style w:type="character" w:customStyle="1" w:styleId="27">
    <w:name w:val="页脚 字符"/>
    <w:basedOn w:val="21"/>
    <w:link w:val="14"/>
    <w:qFormat/>
    <w:uiPriority w:val="99"/>
    <w:rPr>
      <w:sz w:val="18"/>
      <w:szCs w:val="18"/>
    </w:rPr>
  </w:style>
  <w:style w:type="character" w:customStyle="1" w:styleId="28">
    <w:name w:val="标题 4 字符"/>
    <w:basedOn w:val="21"/>
    <w:link w:val="5"/>
    <w:qFormat/>
    <w:uiPriority w:val="9"/>
    <w:rPr>
      <w:rFonts w:ascii="Times New Roman" w:hAnsi="Times New Roman" w:eastAsia="仿宋_GB2312" w:cstheme="majorBidi"/>
      <w:b/>
      <w:bCs/>
      <w:sz w:val="32"/>
      <w:szCs w:val="28"/>
    </w:rPr>
  </w:style>
  <w:style w:type="character" w:customStyle="1" w:styleId="29">
    <w:name w:val="标题 1 字符"/>
    <w:basedOn w:val="21"/>
    <w:link w:val="2"/>
    <w:qFormat/>
    <w:uiPriority w:val="9"/>
    <w:rPr>
      <w:rFonts w:eastAsia="黑体" w:cstheme="minorBidi"/>
      <w:bCs/>
      <w:kern w:val="44"/>
      <w:sz w:val="32"/>
      <w:szCs w:val="44"/>
    </w:rPr>
  </w:style>
  <w:style w:type="character" w:customStyle="1" w:styleId="30">
    <w:name w:val="标题 2 字符"/>
    <w:basedOn w:val="21"/>
    <w:link w:val="3"/>
    <w:qFormat/>
    <w:uiPriority w:val="9"/>
    <w:rPr>
      <w:rFonts w:eastAsia="楷体_GB2312" w:cstheme="majorBidi"/>
      <w:b/>
      <w:bCs/>
      <w:kern w:val="2"/>
      <w:sz w:val="32"/>
      <w:szCs w:val="32"/>
    </w:rPr>
  </w:style>
  <w:style w:type="character" w:customStyle="1" w:styleId="31">
    <w:name w:val="标题 3 字符"/>
    <w:basedOn w:val="21"/>
    <w:link w:val="4"/>
    <w:qFormat/>
    <w:uiPriority w:val="9"/>
    <w:rPr>
      <w:rFonts w:eastAsia="仿宋_GB2312" w:cstheme="minorBidi"/>
      <w:b/>
      <w:bCs/>
      <w:kern w:val="2"/>
      <w:sz w:val="32"/>
      <w:szCs w:val="32"/>
    </w:rPr>
  </w:style>
  <w:style w:type="character" w:customStyle="1" w:styleId="32">
    <w:name w:val="标题 5 字符"/>
    <w:basedOn w:val="21"/>
    <w:link w:val="6"/>
    <w:qFormat/>
    <w:uiPriority w:val="9"/>
    <w:rPr>
      <w:rFonts w:ascii="Times New Roman" w:hAnsi="Times New Roman" w:eastAsia="仿宋_GB2312"/>
      <w:bCs/>
      <w:sz w:val="32"/>
      <w:szCs w:val="28"/>
    </w:rPr>
  </w:style>
  <w:style w:type="character" w:customStyle="1" w:styleId="33">
    <w:name w:val="标题 7 字符"/>
    <w:basedOn w:val="21"/>
    <w:link w:val="8"/>
    <w:qFormat/>
    <w:uiPriority w:val="9"/>
    <w:rPr>
      <w:rFonts w:ascii="Times New Roman" w:hAnsi="Times New Roman" w:eastAsia="仿宋_GB2312"/>
      <w:bCs/>
      <w:sz w:val="30"/>
      <w:szCs w:val="24"/>
    </w:rPr>
  </w:style>
  <w:style w:type="character" w:customStyle="1" w:styleId="34">
    <w:name w:val="标题 8 字符"/>
    <w:basedOn w:val="21"/>
    <w:link w:val="9"/>
    <w:qFormat/>
    <w:uiPriority w:val="9"/>
    <w:rPr>
      <w:rFonts w:eastAsia="仿宋_GB2312" w:asciiTheme="majorHAnsi" w:hAnsiTheme="majorHAnsi" w:cstheme="majorBidi"/>
      <w:sz w:val="30"/>
      <w:szCs w:val="24"/>
    </w:rPr>
  </w:style>
  <w:style w:type="character" w:customStyle="1" w:styleId="35">
    <w:name w:val="标题 9 字符"/>
    <w:basedOn w:val="21"/>
    <w:link w:val="10"/>
    <w:qFormat/>
    <w:uiPriority w:val="9"/>
    <w:rPr>
      <w:rFonts w:eastAsia="仿宋_GB2312" w:asciiTheme="majorHAnsi" w:hAnsiTheme="majorHAnsi" w:cstheme="majorBidi"/>
      <w:sz w:val="30"/>
    </w:rPr>
  </w:style>
  <w:style w:type="character" w:customStyle="1" w:styleId="36">
    <w:name w:val="批注框文本 字符"/>
    <w:basedOn w:val="21"/>
    <w:link w:val="13"/>
    <w:semiHidden/>
    <w:qFormat/>
    <w:uiPriority w:val="99"/>
    <w:rPr>
      <w:sz w:val="18"/>
      <w:szCs w:val="18"/>
    </w:rPr>
  </w:style>
  <w:style w:type="paragraph" w:styleId="37">
    <w:name w:val="List Paragraph"/>
    <w:basedOn w:val="1"/>
    <w:qFormat/>
    <w:uiPriority w:val="34"/>
    <w:pPr>
      <w:ind w:firstLine="420"/>
    </w:pPr>
  </w:style>
  <w:style w:type="character" w:customStyle="1" w:styleId="38">
    <w:name w:val="书籍标题1"/>
    <w:basedOn w:val="21"/>
    <w:qFormat/>
    <w:uiPriority w:val="33"/>
    <w:rPr>
      <w:b/>
      <w:bCs/>
      <w:i/>
      <w:iCs/>
      <w:spacing w:val="5"/>
    </w:rPr>
  </w:style>
  <w:style w:type="character" w:customStyle="1" w:styleId="39">
    <w:name w:val="标题 字符"/>
    <w:basedOn w:val="21"/>
    <w:link w:val="18"/>
    <w:qFormat/>
    <w:uiPriority w:val="10"/>
    <w:rPr>
      <w:rFonts w:ascii="Times New Roman" w:hAnsi="Times New Roman" w:eastAsia="方正小标宋_GBK" w:cstheme="majorBidi"/>
      <w:bCs/>
      <w:sz w:val="44"/>
      <w:szCs w:val="32"/>
    </w:rPr>
  </w:style>
  <w:style w:type="character" w:customStyle="1" w:styleId="40">
    <w:name w:val="副标题 字符"/>
    <w:basedOn w:val="21"/>
    <w:link w:val="16"/>
    <w:qFormat/>
    <w:uiPriority w:val="11"/>
    <w:rPr>
      <w:rFonts w:eastAsia="黑体"/>
      <w:bCs/>
      <w:kern w:val="28"/>
      <w:sz w:val="32"/>
      <w:szCs w:val="32"/>
    </w:rPr>
  </w:style>
  <w:style w:type="paragraph" w:customStyle="1" w:styleId="41">
    <w:name w:val="修订1"/>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42">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43">
    <w:name w:val="修订3"/>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44">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552</Words>
  <Characters>3152</Characters>
  <Lines>26</Lines>
  <Paragraphs>7</Paragraphs>
  <TotalTime>5</TotalTime>
  <ScaleCrop>false</ScaleCrop>
  <LinksUpToDate>false</LinksUpToDate>
  <CharactersWithSpaces>3697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2026-01-16T19:52:00Z</dcterms:created>
  <dc:creator>Administrator</dc:creator>
  <cp:lastModifiedBy>彭景</cp:lastModifiedBy>
  <cp:lastPrinted>2023-09-04T14:51:00Z</cp:lastPrinted>
  <dcterms:modified xsi:type="dcterms:W3CDTF">2026-01-23T14:49:05Z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eyJoZGlkIjoiYTk2ZWI4NzRiODBkOWQ2MTA4ZDk4MWFjM2JjMzU3MmEiLCJ1c2VySWQiOiI0MjEyMTQ1NTUifQ==</vt:lpwstr>
  </property>
  <property fmtid="{D5CDD505-2E9C-101B-9397-08002B2CF9AE}" pid="3" name="KSOProductBuildVer">
    <vt:lpwstr>2052-11.8.2.10912</vt:lpwstr>
  </property>
  <property fmtid="{D5CDD505-2E9C-101B-9397-08002B2CF9AE}" pid="4" name="ICV">
    <vt:lpwstr>97B1F9A7BF9340C8AD9764EAC8605ABB_13</vt:lpwstr>
  </property>
</Properties>
</file>