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44751">
      <w:pPr>
        <w:pStyle w:val="18"/>
      </w:pPr>
      <w:r>
        <w:rPr>
          <w:rFonts w:hint="eastAsia"/>
        </w:rPr>
        <w:t>《南山区政府投资项目管理办法》编制说明</w:t>
      </w:r>
      <w:r>
        <w:br w:type="textWrapping"/>
      </w:r>
    </w:p>
    <w:p w14:paraId="5530990F">
      <w:pPr>
        <w:ind w:firstLine="640"/>
      </w:pPr>
    </w:p>
    <w:p w14:paraId="446CBBDA">
      <w:pPr>
        <w:ind w:firstLine="640"/>
      </w:pPr>
      <w:r>
        <w:rPr>
          <w:rFonts w:hint="eastAsia"/>
        </w:rPr>
        <w:t>为贯彻落实《政府投资条例》《深圳经济特区政府投资项目管理条例》等法律法规，进一步优化我区投资结构、规范投资行为、提升投资收益，南山区发展和改革局按照区委、区政府的工作部署，牵头对现行《南山区政府投资项目管理办法》（以下简称</w:t>
      </w:r>
      <w:bookmarkStart w:id="0" w:name="OLE_LINK6"/>
      <w:r>
        <w:rPr>
          <w:rFonts w:hint="eastAsia"/>
        </w:rPr>
        <w:t>《管理办法》</w:t>
      </w:r>
      <w:bookmarkEnd w:id="0"/>
      <w:r>
        <w:rPr>
          <w:rFonts w:hint="eastAsia"/>
        </w:rPr>
        <w:t>）进行了全面修订，形成《管理办法》及相关配套文件。现将有关情况说明如下：</w:t>
      </w:r>
    </w:p>
    <w:p w14:paraId="1A6F6726">
      <w:pPr>
        <w:pStyle w:val="2"/>
        <w:ind w:firstLine="640"/>
      </w:pPr>
      <w:r>
        <w:rPr>
          <w:rFonts w:hint="eastAsia"/>
        </w:rPr>
        <w:t>编制背景及必要性</w:t>
      </w:r>
    </w:p>
    <w:p w14:paraId="3ED4E530">
      <w:pPr>
        <w:ind w:firstLine="640"/>
      </w:pPr>
      <w:r>
        <w:rPr>
          <w:rFonts w:hint="eastAsia"/>
        </w:rPr>
        <w:t>2023年1月6日，南山区人民政府印发《南山区政府投资项目管理办法》（深南府规〔2023〕1号），实施以来在规范政府投资行为、优化项目管理流程、提升资金使用效益等方面发挥了重要作用并取得了一定的成效，亟需进行总结和提炼。另外，现行办法将于2026年1月失效，亦亟需进行修订和更新。</w:t>
      </w:r>
    </w:p>
    <w:p w14:paraId="086927C0">
      <w:pPr>
        <w:ind w:firstLine="640"/>
      </w:pPr>
      <w:r>
        <w:rPr>
          <w:rFonts w:hint="eastAsia"/>
        </w:rPr>
        <w:t>同时，随着党的二十届四中全会的召开，《党政机关厉行节约反对浪费条例》和《广东省关于进一步深化投融资体制改革的若干举措》等政府投资管理相关政策的陆续出台，以及南山区经济社会发展面临的新形势、新任务，现行办法中的适用范围、投资方式、投融资模式、项目管理要求等内容已不能满足最新的上位文件要求及实际工作需要。亟需根据最新政策导向和区域实践进行修订完善。</w:t>
      </w:r>
    </w:p>
    <w:p w14:paraId="4526A4E6">
      <w:pPr>
        <w:pStyle w:val="2"/>
        <w:ind w:firstLine="640"/>
      </w:pPr>
      <w:r>
        <w:rPr>
          <w:rFonts w:hint="eastAsia"/>
        </w:rPr>
        <w:t>编制过程</w:t>
      </w:r>
    </w:p>
    <w:p w14:paraId="7690F593">
      <w:pPr>
        <w:ind w:firstLine="640"/>
      </w:pPr>
      <w:r>
        <w:t>自20</w:t>
      </w:r>
      <w:r>
        <w:rPr>
          <w:rFonts w:hint="eastAsia"/>
        </w:rPr>
        <w:t>25</w:t>
      </w:r>
      <w:r>
        <w:t>年</w:t>
      </w:r>
      <w:r>
        <w:rPr>
          <w:rFonts w:hint="eastAsia"/>
        </w:rPr>
        <w:t>6</w:t>
      </w:r>
      <w:r>
        <w:t>月起，</w:t>
      </w:r>
      <w:r>
        <w:rPr>
          <w:rFonts w:hint="eastAsia"/>
        </w:rPr>
        <w:t>南山区发展和改革局</w:t>
      </w:r>
      <w:r>
        <w:t>紧锣密鼓开展</w:t>
      </w:r>
      <w:r>
        <w:rPr>
          <w:rFonts w:hint="eastAsia"/>
        </w:rPr>
        <w:t>前期研究</w:t>
      </w:r>
      <w:r>
        <w:t>、办法起草、征求</w:t>
      </w:r>
      <w:r>
        <w:rPr>
          <w:rFonts w:hint="eastAsia"/>
        </w:rPr>
        <w:t>单位</w:t>
      </w:r>
      <w:r>
        <w:t>意见等一系列工作。</w:t>
      </w:r>
    </w:p>
    <w:p w14:paraId="322A096E">
      <w:pPr>
        <w:numPr>
          <w:ilvl w:val="0"/>
          <w:numId w:val="2"/>
        </w:numPr>
        <w:ind w:left="0" w:firstLine="643"/>
      </w:pPr>
      <w:r>
        <w:rPr>
          <w:rFonts w:hint="eastAsia"/>
          <w:b/>
          <w:bCs/>
        </w:rPr>
        <w:t>开展前期研究。</w:t>
      </w:r>
      <w:r>
        <w:t>2025</w:t>
      </w:r>
      <w:r>
        <w:rPr>
          <w:rFonts w:hint="eastAsia"/>
        </w:rPr>
        <w:t>年</w:t>
      </w:r>
      <w:r>
        <w:t>6</w:t>
      </w:r>
      <w:r>
        <w:rPr>
          <w:rFonts w:hint="eastAsia"/>
        </w:rPr>
        <w:t>月，对国家、省、市及其他各区政府投资项目管理相关文件进行收集和梳理，同时统计分析南山区近4年的政府投资项目，为</w:t>
      </w:r>
      <w:r>
        <w:t>《管理办法》</w:t>
      </w:r>
      <w:r>
        <w:rPr>
          <w:rFonts w:hint="eastAsia"/>
        </w:rPr>
        <w:t>的编制做好充分准备。</w:t>
      </w:r>
    </w:p>
    <w:p w14:paraId="11B892B6">
      <w:pPr>
        <w:numPr>
          <w:ilvl w:val="0"/>
          <w:numId w:val="2"/>
        </w:numPr>
        <w:ind w:left="0" w:firstLine="643"/>
      </w:pPr>
      <w:r>
        <w:rPr>
          <w:rFonts w:hint="eastAsia"/>
          <w:b/>
          <w:bCs/>
        </w:rPr>
        <w:t>形成文件初稿。</w:t>
      </w:r>
      <w:r>
        <w:t>2025年</w:t>
      </w:r>
      <w:r>
        <w:rPr>
          <w:rFonts w:hint="eastAsia"/>
        </w:rPr>
        <w:t>7</w:t>
      </w:r>
      <w:r>
        <w:t>月，在研究吸收国家、省</w:t>
      </w:r>
      <w:r>
        <w:rPr>
          <w:rFonts w:hint="eastAsia"/>
        </w:rPr>
        <w:t>、</w:t>
      </w:r>
      <w:r>
        <w:t>市最新政策精神的基础上，系统总结南山区政府投资项目管理的实践经验，撰写形成《管理办法》</w:t>
      </w:r>
      <w:r>
        <w:rPr>
          <w:rFonts w:hint="eastAsia"/>
        </w:rPr>
        <w:t>的</w:t>
      </w:r>
      <w:r>
        <w:t>初稿</w:t>
      </w:r>
      <w:r>
        <w:rPr>
          <w:rFonts w:hint="eastAsia"/>
        </w:rPr>
        <w:t>以及一系列配套制度文件</w:t>
      </w:r>
      <w:r>
        <w:t>。</w:t>
      </w:r>
    </w:p>
    <w:p w14:paraId="70E10A1C">
      <w:pPr>
        <w:numPr>
          <w:ilvl w:val="0"/>
          <w:numId w:val="2"/>
        </w:numPr>
        <w:ind w:left="0" w:firstLine="643"/>
      </w:pPr>
      <w:r>
        <w:rPr>
          <w:rFonts w:hint="eastAsia"/>
          <w:b/>
          <w:bCs/>
        </w:rPr>
        <w:t>多轮沟通讨论。</w:t>
      </w:r>
      <w:r>
        <w:t>2025年</w:t>
      </w:r>
      <w:r>
        <w:rPr>
          <w:rFonts w:hint="eastAsia"/>
        </w:rPr>
        <w:t>8</w:t>
      </w:r>
      <w:r>
        <w:t>月，</w:t>
      </w:r>
      <w:r>
        <w:rPr>
          <w:rFonts w:hint="eastAsia"/>
        </w:rPr>
        <w:t>对文本内容进行多次内部讨论并修改完善后，区发展改革局主要领导听取了《</w:t>
      </w:r>
      <w:r>
        <w:t>管理办法</w:t>
      </w:r>
      <w:r>
        <w:rPr>
          <w:rFonts w:hint="eastAsia"/>
        </w:rPr>
        <w:t>》的编制思路，并提出了改革方向和修改意见。9-10月，在充分吸收相关意见的基础上不断修改完善，形成了《</w:t>
      </w:r>
      <w:r>
        <w:t>管理办法</w:t>
      </w:r>
      <w:r>
        <w:rPr>
          <w:rFonts w:hint="eastAsia"/>
        </w:rPr>
        <w:t>》的征求意见稿。</w:t>
      </w:r>
    </w:p>
    <w:p w14:paraId="044DC4A5">
      <w:pPr>
        <w:numPr>
          <w:ilvl w:val="0"/>
          <w:numId w:val="2"/>
        </w:numPr>
        <w:ind w:left="0" w:firstLine="643"/>
      </w:pPr>
      <w:r>
        <w:rPr>
          <w:rFonts w:hint="eastAsia"/>
          <w:b/>
          <w:bCs/>
        </w:rPr>
        <w:t>征求相关单位意见。</w:t>
      </w:r>
      <w:r>
        <w:t>2025年</w:t>
      </w:r>
      <w:r>
        <w:rPr>
          <w:rFonts w:hint="eastAsia"/>
        </w:rPr>
        <w:t>11</w:t>
      </w:r>
      <w:r>
        <w:t>月</w:t>
      </w:r>
      <w:r>
        <w:rPr>
          <w:rFonts w:hint="eastAsia"/>
        </w:rPr>
        <w:t>—12月</w:t>
      </w:r>
      <w:r>
        <w:t>，</w:t>
      </w:r>
      <w:bookmarkStart w:id="1" w:name="_Hlk215839083"/>
      <w:r>
        <w:rPr>
          <w:rFonts w:hint="eastAsia"/>
        </w:rPr>
        <w:t>南山区发展和改革局</w:t>
      </w:r>
      <w:bookmarkEnd w:id="1"/>
      <w:r>
        <w:rPr>
          <w:rFonts w:hint="eastAsia"/>
        </w:rPr>
        <w:t>向区各相关单位开展了两次意见征求工作，并结合反馈意见形成本次的征求意见稿。</w:t>
      </w:r>
    </w:p>
    <w:p w14:paraId="367D93C8">
      <w:pPr>
        <w:pStyle w:val="2"/>
        <w:ind w:firstLine="640"/>
      </w:pPr>
      <w:r>
        <w:rPr>
          <w:rFonts w:hint="eastAsia"/>
        </w:rPr>
        <w:t>编制依据</w:t>
      </w:r>
    </w:p>
    <w:p w14:paraId="0A9B2F15">
      <w:pPr>
        <w:numPr>
          <w:ilvl w:val="0"/>
          <w:numId w:val="3"/>
        </w:numPr>
        <w:ind w:firstLine="640"/>
      </w:pPr>
      <w:r>
        <w:rPr>
          <w:rFonts w:hint="eastAsia"/>
        </w:rPr>
        <w:t>《政府投资条例》（中华人民共和国国务院令第712号）；</w:t>
      </w:r>
    </w:p>
    <w:p w14:paraId="7E6A00C8">
      <w:pPr>
        <w:numPr>
          <w:ilvl w:val="0"/>
          <w:numId w:val="3"/>
        </w:numPr>
        <w:ind w:firstLine="640"/>
      </w:pPr>
      <w:r>
        <w:rPr>
          <w:rFonts w:hint="eastAsia"/>
        </w:rPr>
        <w:t>《党政机关厉行节约反对浪费条例》（2025年修订）；</w:t>
      </w:r>
    </w:p>
    <w:p w14:paraId="43ACF5C9">
      <w:pPr>
        <w:numPr>
          <w:ilvl w:val="0"/>
          <w:numId w:val="3"/>
        </w:numPr>
        <w:ind w:firstLine="640"/>
      </w:pPr>
      <w:r>
        <w:rPr>
          <w:rFonts w:hint="eastAsia"/>
        </w:rPr>
        <w:t>《中央预算内投资补助和贴息项目管理办法》（国家发展改革委令第45号令）；</w:t>
      </w:r>
    </w:p>
    <w:p w14:paraId="5D5E070B">
      <w:pPr>
        <w:numPr>
          <w:ilvl w:val="0"/>
          <w:numId w:val="3"/>
        </w:numPr>
        <w:ind w:firstLine="640"/>
      </w:pPr>
      <w:r>
        <w:rPr>
          <w:rFonts w:hint="eastAsia"/>
        </w:rPr>
        <w:t>《国务院办公厅关于优化完善地方政府专项债券管理机制的意见》（国办发〔2024〕52号）；</w:t>
      </w:r>
    </w:p>
    <w:p w14:paraId="7B4127D4">
      <w:pPr>
        <w:numPr>
          <w:ilvl w:val="0"/>
          <w:numId w:val="3"/>
        </w:numPr>
        <w:ind w:firstLine="640"/>
      </w:pPr>
      <w:r>
        <w:rPr>
          <w:rFonts w:hint="eastAsia"/>
        </w:rPr>
        <w:t>《国家发展改革委关于规范中央预算内投资资金安排方式及项目管理的通知》（发改投资规〔2020〕518号）；</w:t>
      </w:r>
    </w:p>
    <w:p w14:paraId="0DA1F35E">
      <w:pPr>
        <w:numPr>
          <w:ilvl w:val="0"/>
          <w:numId w:val="3"/>
        </w:numPr>
        <w:ind w:firstLine="640"/>
      </w:pPr>
      <w:r>
        <w:rPr>
          <w:rFonts w:hint="eastAsia"/>
        </w:rPr>
        <w:t>《国务院办公厅关于促进建筑业持续健康发展的意见》（国办发〔2017〕19号）；</w:t>
      </w:r>
    </w:p>
    <w:p w14:paraId="190220A9">
      <w:pPr>
        <w:numPr>
          <w:ilvl w:val="0"/>
          <w:numId w:val="3"/>
        </w:numPr>
        <w:ind w:firstLine="640"/>
      </w:pPr>
      <w:r>
        <w:rPr>
          <w:rFonts w:hint="eastAsia"/>
        </w:rPr>
        <w:t>《广东省关于进一步深化投融资体制改革的若干举措》（粤府办〔2025〕8号）；</w:t>
      </w:r>
    </w:p>
    <w:p w14:paraId="01ABC020">
      <w:pPr>
        <w:numPr>
          <w:ilvl w:val="0"/>
          <w:numId w:val="3"/>
        </w:numPr>
        <w:ind w:firstLine="640"/>
      </w:pPr>
      <w:r>
        <w:rPr>
          <w:rFonts w:hint="eastAsia"/>
        </w:rPr>
        <w:t>《广东省住房和城乡建设厅关于繁荣建筑创作的若干意见》（粤建市函〔2018〕1848号）；</w:t>
      </w:r>
    </w:p>
    <w:p w14:paraId="34F63F1A">
      <w:pPr>
        <w:numPr>
          <w:ilvl w:val="0"/>
          <w:numId w:val="3"/>
        </w:numPr>
        <w:ind w:firstLine="640"/>
      </w:pPr>
      <w:r>
        <w:rPr>
          <w:rFonts w:hint="eastAsia"/>
        </w:rPr>
        <w:t>《深圳经济特区政府投资项目管理条例》（2021年修订）。</w:t>
      </w:r>
    </w:p>
    <w:p w14:paraId="65DF9A1E">
      <w:pPr>
        <w:pStyle w:val="2"/>
        <w:ind w:firstLine="640"/>
      </w:pPr>
      <w:r>
        <w:rPr>
          <w:rFonts w:hint="eastAsia"/>
        </w:rPr>
        <w:t>编制思路及主要内容</w:t>
      </w:r>
    </w:p>
    <w:p w14:paraId="4E28614A">
      <w:pPr>
        <w:ind w:firstLine="640"/>
      </w:pPr>
      <w:r>
        <w:rPr>
          <w:rFonts w:hint="eastAsia"/>
        </w:rPr>
        <w:t>（一）编制思路</w:t>
      </w:r>
    </w:p>
    <w:p w14:paraId="7E293F67">
      <w:pPr>
        <w:ind w:firstLine="640"/>
      </w:pPr>
      <w:r>
        <w:rPr>
          <w:rFonts w:hint="eastAsia"/>
        </w:rPr>
        <w:t>《管理办法》全面贯彻落实国家、省、市关于政府投资项目管理的最新政策精神，系统总结南山区近年来在政府投资项目管理中的实践经验，聚焦关键环节和突出问题，在保留原有框架基础上，进一步完善适用范围、规范投资方式及模式、细化前期决策流程、规范年度投资计划，完善项目管理体系，明晰各方法律责任，着力构建更加科学、规范、高效的政府投资项目管理制度体系。</w:t>
      </w:r>
    </w:p>
    <w:p w14:paraId="0F72455C">
      <w:pPr>
        <w:ind w:firstLine="640"/>
      </w:pPr>
      <w:r>
        <w:rPr>
          <w:rFonts w:hint="eastAsia"/>
        </w:rPr>
        <w:t>（二）主要内容</w:t>
      </w:r>
    </w:p>
    <w:p w14:paraId="2DDBA67A">
      <w:pPr>
        <w:ind w:firstLine="640"/>
      </w:pPr>
      <w:r>
        <w:rPr>
          <w:rFonts w:hint="eastAsia"/>
        </w:rPr>
        <w:t>《管理办法》分为“总则”“政府投资决策”“政府投资年度计划”“政府投资项目实施”“政府投资项目监督”“责任追究”和“附则”七个章节，共八十</w:t>
      </w:r>
      <w:r>
        <w:rPr>
          <w:rFonts w:hint="eastAsia"/>
          <w:lang w:eastAsia="zh-CN"/>
        </w:rPr>
        <w:t>一</w:t>
      </w:r>
      <w:r>
        <w:rPr>
          <w:rFonts w:hint="eastAsia"/>
        </w:rPr>
        <w:t>条。两个配套文件分别是：《南山区政府投资精品项目设计取费实施细则》（共四个章节，十一条，主要为操作性规定，对南山区精品项目的操作流程进行了规范）、《南山区政府投资项目工程变更实施细则》（共四个章节，十二条，主要为操作性规定，对南山区政府投资项目工程变更的操作流程进行了规范）。</w:t>
      </w:r>
      <w:bookmarkStart w:id="3" w:name="_GoBack"/>
      <w:bookmarkEnd w:id="3"/>
    </w:p>
    <w:p w14:paraId="5E8E57CE">
      <w:pPr>
        <w:ind w:firstLine="640"/>
      </w:pPr>
      <w:r>
        <w:rPr>
          <w:rFonts w:hint="eastAsia"/>
        </w:rPr>
        <w:t>修订后的《管理办法》主要在以下方面进行了调整：</w:t>
      </w:r>
    </w:p>
    <w:p w14:paraId="15CB709A">
      <w:pPr>
        <w:numPr>
          <w:ilvl w:val="0"/>
          <w:numId w:val="4"/>
        </w:numPr>
        <w:ind w:firstLine="640"/>
      </w:pPr>
      <w:r>
        <w:rPr>
          <w:rFonts w:hint="eastAsia"/>
        </w:rPr>
        <w:t>进一步明确政府投资定义和范围</w:t>
      </w:r>
    </w:p>
    <w:p w14:paraId="38AB739A">
      <w:pPr>
        <w:numPr>
          <w:ilvl w:val="0"/>
          <w:numId w:val="5"/>
        </w:numPr>
        <w:ind w:firstLine="640"/>
      </w:pPr>
      <w:r>
        <w:rPr>
          <w:rFonts w:hint="eastAsia"/>
        </w:rPr>
        <w:t>明确政府投资定义</w:t>
      </w:r>
    </w:p>
    <w:p w14:paraId="247EA281">
      <w:pPr>
        <w:ind w:firstLine="640"/>
      </w:pPr>
      <w:r>
        <w:rPr>
          <w:rFonts w:hint="eastAsia"/>
        </w:rPr>
        <w:t>参考深圳市及深圳市其他兄弟区对政府投资的定义，结合南山区政府投资项目运行的相关经验，对政府投资定义进行了界定，即政府投资“是指全部或部分利用南山区本级财政性资金进行的总投资400万元（含）以上的固定资产投资建设活动”。</w:t>
      </w:r>
    </w:p>
    <w:p w14:paraId="292CF440">
      <w:pPr>
        <w:numPr>
          <w:ilvl w:val="0"/>
          <w:numId w:val="5"/>
        </w:numPr>
        <w:ind w:firstLine="640"/>
      </w:pPr>
      <w:r>
        <w:rPr>
          <w:rFonts w:hint="eastAsia"/>
        </w:rPr>
        <w:t>明确政府投资范围</w:t>
      </w:r>
    </w:p>
    <w:p w14:paraId="3CA2F65E">
      <w:pPr>
        <w:ind w:firstLine="640"/>
      </w:pPr>
      <w:r>
        <w:rPr>
          <w:rFonts w:hint="eastAsia"/>
        </w:rPr>
        <w:t>在原有“新建、扩建、改建、技术改造、设备购置”范围基础上，将“政策性产业用房、保障性住房、公共配套用房回购以及达到规定金额标准的医疗设备购置”等项目类型纳入政府投资管理范畴，同时明确信息化项目、政府承接的企业联建项目和政府回购物业项目的管理要求，适应城市高质量发展和公共资产多元化形成路径的需要。</w:t>
      </w:r>
    </w:p>
    <w:p w14:paraId="52D25A0D">
      <w:pPr>
        <w:numPr>
          <w:ilvl w:val="0"/>
          <w:numId w:val="4"/>
        </w:numPr>
        <w:ind w:firstLine="640"/>
      </w:pPr>
      <w:r>
        <w:rPr>
          <w:rFonts w:hint="eastAsia"/>
        </w:rPr>
        <w:t>细化政府投资领域和投资方式</w:t>
      </w:r>
    </w:p>
    <w:p w14:paraId="6AD57FC2">
      <w:pPr>
        <w:numPr>
          <w:ilvl w:val="0"/>
          <w:numId w:val="6"/>
        </w:numPr>
        <w:ind w:firstLine="640"/>
      </w:pPr>
      <w:r>
        <w:rPr>
          <w:rFonts w:hint="eastAsia"/>
        </w:rPr>
        <w:t>细化政府投资领域</w:t>
      </w:r>
    </w:p>
    <w:p w14:paraId="1B9329EB">
      <w:pPr>
        <w:ind w:firstLine="640"/>
      </w:pPr>
      <w:r>
        <w:rPr>
          <w:rFonts w:hint="eastAsia"/>
        </w:rPr>
        <w:t>在原有“社会公益服务、公共基础设施、生态环境保护、重大科技进步、社会管理、国家安全等公共领域”基础上，新增“生态环境修复”领域，强化绿色低碳发展理念。</w:t>
      </w:r>
    </w:p>
    <w:p w14:paraId="77BBDA55">
      <w:pPr>
        <w:numPr>
          <w:ilvl w:val="0"/>
          <w:numId w:val="6"/>
        </w:numPr>
        <w:ind w:firstLine="640"/>
      </w:pPr>
      <w:r>
        <w:rPr>
          <w:rFonts w:hint="eastAsia"/>
        </w:rPr>
        <w:t>丰富投资方式</w:t>
      </w:r>
    </w:p>
    <w:p w14:paraId="7CB3F765">
      <w:pPr>
        <w:ind w:firstLine="640"/>
      </w:pPr>
      <w:r>
        <w:rPr>
          <w:rFonts w:hint="eastAsia"/>
        </w:rPr>
        <w:t>在原有的直接投资、投资补助方式外，新增“资本金注入”方式，为支持符合条件的经营性项目提供了更为灵活的财政资金投入工具，有助于更好发挥政府资金的引导和放大作用。同时细化完善投资补助的适用范围及申请流程，明确“投资补助重点用于市场不能有效配置资源、需要政府支持的具有较强公益属性和公共基础设施属性的企业投资项目。申请投资补助的项目，项目单位应按照要求编制资金申请报告，根据项目总投资参照政府投资项目概算分级审定原则进行审定。经区政府批准且已明确补助比例或额度的事后投资补助项目，待项目完工并出具决算审核意见后，由项目单位报区发展改革部门审核后下达项目资金计划”，将投资补助项目的管理纳入规范化、程序化轨道。</w:t>
      </w:r>
    </w:p>
    <w:p w14:paraId="1F26DC19">
      <w:pPr>
        <w:numPr>
          <w:ilvl w:val="0"/>
          <w:numId w:val="6"/>
        </w:numPr>
        <w:ind w:firstLine="640"/>
      </w:pPr>
      <w:r>
        <w:rPr>
          <w:rFonts w:hint="eastAsia"/>
        </w:rPr>
        <w:t>规范多元投融资方式</w:t>
      </w:r>
    </w:p>
    <w:p w14:paraId="30D66F0B">
      <w:pPr>
        <w:ind w:firstLine="640"/>
      </w:pPr>
      <w:r>
        <w:rPr>
          <w:rFonts w:hint="eastAsia"/>
        </w:rPr>
        <w:t>鼓励采取多元化投融资方式筹措资金和实施项目。鼓励符合专项债投向领域且有一定收益的政府投资项目申请专项债券资金支持；鼓励有经营性收益且由使用者付费的项目采取特许经营模式实施，充分发挥市场机制作用，拓宽民间投资空间，坚决遏制新增地方政府隐性债务，提高项目建设运营水平。</w:t>
      </w:r>
    </w:p>
    <w:p w14:paraId="2D6EC92C">
      <w:pPr>
        <w:numPr>
          <w:ilvl w:val="0"/>
          <w:numId w:val="4"/>
        </w:numPr>
        <w:ind w:firstLine="640"/>
      </w:pPr>
      <w:r>
        <w:rPr>
          <w:rFonts w:hint="eastAsia"/>
        </w:rPr>
        <w:t>强化项目决策阶段管理</w:t>
      </w:r>
    </w:p>
    <w:p w14:paraId="0E285E1A">
      <w:pPr>
        <w:numPr>
          <w:ilvl w:val="0"/>
          <w:numId w:val="7"/>
        </w:numPr>
        <w:ind w:firstLine="640"/>
      </w:pPr>
      <w:r>
        <w:rPr>
          <w:rFonts w:hint="eastAsia"/>
        </w:rPr>
        <w:t>规范项目建议书、可行性研究报告编制</w:t>
      </w:r>
    </w:p>
    <w:p w14:paraId="3DAEB901">
      <w:pPr>
        <w:ind w:firstLine="640"/>
      </w:pPr>
      <w:r>
        <w:rPr>
          <w:rFonts w:hint="eastAsia"/>
        </w:rPr>
        <w:t>明确要求项目建议书“应当对项目建设的必要性和依据、拟建地点、拟建规模和内容以及配套工程、投资匡算、建设周期、建设模式、运营模式、资金筹措和投融资模式，以及经济社会环境效益进行初步分析”。</w:t>
      </w:r>
    </w:p>
    <w:p w14:paraId="72FC1F9F">
      <w:pPr>
        <w:ind w:firstLine="640"/>
      </w:pPr>
      <w:r>
        <w:rPr>
          <w:rFonts w:hint="eastAsia"/>
        </w:rPr>
        <w:t>明确要求“项目单位应当会同建设单位根据项目建议书和审定的设计方案（或概念性方案），参考《政府投资项目可行性研究报告编写通用大纲（2023年版）》等相关政策法规要求编制项目可行性研究报告”。</w:t>
      </w:r>
    </w:p>
    <w:p w14:paraId="4D5602CF">
      <w:pPr>
        <w:numPr>
          <w:ilvl w:val="0"/>
          <w:numId w:val="7"/>
        </w:numPr>
        <w:ind w:firstLine="640"/>
      </w:pPr>
      <w:r>
        <w:rPr>
          <w:rFonts w:hint="eastAsia"/>
        </w:rPr>
        <w:t>强调落实资金筹措方案</w:t>
      </w:r>
    </w:p>
    <w:p w14:paraId="77B69656">
      <w:pPr>
        <w:ind w:firstLine="640"/>
      </w:pPr>
      <w:r>
        <w:rPr>
          <w:rFonts w:hint="eastAsia"/>
        </w:rPr>
        <w:t>明确规定“可行性研究阶段应严格落实资金筹措方案，建设资金来源有缺口且补充渠道不明确、不清晰的，不得批复可行性研究报告。项目没有收益或收益无法覆盖运营管理支出的，应在可行性研究阶段明确运营管理资金来源。”</w:t>
      </w:r>
    </w:p>
    <w:p w14:paraId="32B26AF6">
      <w:pPr>
        <w:numPr>
          <w:ilvl w:val="0"/>
          <w:numId w:val="4"/>
        </w:numPr>
        <w:ind w:firstLine="640"/>
      </w:pPr>
      <w:r>
        <w:rPr>
          <w:rFonts w:hint="eastAsia"/>
        </w:rPr>
        <w:t>优化审批流程和审定机制</w:t>
      </w:r>
    </w:p>
    <w:p w14:paraId="01BE33D1">
      <w:pPr>
        <w:numPr>
          <w:ilvl w:val="0"/>
          <w:numId w:val="8"/>
        </w:numPr>
        <w:ind w:firstLine="640"/>
      </w:pPr>
      <w:r>
        <w:rPr>
          <w:rFonts w:hint="eastAsia"/>
        </w:rPr>
        <w:t>规范方案设计审定程序</w:t>
      </w:r>
    </w:p>
    <w:p w14:paraId="78D6813C">
      <w:pPr>
        <w:ind w:firstLine="640"/>
      </w:pPr>
      <w:r>
        <w:rPr>
          <w:rFonts w:hint="eastAsia"/>
        </w:rPr>
        <w:t>明确方案设计完成后需征求相关部门意见，并经项目单位和建设单位审议确认后根据项目总投资进行分级审定（打包立项项目按项目立项批复的总投资分级审定）。在方案设计审定前，区发展改革部门可视项目情况要求项目单位组织开展专家评审（含盲审），并形成专家意见书供决策参考。方案设计原则上应与立项批复的建设内容及投资规模等核心内容保持一致；确需进行较大调整的，应有充分依据，并按程序重新分级审定。</w:t>
      </w:r>
    </w:p>
    <w:p w14:paraId="5828D05C">
      <w:pPr>
        <w:numPr>
          <w:ilvl w:val="0"/>
          <w:numId w:val="8"/>
        </w:numPr>
        <w:ind w:firstLine="640"/>
      </w:pPr>
      <w:r>
        <w:rPr>
          <w:rFonts w:hint="eastAsia"/>
        </w:rPr>
        <w:t>明确可行性研究报告申报时限及管理要求</w:t>
      </w:r>
    </w:p>
    <w:p w14:paraId="30CE4A0A">
      <w:pPr>
        <w:numPr>
          <w:ilvl w:val="255"/>
          <w:numId w:val="0"/>
        </w:numPr>
        <w:ind w:firstLine="640"/>
      </w:pPr>
      <w:r>
        <w:rPr>
          <w:rFonts w:hint="eastAsia"/>
        </w:rPr>
        <w:t>为强化时间节点管控，在“原则上项目建议书批复后 6 个月内，项目单位会同建设单位向区发展改革部门申报可行性研究报告审批”基础上，明确规定“因特殊情况无法完成的，由项目单位会同建设单位出具详细说明向区发展改革部门申请延期并在区固投领域项目信息化管理平台备案。项目建议书批复后2年未申报可行性研究报告审批且未申请延期的，区发展改革部门可按程序终止项目”。</w:t>
      </w:r>
    </w:p>
    <w:p w14:paraId="74FB3BB2">
      <w:pPr>
        <w:numPr>
          <w:ilvl w:val="0"/>
          <w:numId w:val="8"/>
        </w:numPr>
        <w:ind w:firstLine="640"/>
      </w:pPr>
      <w:r>
        <w:rPr>
          <w:rFonts w:hint="eastAsia"/>
        </w:rPr>
        <w:t>优化直接申报可行性研究报告项目条件</w:t>
      </w:r>
    </w:p>
    <w:p w14:paraId="652E023D">
      <w:pPr>
        <w:numPr>
          <w:ilvl w:val="255"/>
          <w:numId w:val="0"/>
        </w:numPr>
        <w:ind w:firstLine="640"/>
      </w:pPr>
      <w:r>
        <w:rPr>
          <w:rFonts w:hint="eastAsia"/>
        </w:rPr>
        <w:t>为实现项目管理精度与效率的平衡，结合南山区的实际完善可直接申报可行性研究报告的项目要求，具体包括“</w:t>
      </w:r>
      <w:r>
        <w:rPr>
          <w:rFonts w:hint="eastAsia" w:ascii="仿宋_GB2312" w:hAnsi="仿宋_GB2312" w:cs="仿宋_GB2312"/>
          <w:szCs w:val="32"/>
        </w:rPr>
        <w:t>列入南山区国民经济和社会发展五年规划纲要且未变更建设地点或未对建设规模、建设内容等作出较大变更的</w:t>
      </w:r>
      <w:r>
        <w:rPr>
          <w:rFonts w:hint="eastAsia"/>
        </w:rPr>
        <w:t>”“</w:t>
      </w:r>
      <w:r>
        <w:rPr>
          <w:rFonts w:hint="eastAsia" w:ascii="仿宋_GB2312" w:hAnsi="仿宋_GB2312" w:cs="仿宋_GB2312"/>
          <w:szCs w:val="32"/>
        </w:rPr>
        <w:t>区委常委会、区政府常务会议批准开展前期工作的</w:t>
      </w:r>
      <w:r>
        <w:rPr>
          <w:rFonts w:hint="eastAsia"/>
        </w:rPr>
        <w:t>”“申报总投资1000万元以下的”和“申报总投资在1000万元（含）以上、5000万元以下的项目，且属于单纯的设备购置、装修装饰、维修改造、绿化提升、公交停靠站、交通安全设施、城市照明等建设内容单一、技术方案简单的项目”。</w:t>
      </w:r>
    </w:p>
    <w:p w14:paraId="3118D1A0">
      <w:pPr>
        <w:numPr>
          <w:ilvl w:val="0"/>
          <w:numId w:val="8"/>
        </w:numPr>
        <w:ind w:firstLine="640"/>
      </w:pPr>
      <w:r>
        <w:rPr>
          <w:rFonts w:hint="eastAsia"/>
        </w:rPr>
        <w:t>完善概算审定程序</w:t>
      </w:r>
    </w:p>
    <w:p w14:paraId="202EBD72">
      <w:pPr>
        <w:ind w:firstLine="640"/>
      </w:pPr>
      <w:r>
        <w:rPr>
          <w:rFonts w:hint="eastAsia"/>
        </w:rPr>
        <w:t>强化初步设计及概算与可行性研究报告的衔接，并明确规定“项目概算经区发展改革部门审核后，根据项目总投资分级审定并在下达概算批复的同时将批复情况抄报分管投资的区领导（打包立项项目按子项目概算的总投资分级审定）”。</w:t>
      </w:r>
    </w:p>
    <w:p w14:paraId="3C267B7B">
      <w:pPr>
        <w:numPr>
          <w:ilvl w:val="0"/>
          <w:numId w:val="8"/>
        </w:numPr>
        <w:ind w:firstLine="640"/>
      </w:pPr>
      <w:r>
        <w:rPr>
          <w:rFonts w:hint="eastAsia"/>
        </w:rPr>
        <w:t>完善应急工程审批流程</w:t>
      </w:r>
    </w:p>
    <w:p w14:paraId="2B5BF8F3">
      <w:pPr>
        <w:ind w:firstLine="640"/>
      </w:pPr>
      <w:r>
        <w:rPr>
          <w:rFonts w:hint="eastAsia"/>
        </w:rPr>
        <w:t>明确应急工程前期经费及资金拨付安排，即“项目经认定为应急工程、特殊紧急项目后，项目单位可凭应急工程认定文件或会议纪要等相关文件向区发展改革部门申请下达不超过投资匡算15%或不超过100万元的前期计划资金。项目总概算批复后，根据项目建设进度由区发展改革部门按实际予以资金保障。项目完工并出具决算审核意见后，按程序申请下达项目决算资金计划。”</w:t>
      </w:r>
    </w:p>
    <w:p w14:paraId="026A3EE6">
      <w:pPr>
        <w:numPr>
          <w:ilvl w:val="0"/>
          <w:numId w:val="8"/>
        </w:numPr>
        <w:ind w:firstLine="640"/>
      </w:pPr>
      <w:r>
        <w:rPr>
          <w:rFonts w:hint="eastAsia"/>
        </w:rPr>
        <w:t>细化概算调整流程</w:t>
      </w:r>
    </w:p>
    <w:p w14:paraId="40FBAF02">
      <w:pPr>
        <w:ind w:firstLine="640"/>
      </w:pPr>
      <w:r>
        <w:rPr>
          <w:rFonts w:hint="eastAsia"/>
        </w:rPr>
        <w:t>明确规定“项目实施过程中，因政策调整、价格上涨、地质条件发生重大变化等因素确需增加项目总概算的，建设单位应当会同项目单位提出调整方案后按程序报审：“调整增加项目总概算500万元（含）以上或达到项目总概算10%（含）以上的，调整方案报区政府主要领导签批或会议审定后，由区发展改革部门报区政府常务会议审定，下达调整批复；未达到以上标准的，调整方案报分管区领导签批或会议审定后，由区发展改革部门报分管投资的区领导审定，下达调整批复”。</w:t>
      </w:r>
    </w:p>
    <w:p w14:paraId="1275B513">
      <w:pPr>
        <w:numPr>
          <w:ilvl w:val="0"/>
          <w:numId w:val="4"/>
        </w:numPr>
        <w:ind w:firstLine="640"/>
      </w:pPr>
      <w:r>
        <w:rPr>
          <w:rFonts w:hint="eastAsia"/>
        </w:rPr>
        <w:t>健全项目储备和前期工作资金保障</w:t>
      </w:r>
    </w:p>
    <w:p w14:paraId="48B0601C">
      <w:pPr>
        <w:numPr>
          <w:ilvl w:val="0"/>
          <w:numId w:val="9"/>
        </w:numPr>
        <w:ind w:firstLine="640"/>
      </w:pPr>
      <w:r>
        <w:rPr>
          <w:rFonts w:hint="eastAsia"/>
        </w:rPr>
        <w:t>健全项目储备库管理制度</w:t>
      </w:r>
    </w:p>
    <w:p w14:paraId="3163F394">
      <w:pPr>
        <w:ind w:firstLine="640"/>
      </w:pPr>
      <w:r>
        <w:rPr>
          <w:rFonts w:hint="eastAsia"/>
        </w:rPr>
        <w:t>明确要求“从储备库中将符合条件的项目纳入政府投资项目年度计划草案”，并对储备库实行动态管理，对于建设依据、建设条件发生重大变化或者前期工作长时间未取得实质性进展的项目可予以移出，确保项目储备质量与计划编制的科学性。</w:t>
      </w:r>
    </w:p>
    <w:p w14:paraId="628453B3">
      <w:pPr>
        <w:numPr>
          <w:ilvl w:val="0"/>
          <w:numId w:val="9"/>
        </w:numPr>
        <w:ind w:firstLine="640"/>
      </w:pPr>
      <w:r>
        <w:rPr>
          <w:rFonts w:hint="eastAsia"/>
        </w:rPr>
        <w:t>强化项目前期工作资金保障</w:t>
      </w:r>
    </w:p>
    <w:p w14:paraId="098BD931">
      <w:pPr>
        <w:ind w:firstLine="640"/>
      </w:pPr>
      <w:r>
        <w:rPr>
          <w:rFonts w:hint="eastAsia"/>
        </w:rPr>
        <w:t>明确区发展改革部门根据项目建设实际情况和工作需要，安排合理费用用于编制和审核项目建议书、上级专项资金申请报告、可行性研究报告等相关工作，并提出“对满足条件的高品质设计项目可按相关规定合理确定设计服务费”。</w:t>
      </w:r>
    </w:p>
    <w:p w14:paraId="5517D423">
      <w:pPr>
        <w:numPr>
          <w:ilvl w:val="0"/>
          <w:numId w:val="4"/>
        </w:numPr>
        <w:ind w:firstLine="640"/>
      </w:pPr>
      <w:r>
        <w:rPr>
          <w:rFonts w:hint="eastAsia"/>
        </w:rPr>
        <w:t>强化项目实施和运营管理</w:t>
      </w:r>
    </w:p>
    <w:p w14:paraId="0E322A6B">
      <w:pPr>
        <w:numPr>
          <w:ilvl w:val="0"/>
          <w:numId w:val="10"/>
        </w:numPr>
        <w:ind w:firstLine="640"/>
      </w:pPr>
      <w:r>
        <w:rPr>
          <w:rFonts w:hint="eastAsia"/>
        </w:rPr>
        <w:t>强化“运营前置”管理理念</w:t>
      </w:r>
    </w:p>
    <w:p w14:paraId="35920D55">
      <w:pPr>
        <w:ind w:firstLine="640"/>
      </w:pPr>
      <w:r>
        <w:rPr>
          <w:rFonts w:hint="eastAsia"/>
        </w:rPr>
        <w:t>明确提出“运营前置、建管双强”原则，要求“政府投资项目应尽早确定运营主体、运营方案，提升设计深度和各项功能指标运营需求匹配度，缩短项目竣工至步入正轨化运营管理时间周期”。</w:t>
      </w:r>
    </w:p>
    <w:p w14:paraId="3F165424">
      <w:pPr>
        <w:numPr>
          <w:ilvl w:val="0"/>
          <w:numId w:val="10"/>
        </w:numPr>
        <w:ind w:firstLine="640"/>
      </w:pPr>
      <w:r>
        <w:rPr>
          <w:rFonts w:hint="eastAsia"/>
        </w:rPr>
        <w:t>推行限额设计</w:t>
      </w:r>
    </w:p>
    <w:p w14:paraId="56A6AFE2">
      <w:pPr>
        <w:ind w:firstLine="640"/>
      </w:pPr>
      <w:r>
        <w:rPr>
          <w:rFonts w:hint="eastAsia"/>
        </w:rPr>
        <w:t>明确规定“初步设计、施工图设计的建设规模、范围等原则上不得突破可行性研究报告批复的建设规模和范围，设计招标文件和设计合同应当明确要求设计单位实行限额设计”，严控投资超概的情况。</w:t>
      </w:r>
    </w:p>
    <w:p w14:paraId="53B663E4">
      <w:pPr>
        <w:numPr>
          <w:ilvl w:val="0"/>
          <w:numId w:val="10"/>
        </w:numPr>
        <w:ind w:firstLine="640"/>
      </w:pPr>
      <w:r>
        <w:rPr>
          <w:rFonts w:hint="eastAsia"/>
        </w:rPr>
        <w:t>明确配套工程要求</w:t>
      </w:r>
    </w:p>
    <w:p w14:paraId="17230629">
      <w:pPr>
        <w:ind w:firstLine="640"/>
      </w:pPr>
      <w:r>
        <w:rPr>
          <w:rFonts w:hint="eastAsia"/>
        </w:rPr>
        <w:t>明确规定“政府投资项目的工程安全设施、污染防治设施和地质灾害配套防治措施等应当根据主体工程的建设需要及相关法律法规要求开展设计、施工并投入使用”，确保配套工程与主体工程同步规划、同步建设、同步发挥作用。</w:t>
      </w:r>
    </w:p>
    <w:p w14:paraId="35B00EB0">
      <w:pPr>
        <w:numPr>
          <w:ilvl w:val="0"/>
          <w:numId w:val="4"/>
        </w:numPr>
        <w:ind w:firstLine="640"/>
      </w:pPr>
      <w:r>
        <w:rPr>
          <w:rFonts w:hint="eastAsia"/>
        </w:rPr>
        <w:t>新增永久性责任铭牌规定</w:t>
      </w:r>
    </w:p>
    <w:p w14:paraId="3E304DD4">
      <w:pPr>
        <w:ind w:firstLine="640"/>
      </w:pPr>
      <w:r>
        <w:rPr>
          <w:rFonts w:hint="eastAsia"/>
        </w:rPr>
        <w:t>明确规定“建筑工程竣工验收前，施工单位应当按照设计图纸的具体规定，在建筑物显著部位镶刻永久性责任铭牌，标明工程名称、建设、勘察、设计、施工、监理单位名称、相应的项目负责人姓名和工程竣工日期”，强化工程质量终身责任追溯机制，增强各方责任意识。</w:t>
      </w:r>
    </w:p>
    <w:p w14:paraId="5E269A53">
      <w:pPr>
        <w:numPr>
          <w:ilvl w:val="0"/>
          <w:numId w:val="4"/>
        </w:numPr>
        <w:ind w:firstLine="640"/>
      </w:pPr>
      <w:r>
        <w:rPr>
          <w:rFonts w:hint="eastAsia"/>
        </w:rPr>
        <w:t>新增项目验收环节规定</w:t>
      </w:r>
    </w:p>
    <w:p w14:paraId="09FB59F7">
      <w:pPr>
        <w:numPr>
          <w:ilvl w:val="255"/>
          <w:numId w:val="0"/>
        </w:numPr>
        <w:ind w:firstLine="640"/>
      </w:pPr>
      <w:r>
        <w:rPr>
          <w:rFonts w:hint="eastAsia"/>
        </w:rPr>
        <w:t>结合上级文件要求，明确规定“项目单位和建设单位应当在完成政府投资项目竣工决算报告质量复核后30个工作日内，联合向区发展改革部门申请项目验收”，涵盖项目前期决策、实施阶段及结决算阶段等全生命周期的执行情况，强化验收的全面性和监督力度。</w:t>
      </w:r>
    </w:p>
    <w:p w14:paraId="0AB71D38">
      <w:pPr>
        <w:numPr>
          <w:ilvl w:val="0"/>
          <w:numId w:val="4"/>
        </w:numPr>
        <w:ind w:firstLine="640"/>
      </w:pPr>
      <w:r>
        <w:rPr>
          <w:rFonts w:hint="eastAsia"/>
        </w:rPr>
        <w:t>实现与代建制管理办法的有机衔接</w:t>
      </w:r>
    </w:p>
    <w:p w14:paraId="2DE8A192">
      <w:pPr>
        <w:ind w:firstLine="640"/>
      </w:pPr>
      <w:r>
        <w:rPr>
          <w:rFonts w:hint="eastAsia"/>
        </w:rPr>
        <w:t>删除了原《管理办法》中的关于代建管理的具体条款，明确代建项目按照另行制定的《南山区政府投资项目代建制管理办法》执行，确保了政府投资通用管理办法与专业领域管理办法之间的清晰边界和顺畅衔接。</w:t>
      </w:r>
    </w:p>
    <w:p w14:paraId="508B28AB">
      <w:pPr>
        <w:pStyle w:val="2"/>
        <w:ind w:firstLine="640"/>
      </w:pPr>
      <w:bookmarkStart w:id="2" w:name="OLE_LINK2"/>
      <w:r>
        <w:rPr>
          <w:rFonts w:hint="eastAsia"/>
        </w:rPr>
        <w:t>主要亮点</w:t>
      </w:r>
    </w:p>
    <w:p w14:paraId="05A3FEAB">
      <w:pPr>
        <w:numPr>
          <w:ilvl w:val="0"/>
          <w:numId w:val="11"/>
        </w:numPr>
        <w:ind w:firstLine="640" w:firstLineChars="0"/>
      </w:pPr>
      <w:r>
        <w:rPr>
          <w:rFonts w:hint="eastAsia"/>
          <w:b/>
          <w:bCs/>
        </w:rPr>
        <w:t>构建完善的政府投资管理体系。</w:t>
      </w:r>
      <w:r>
        <w:rPr>
          <w:rFonts w:hint="eastAsia"/>
        </w:rPr>
        <w:t>结合政府投资项目管理的实际需要，编制了关于精品项目设计取费和工程变更的配套文件。其中，《南山区政府投资精品项目设计取费实施细则》明确了精品项目的适用范围、认定程序、委托方式、取费标准，为后续高品质设计的政府投资项目提供规范的操作流程；《南山区政府投资项目工程变更实施细则》明确了工程变更的定义分类、审批流程以及责任追究机制，是严控投资、规范变更行为的关键抓手。两个配套文件与《管理办法》正文紧密衔接、填补了政府投资管理体系中制度空白，搭建了完善的政府投资项目管理体系，进一步规范政府投资项目的实施，有效提升政府投资效益水平。</w:t>
      </w:r>
    </w:p>
    <w:p w14:paraId="7F6D91BA">
      <w:pPr>
        <w:numPr>
          <w:ilvl w:val="0"/>
          <w:numId w:val="11"/>
        </w:numPr>
        <w:ind w:firstLine="640" w:firstLineChars="0"/>
      </w:pPr>
      <w:r>
        <w:rPr>
          <w:rFonts w:hint="eastAsia"/>
          <w:b/>
          <w:bCs/>
        </w:rPr>
        <w:t>规范方案设计审定程序。</w:t>
      </w:r>
      <w:r>
        <w:rPr>
          <w:rFonts w:hint="eastAsia" w:ascii="仿宋_GB2312" w:hAnsi="仿宋_GB2312"/>
          <w:szCs w:val="28"/>
        </w:rPr>
        <w:t>一是明确</w:t>
      </w:r>
      <w:r>
        <w:rPr>
          <w:rFonts w:hint="eastAsia"/>
        </w:rPr>
        <w:t>方案设计完成后需征求相关部门意见，并</w:t>
      </w:r>
      <w:r>
        <w:rPr>
          <w:rFonts w:hint="eastAsia" w:ascii="仿宋_GB2312" w:hAnsi="仿宋_GB2312"/>
          <w:szCs w:val="28"/>
        </w:rPr>
        <w:t>根据项目总投资的额度进行分级审定，</w:t>
      </w:r>
      <w:r>
        <w:rPr>
          <w:rFonts w:hint="eastAsia" w:ascii="仿宋_GB2312" w:hAnsi="仿宋_GB2312" w:cs="仿宋_GB2312"/>
          <w:szCs w:val="28"/>
        </w:rPr>
        <w:t>充分保障不同项目决策的科学性</w:t>
      </w:r>
      <w:r>
        <w:rPr>
          <w:rFonts w:hint="eastAsia"/>
        </w:rPr>
        <w:t>。二是明确可视情况增加</w:t>
      </w:r>
      <w:r>
        <w:rPr>
          <w:rFonts w:hint="eastAsia" w:ascii="仿宋_GB2312" w:hAnsi="仿宋_GB2312"/>
          <w:szCs w:val="28"/>
        </w:rPr>
        <w:t>专家评审（含盲审）等前期审核环节，为方案设计的审定提供充分的技术支撑。</w:t>
      </w:r>
      <w:r>
        <w:rPr>
          <w:rFonts w:hint="eastAsia"/>
        </w:rPr>
        <w:t>三是强调方案设计原则上应与立项批复的建设内容及投资规模等核心内容保持一致，确有较大调整的应</w:t>
      </w:r>
      <w:r>
        <w:rPr>
          <w:rFonts w:hint="eastAsia" w:ascii="仿宋_GB2312" w:hAnsi="仿宋_GB2312"/>
        </w:rPr>
        <w:t>按程序重新分级审定，以</w:t>
      </w:r>
      <w:r>
        <w:rPr>
          <w:rFonts w:hint="eastAsia"/>
        </w:rPr>
        <w:t>减少项目设计方案的随意调整。</w:t>
      </w:r>
    </w:p>
    <w:p w14:paraId="297C81D6">
      <w:pPr>
        <w:numPr>
          <w:ilvl w:val="0"/>
          <w:numId w:val="11"/>
        </w:numPr>
        <w:ind w:firstLine="640" w:firstLineChars="0"/>
      </w:pPr>
      <w:r>
        <w:rPr>
          <w:rFonts w:hint="eastAsia"/>
          <w:b/>
          <w:bCs/>
        </w:rPr>
        <w:t>重视项目融资可行性。</w:t>
      </w:r>
      <w:r>
        <w:rPr>
          <w:rFonts w:hint="eastAsia"/>
        </w:rPr>
        <w:t>从项目决策层面，强化融资可行性的分析和论证，一是在项目建议书阶段强调资金筹措和投融资模式相关内容，二是在可行性研究阶段将资金筹措方案等融资可行性相关内容作为批复的重要条件。从项目落地层面，积极引导使用政府专项债券和特许经营方式等多元投融资模式，多方式为政府投资项目提供资金保障。</w:t>
      </w:r>
    </w:p>
    <w:p w14:paraId="288DAC8F">
      <w:pPr>
        <w:numPr>
          <w:ilvl w:val="0"/>
          <w:numId w:val="11"/>
        </w:numPr>
        <w:ind w:firstLine="640" w:firstLineChars="0"/>
      </w:pPr>
      <w:r>
        <w:rPr>
          <w:rFonts w:hint="eastAsia"/>
          <w:b/>
          <w:bCs/>
        </w:rPr>
        <w:t>优化政府投资审批流程。</w:t>
      </w:r>
      <w:r>
        <w:rPr>
          <w:rFonts w:hint="eastAsia"/>
        </w:rPr>
        <w:t>一是细化不同情形下概算调整的审定程序，与《南山区政府投资项目工程变更实施细则》实现有效衔接，实现精细化管理的同时也进一步规范工程变更行为。二是针对应急工程、特殊紧急项目等特殊项目设立了“快速通道”，明确前期计划资金下达等规定，为此类项目提供制度保障的同时也为后续应急工作的开展提供清晰指导，提升工作效率。</w:t>
      </w:r>
    </w:p>
    <w:p w14:paraId="5E21BE2B">
      <w:pPr>
        <w:numPr>
          <w:ilvl w:val="0"/>
          <w:numId w:val="11"/>
        </w:numPr>
        <w:ind w:firstLine="640" w:firstLineChars="0"/>
      </w:pPr>
      <w:r>
        <w:rPr>
          <w:rFonts w:hint="eastAsia"/>
          <w:b/>
          <w:bCs/>
        </w:rPr>
        <w:t>强化政府投资项目管理。</w:t>
      </w:r>
      <w:r>
        <w:rPr>
          <w:rFonts w:hint="eastAsia"/>
        </w:rPr>
        <w:t>一方面明确增加“运营前置、建管双强”原则，将运营需求深度融入项目前期设计和建设过程，实现项目建设与运营管理的无缝衔接。另一方面，通过明确永久性责任铭牌制度，</w:t>
      </w:r>
      <w:r>
        <w:t>进一步压实建设、设计、施工、监理、勘察等五方责任主体责任，刚性落实工程质量终身责任制，倒逼各方从项目全生命周期筑牢质量管控防线</w:t>
      </w:r>
      <w:r>
        <w:rPr>
          <w:rFonts w:hint="eastAsia"/>
        </w:rPr>
        <w:t>。</w:t>
      </w:r>
      <w:bookmarkEnd w:id="2"/>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191" w:gutter="0"/>
      <w:pgNumType w:fmt="numberInDash"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6297501"/>
    </w:sdtPr>
    <w:sdtEndPr>
      <w:rPr>
        <w:rFonts w:asciiTheme="minorEastAsia" w:hAnsiTheme="minorEastAsia" w:eastAsiaTheme="minorEastAsia"/>
        <w:sz w:val="32"/>
        <w:szCs w:val="32"/>
      </w:rPr>
    </w:sdtEndPr>
    <w:sdtContent>
      <w:p w14:paraId="074F4068">
        <w:pPr>
          <w:pStyle w:val="14"/>
          <w:ind w:firstLine="360"/>
          <w:jc w:val="right"/>
          <w:rPr>
            <w:rFonts w:hint="eastAsia" w:asciiTheme="minorEastAsia" w:hAnsiTheme="minorEastAsia" w:eastAsiaTheme="minorEastAsia"/>
            <w:sz w:val="32"/>
            <w:szCs w:val="32"/>
          </w:rPr>
        </w:pP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PAGE   \* MERGEFORMAT</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lang w:val="zh-CN"/>
          </w:rPr>
          <w:t>2</w:t>
        </w:r>
        <w:r>
          <w:rPr>
            <w:rFonts w:asciiTheme="minorEastAsia" w:hAnsiTheme="minorEastAsia" w:eastAsiaTheme="minorEastAsia"/>
            <w:sz w:val="32"/>
            <w:szCs w:val="3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2936546"/>
    </w:sdtPr>
    <w:sdtEndPr>
      <w:rPr>
        <w:rFonts w:asciiTheme="minorEastAsia" w:hAnsiTheme="minorEastAsia" w:eastAsiaTheme="minorEastAsia"/>
        <w:sz w:val="32"/>
        <w:szCs w:val="32"/>
      </w:rPr>
    </w:sdtEndPr>
    <w:sdtContent>
      <w:p w14:paraId="3617D162">
        <w:pPr>
          <w:pStyle w:val="14"/>
          <w:ind w:right="90" w:firstLine="360"/>
          <w:rPr>
            <w:rFonts w:hint="eastAsia" w:asciiTheme="minorEastAsia" w:hAnsiTheme="minorEastAsia" w:eastAsiaTheme="minorEastAsia"/>
            <w:sz w:val="32"/>
            <w:szCs w:val="32"/>
          </w:rPr>
        </w:pP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PAGE   \* MERGEFORMAT</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lang w:val="zh-CN"/>
          </w:rPr>
          <w:t>2</w:t>
        </w:r>
        <w:r>
          <w:rPr>
            <w:rFonts w:asciiTheme="minorEastAsia" w:hAnsiTheme="minorEastAsia" w:eastAsiaTheme="minorEastAsia"/>
            <w:sz w:val="32"/>
            <w:szCs w:val="3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931D5">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FB108">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97FC6">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2C12C">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B077F"/>
    <w:multiLevelType w:val="singleLevel"/>
    <w:tmpl w:val="9D1B077F"/>
    <w:lvl w:ilvl="0" w:tentative="0">
      <w:start w:val="1"/>
      <w:numFmt w:val="decimal"/>
      <w:suff w:val="space"/>
      <w:lvlText w:val="（%1）"/>
      <w:lvlJc w:val="left"/>
    </w:lvl>
  </w:abstractNum>
  <w:abstractNum w:abstractNumId="1">
    <w:nsid w:val="A1F30EAF"/>
    <w:multiLevelType w:val="singleLevel"/>
    <w:tmpl w:val="A1F30EAF"/>
    <w:lvl w:ilvl="0" w:tentative="0">
      <w:start w:val="1"/>
      <w:numFmt w:val="decimal"/>
      <w:suff w:val="space"/>
      <w:lvlText w:val="（%1）"/>
      <w:lvlJc w:val="left"/>
    </w:lvl>
  </w:abstractNum>
  <w:abstractNum w:abstractNumId="2">
    <w:nsid w:val="CD105094"/>
    <w:multiLevelType w:val="singleLevel"/>
    <w:tmpl w:val="CD105094"/>
    <w:lvl w:ilvl="0" w:tentative="0">
      <w:start w:val="1"/>
      <w:numFmt w:val="decimal"/>
      <w:suff w:val="space"/>
      <w:lvlText w:val="（%1）"/>
      <w:lvlJc w:val="left"/>
    </w:lvl>
  </w:abstractNum>
  <w:abstractNum w:abstractNumId="3">
    <w:nsid w:val="CFD66616"/>
    <w:multiLevelType w:val="singleLevel"/>
    <w:tmpl w:val="CFD66616"/>
    <w:lvl w:ilvl="0" w:tentative="0">
      <w:start w:val="1"/>
      <w:numFmt w:val="chineseCounting"/>
      <w:suff w:val="space"/>
      <w:lvlText w:val="（%1）"/>
      <w:lvlJc w:val="left"/>
      <w:rPr>
        <w:rFonts w:hint="eastAsia"/>
      </w:rPr>
    </w:lvl>
  </w:abstractNum>
  <w:abstractNum w:abstractNumId="4">
    <w:nsid w:val="D0F34800"/>
    <w:multiLevelType w:val="singleLevel"/>
    <w:tmpl w:val="D0F34800"/>
    <w:lvl w:ilvl="0" w:tentative="0">
      <w:start w:val="1"/>
      <w:numFmt w:val="decimal"/>
      <w:suff w:val="space"/>
      <w:lvlText w:val="（%1）"/>
      <w:lvlJc w:val="left"/>
    </w:lvl>
  </w:abstractNum>
  <w:abstractNum w:abstractNumId="5">
    <w:nsid w:val="F7ED80F8"/>
    <w:multiLevelType w:val="singleLevel"/>
    <w:tmpl w:val="F7ED80F8"/>
    <w:lvl w:ilvl="0" w:tentative="0">
      <w:start w:val="1"/>
      <w:numFmt w:val="decimal"/>
      <w:suff w:val="space"/>
      <w:lvlText w:val="（%1）"/>
      <w:lvlJc w:val="left"/>
    </w:lvl>
  </w:abstractNum>
  <w:abstractNum w:abstractNumId="6">
    <w:nsid w:val="10649F20"/>
    <w:multiLevelType w:val="singleLevel"/>
    <w:tmpl w:val="10649F20"/>
    <w:lvl w:ilvl="0" w:tentative="0">
      <w:start w:val="1"/>
      <w:numFmt w:val="decimal"/>
      <w:suff w:val="space"/>
      <w:lvlText w:val="%1."/>
      <w:lvlJc w:val="left"/>
    </w:lvl>
  </w:abstractNum>
  <w:abstractNum w:abstractNumId="7">
    <w:nsid w:val="29F0C8BC"/>
    <w:multiLevelType w:val="singleLevel"/>
    <w:tmpl w:val="29F0C8BC"/>
    <w:lvl w:ilvl="0" w:tentative="0">
      <w:start w:val="1"/>
      <w:numFmt w:val="decimal"/>
      <w:suff w:val="space"/>
      <w:lvlText w:val="%1."/>
      <w:lvlJc w:val="left"/>
    </w:lvl>
  </w:abstractNum>
  <w:abstractNum w:abstractNumId="8">
    <w:nsid w:val="2ADFE57C"/>
    <w:multiLevelType w:val="singleLevel"/>
    <w:tmpl w:val="2ADFE57C"/>
    <w:lvl w:ilvl="0" w:tentative="0">
      <w:start w:val="1"/>
      <w:numFmt w:val="decimal"/>
      <w:suff w:val="space"/>
      <w:lvlText w:val="（%1）"/>
      <w:lvlJc w:val="left"/>
    </w:lvl>
  </w:abstractNum>
  <w:abstractNum w:abstractNumId="9">
    <w:nsid w:val="3CDF9A81"/>
    <w:multiLevelType w:val="singleLevel"/>
    <w:tmpl w:val="3CDF9A81"/>
    <w:lvl w:ilvl="0" w:tentative="0">
      <w:start w:val="1"/>
      <w:numFmt w:val="chineseCountingThousand"/>
      <w:suff w:val="space"/>
      <w:lvlText w:val="(%1)"/>
      <w:lvlJc w:val="left"/>
      <w:pPr>
        <w:ind w:left="440" w:hanging="440"/>
      </w:pPr>
      <w:rPr>
        <w:rFonts w:hint="eastAsia" w:ascii="仿宋_GB2312" w:hAnsi="Times New Roman" w:eastAsia="仿宋_GB2312"/>
        <w:b w:val="0"/>
        <w:i w:val="0"/>
        <w:sz w:val="32"/>
      </w:rPr>
    </w:lvl>
  </w:abstractNum>
  <w:abstractNum w:abstractNumId="10">
    <w:nsid w:val="654F4972"/>
    <w:multiLevelType w:val="multilevel"/>
    <w:tmpl w:val="654F4972"/>
    <w:lvl w:ilvl="0" w:tentative="0">
      <w:start w:val="1"/>
      <w:numFmt w:val="chineseCountingThousand"/>
      <w:pStyle w:val="2"/>
      <w:suff w:val="space"/>
      <w:lvlText w:val="%1、"/>
      <w:lvlJc w:val="left"/>
      <w:pPr>
        <w:ind w:left="425" w:hanging="425"/>
      </w:pPr>
      <w:rPr>
        <w:rFonts w:hint="eastAsia" w:eastAsia="黑体"/>
        <w:sz w:val="32"/>
      </w:rPr>
    </w:lvl>
    <w:lvl w:ilvl="1" w:tentative="0">
      <w:start w:val="1"/>
      <w:numFmt w:val="chineseCountingThousand"/>
      <w:pStyle w:val="3"/>
      <w:lvlText w:val="（%2）"/>
      <w:lvlJc w:val="left"/>
      <w:pPr>
        <w:ind w:left="992" w:hanging="567"/>
      </w:pPr>
      <w:rPr>
        <w:rFonts w:hint="eastAsia" w:eastAsia="楷体_GB2312"/>
        <w:sz w:val="32"/>
      </w:rPr>
    </w:lvl>
    <w:lvl w:ilvl="2" w:tentative="0">
      <w:start w:val="1"/>
      <w:numFmt w:val="decimal"/>
      <w:pStyle w:val="4"/>
      <w:suff w:val="space"/>
      <w:lvlText w:val="%3."/>
      <w:lvlJc w:val="left"/>
      <w:pPr>
        <w:ind w:left="1418" w:hanging="567"/>
      </w:pPr>
      <w:rPr>
        <w:rFonts w:hint="eastAsia"/>
      </w:rPr>
    </w:lvl>
    <w:lvl w:ilvl="3" w:tentative="0">
      <w:start w:val="1"/>
      <w:numFmt w:val="decimal"/>
      <w:pStyle w:val="5"/>
      <w:suff w:val="space"/>
      <w:lvlText w:val="（%4）"/>
      <w:lvlJc w:val="left"/>
      <w:pPr>
        <w:ind w:left="1418" w:hanging="567"/>
      </w:pPr>
      <w:rPr>
        <w:rFonts w:hint="eastAsia"/>
      </w:rPr>
    </w:lvl>
    <w:lvl w:ilvl="4" w:tentative="0">
      <w:start w:val="1"/>
      <w:numFmt w:val="decimal"/>
      <w:pStyle w:val="6"/>
      <w:suff w:val="space"/>
      <w:lvlText w:val="%5）"/>
      <w:lvlJc w:val="left"/>
      <w:pPr>
        <w:ind w:left="1418" w:hanging="567"/>
      </w:pPr>
      <w:rPr>
        <w:rFonts w:hint="default"/>
      </w:rPr>
    </w:lvl>
    <w:lvl w:ilvl="5" w:tentative="0">
      <w:start w:val="1"/>
      <w:numFmt w:val="upperLetter"/>
      <w:pStyle w:val="7"/>
      <w:suff w:val="space"/>
      <w:lvlText w:val="%6、"/>
      <w:lvlJc w:val="left"/>
      <w:pPr>
        <w:ind w:left="1418" w:hanging="567"/>
      </w:pPr>
      <w:rPr>
        <w:rFonts w:hint="eastAsia"/>
      </w:rPr>
    </w:lvl>
    <w:lvl w:ilvl="6" w:tentative="0">
      <w:start w:val="1"/>
      <w:numFmt w:val="lowerLetter"/>
      <w:pStyle w:val="8"/>
      <w:suff w:val="space"/>
      <w:lvlText w:val="%7、"/>
      <w:lvlJc w:val="left"/>
      <w:pPr>
        <w:ind w:left="1418" w:hanging="567"/>
      </w:pPr>
      <w:rPr>
        <w:rFonts w:hint="eastAsia"/>
      </w:rPr>
    </w:lvl>
    <w:lvl w:ilvl="7" w:tentative="0">
      <w:start w:val="1"/>
      <w:numFmt w:val="upperRoman"/>
      <w:pStyle w:val="9"/>
      <w:suff w:val="space"/>
      <w:lvlText w:val="%8、"/>
      <w:lvlJc w:val="left"/>
      <w:pPr>
        <w:ind w:left="1418" w:hanging="567"/>
      </w:pPr>
      <w:rPr>
        <w:rFonts w:hint="eastAsia"/>
      </w:rPr>
    </w:lvl>
    <w:lvl w:ilvl="8" w:tentative="0">
      <w:start w:val="1"/>
      <w:numFmt w:val="lowerRoman"/>
      <w:pStyle w:val="10"/>
      <w:suff w:val="space"/>
      <w:lvlText w:val="%9、"/>
      <w:lvlJc w:val="left"/>
      <w:pPr>
        <w:ind w:left="1418" w:hanging="567"/>
      </w:pPr>
      <w:rPr>
        <w:rFonts w:hint="eastAsia" w:eastAsia="楷体_GB2312"/>
      </w:rPr>
    </w:lvl>
  </w:abstractNum>
  <w:num w:numId="1">
    <w:abstractNumId w:val="10"/>
  </w:num>
  <w:num w:numId="2">
    <w:abstractNumId w:val="9"/>
  </w:num>
  <w:num w:numId="3">
    <w:abstractNumId w:val="6"/>
  </w:num>
  <w:num w:numId="4">
    <w:abstractNumId w:val="7"/>
  </w:num>
  <w:num w:numId="5">
    <w:abstractNumId w:val="5"/>
  </w:num>
  <w:num w:numId="6">
    <w:abstractNumId w:val="4"/>
  </w:num>
  <w:num w:numId="7">
    <w:abstractNumId w:val="1"/>
  </w:num>
  <w:num w:numId="8">
    <w:abstractNumId w:val="0"/>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evenAndOddHeaders w:val="1"/>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B7F"/>
    <w:rsid w:val="0000495F"/>
    <w:rsid w:val="00006A4E"/>
    <w:rsid w:val="0001535E"/>
    <w:rsid w:val="00016593"/>
    <w:rsid w:val="00025A31"/>
    <w:rsid w:val="00032440"/>
    <w:rsid w:val="00035138"/>
    <w:rsid w:val="00046CA8"/>
    <w:rsid w:val="00096FD5"/>
    <w:rsid w:val="000F146B"/>
    <w:rsid w:val="000F4C55"/>
    <w:rsid w:val="000F4D78"/>
    <w:rsid w:val="001029DB"/>
    <w:rsid w:val="00121230"/>
    <w:rsid w:val="00124DB5"/>
    <w:rsid w:val="00130A08"/>
    <w:rsid w:val="0014491B"/>
    <w:rsid w:val="001522B9"/>
    <w:rsid w:val="00154F71"/>
    <w:rsid w:val="00173D80"/>
    <w:rsid w:val="00173FBD"/>
    <w:rsid w:val="00190968"/>
    <w:rsid w:val="001A6B4B"/>
    <w:rsid w:val="001B73A1"/>
    <w:rsid w:val="001B73F9"/>
    <w:rsid w:val="001B77AF"/>
    <w:rsid w:val="001C5014"/>
    <w:rsid w:val="001C5947"/>
    <w:rsid w:val="00203C7A"/>
    <w:rsid w:val="00213712"/>
    <w:rsid w:val="00222B40"/>
    <w:rsid w:val="002339BB"/>
    <w:rsid w:val="002343C9"/>
    <w:rsid w:val="00250244"/>
    <w:rsid w:val="0026520A"/>
    <w:rsid w:val="00287D97"/>
    <w:rsid w:val="002C7443"/>
    <w:rsid w:val="002D38EA"/>
    <w:rsid w:val="002D7CFA"/>
    <w:rsid w:val="00303C03"/>
    <w:rsid w:val="00324C22"/>
    <w:rsid w:val="00327F40"/>
    <w:rsid w:val="0033302E"/>
    <w:rsid w:val="00335603"/>
    <w:rsid w:val="003357D1"/>
    <w:rsid w:val="00345910"/>
    <w:rsid w:val="00345A64"/>
    <w:rsid w:val="00383DD5"/>
    <w:rsid w:val="003A1CBB"/>
    <w:rsid w:val="003A61EC"/>
    <w:rsid w:val="003C7422"/>
    <w:rsid w:val="003E34C7"/>
    <w:rsid w:val="003E4864"/>
    <w:rsid w:val="003F571E"/>
    <w:rsid w:val="004019CF"/>
    <w:rsid w:val="00405E9A"/>
    <w:rsid w:val="00410B9F"/>
    <w:rsid w:val="00416123"/>
    <w:rsid w:val="00417555"/>
    <w:rsid w:val="00420543"/>
    <w:rsid w:val="004627F4"/>
    <w:rsid w:val="00482163"/>
    <w:rsid w:val="004A66DD"/>
    <w:rsid w:val="004A775A"/>
    <w:rsid w:val="004C2F4E"/>
    <w:rsid w:val="004C739B"/>
    <w:rsid w:val="004D3171"/>
    <w:rsid w:val="004E2E71"/>
    <w:rsid w:val="004F1A57"/>
    <w:rsid w:val="004F70AD"/>
    <w:rsid w:val="00501866"/>
    <w:rsid w:val="00503E6B"/>
    <w:rsid w:val="00522784"/>
    <w:rsid w:val="0054037D"/>
    <w:rsid w:val="00540B7F"/>
    <w:rsid w:val="005411A2"/>
    <w:rsid w:val="00555BE0"/>
    <w:rsid w:val="0056012B"/>
    <w:rsid w:val="005677ED"/>
    <w:rsid w:val="0058480D"/>
    <w:rsid w:val="00591747"/>
    <w:rsid w:val="00592C50"/>
    <w:rsid w:val="005A3877"/>
    <w:rsid w:val="005C2B01"/>
    <w:rsid w:val="005F667D"/>
    <w:rsid w:val="005F7CA3"/>
    <w:rsid w:val="0062277F"/>
    <w:rsid w:val="0064357B"/>
    <w:rsid w:val="00644B74"/>
    <w:rsid w:val="00662CA9"/>
    <w:rsid w:val="006763AF"/>
    <w:rsid w:val="00681963"/>
    <w:rsid w:val="00691CD0"/>
    <w:rsid w:val="00696CB2"/>
    <w:rsid w:val="006C72BA"/>
    <w:rsid w:val="00721E5E"/>
    <w:rsid w:val="0072212B"/>
    <w:rsid w:val="00730709"/>
    <w:rsid w:val="00741F15"/>
    <w:rsid w:val="00775D3B"/>
    <w:rsid w:val="00786EB6"/>
    <w:rsid w:val="007B3BF7"/>
    <w:rsid w:val="007B3C46"/>
    <w:rsid w:val="007B46DE"/>
    <w:rsid w:val="007B6E0A"/>
    <w:rsid w:val="007B6FF8"/>
    <w:rsid w:val="007C2EDF"/>
    <w:rsid w:val="007C6992"/>
    <w:rsid w:val="00807E9E"/>
    <w:rsid w:val="0081026A"/>
    <w:rsid w:val="00815038"/>
    <w:rsid w:val="00831FCB"/>
    <w:rsid w:val="008474A9"/>
    <w:rsid w:val="0085150D"/>
    <w:rsid w:val="00853820"/>
    <w:rsid w:val="0087233C"/>
    <w:rsid w:val="00883103"/>
    <w:rsid w:val="008A6ACC"/>
    <w:rsid w:val="008C5739"/>
    <w:rsid w:val="008D375B"/>
    <w:rsid w:val="008D5973"/>
    <w:rsid w:val="008E15C3"/>
    <w:rsid w:val="008E1B68"/>
    <w:rsid w:val="008E659A"/>
    <w:rsid w:val="008E65B2"/>
    <w:rsid w:val="00902398"/>
    <w:rsid w:val="00903769"/>
    <w:rsid w:val="00906AA3"/>
    <w:rsid w:val="009121AF"/>
    <w:rsid w:val="009157E6"/>
    <w:rsid w:val="00923F07"/>
    <w:rsid w:val="009240E1"/>
    <w:rsid w:val="0092750D"/>
    <w:rsid w:val="00945A74"/>
    <w:rsid w:val="00981011"/>
    <w:rsid w:val="00986682"/>
    <w:rsid w:val="009A77AA"/>
    <w:rsid w:val="009C34B1"/>
    <w:rsid w:val="009C59D1"/>
    <w:rsid w:val="009D5B50"/>
    <w:rsid w:val="00A152B3"/>
    <w:rsid w:val="00A212B2"/>
    <w:rsid w:val="00A36745"/>
    <w:rsid w:val="00A50F8F"/>
    <w:rsid w:val="00A63F65"/>
    <w:rsid w:val="00A96263"/>
    <w:rsid w:val="00AB1003"/>
    <w:rsid w:val="00AB35AF"/>
    <w:rsid w:val="00AC5574"/>
    <w:rsid w:val="00AD5381"/>
    <w:rsid w:val="00AE6348"/>
    <w:rsid w:val="00AF3A54"/>
    <w:rsid w:val="00B3516C"/>
    <w:rsid w:val="00B40BCD"/>
    <w:rsid w:val="00B52981"/>
    <w:rsid w:val="00B6065F"/>
    <w:rsid w:val="00B819F2"/>
    <w:rsid w:val="00BC50B0"/>
    <w:rsid w:val="00BF76C5"/>
    <w:rsid w:val="00C3653F"/>
    <w:rsid w:val="00C41E9C"/>
    <w:rsid w:val="00C54A1D"/>
    <w:rsid w:val="00C571E4"/>
    <w:rsid w:val="00CA62A2"/>
    <w:rsid w:val="00CA6984"/>
    <w:rsid w:val="00CC76C0"/>
    <w:rsid w:val="00CD54FB"/>
    <w:rsid w:val="00CE3E21"/>
    <w:rsid w:val="00CE4115"/>
    <w:rsid w:val="00CE6570"/>
    <w:rsid w:val="00CF1BC3"/>
    <w:rsid w:val="00CF759B"/>
    <w:rsid w:val="00D01FD5"/>
    <w:rsid w:val="00D156EB"/>
    <w:rsid w:val="00D16A16"/>
    <w:rsid w:val="00D22A46"/>
    <w:rsid w:val="00D44328"/>
    <w:rsid w:val="00D44F7D"/>
    <w:rsid w:val="00D47925"/>
    <w:rsid w:val="00D51283"/>
    <w:rsid w:val="00D57685"/>
    <w:rsid w:val="00D6319A"/>
    <w:rsid w:val="00D72861"/>
    <w:rsid w:val="00D757D7"/>
    <w:rsid w:val="00DA313C"/>
    <w:rsid w:val="00DA3BB0"/>
    <w:rsid w:val="00DB3DD1"/>
    <w:rsid w:val="00E00991"/>
    <w:rsid w:val="00E066CD"/>
    <w:rsid w:val="00E24ABF"/>
    <w:rsid w:val="00E474B4"/>
    <w:rsid w:val="00E643AD"/>
    <w:rsid w:val="00E77AE2"/>
    <w:rsid w:val="00E810A2"/>
    <w:rsid w:val="00E8510E"/>
    <w:rsid w:val="00EA5F38"/>
    <w:rsid w:val="00EB1769"/>
    <w:rsid w:val="00EB6FB4"/>
    <w:rsid w:val="00EC76D6"/>
    <w:rsid w:val="00ED097E"/>
    <w:rsid w:val="00EE14B6"/>
    <w:rsid w:val="00EF0C56"/>
    <w:rsid w:val="00F02119"/>
    <w:rsid w:val="00F211FF"/>
    <w:rsid w:val="00F217A1"/>
    <w:rsid w:val="00F30809"/>
    <w:rsid w:val="00F31488"/>
    <w:rsid w:val="00F32FDF"/>
    <w:rsid w:val="00F35727"/>
    <w:rsid w:val="00F42A79"/>
    <w:rsid w:val="00F476B4"/>
    <w:rsid w:val="00F71F49"/>
    <w:rsid w:val="00F76D34"/>
    <w:rsid w:val="00F80625"/>
    <w:rsid w:val="00FA01F1"/>
    <w:rsid w:val="00FB19B3"/>
    <w:rsid w:val="00FD5229"/>
    <w:rsid w:val="00FE022E"/>
    <w:rsid w:val="00FF7774"/>
    <w:rsid w:val="01DB4E09"/>
    <w:rsid w:val="027246E2"/>
    <w:rsid w:val="02734CE1"/>
    <w:rsid w:val="02832869"/>
    <w:rsid w:val="05361A74"/>
    <w:rsid w:val="056D277C"/>
    <w:rsid w:val="07CF206C"/>
    <w:rsid w:val="0A081A83"/>
    <w:rsid w:val="0B4D545C"/>
    <w:rsid w:val="0BFB6306"/>
    <w:rsid w:val="0F7230F6"/>
    <w:rsid w:val="0F84319C"/>
    <w:rsid w:val="106F3E5C"/>
    <w:rsid w:val="1145363C"/>
    <w:rsid w:val="12B91B6C"/>
    <w:rsid w:val="12F5314C"/>
    <w:rsid w:val="153E3968"/>
    <w:rsid w:val="176D4C6A"/>
    <w:rsid w:val="189B4B77"/>
    <w:rsid w:val="18C33745"/>
    <w:rsid w:val="196A1E12"/>
    <w:rsid w:val="19BD21C8"/>
    <w:rsid w:val="1BF65399"/>
    <w:rsid w:val="1C98532F"/>
    <w:rsid w:val="1CDF6673"/>
    <w:rsid w:val="1EEC25B2"/>
    <w:rsid w:val="1F7F17CC"/>
    <w:rsid w:val="1FCA4D36"/>
    <w:rsid w:val="207109C7"/>
    <w:rsid w:val="2200584F"/>
    <w:rsid w:val="22CA1B74"/>
    <w:rsid w:val="22D379AE"/>
    <w:rsid w:val="23A959C6"/>
    <w:rsid w:val="244D31DA"/>
    <w:rsid w:val="24B403E6"/>
    <w:rsid w:val="257F3613"/>
    <w:rsid w:val="25AD0C5F"/>
    <w:rsid w:val="26E31456"/>
    <w:rsid w:val="27356FBC"/>
    <w:rsid w:val="28000820"/>
    <w:rsid w:val="286E5AB1"/>
    <w:rsid w:val="2970544B"/>
    <w:rsid w:val="2A6C588E"/>
    <w:rsid w:val="2DCB7A40"/>
    <w:rsid w:val="2E112405"/>
    <w:rsid w:val="2F8976FA"/>
    <w:rsid w:val="3009470D"/>
    <w:rsid w:val="30701381"/>
    <w:rsid w:val="30FA25F9"/>
    <w:rsid w:val="32A37D5F"/>
    <w:rsid w:val="32F85074"/>
    <w:rsid w:val="347C5615"/>
    <w:rsid w:val="34E607A8"/>
    <w:rsid w:val="34F27787"/>
    <w:rsid w:val="36203B2D"/>
    <w:rsid w:val="366E5884"/>
    <w:rsid w:val="39A660D7"/>
    <w:rsid w:val="3B956369"/>
    <w:rsid w:val="3BD45910"/>
    <w:rsid w:val="3C9A1AB3"/>
    <w:rsid w:val="3CF1496B"/>
    <w:rsid w:val="3DE56DF0"/>
    <w:rsid w:val="3E595EB3"/>
    <w:rsid w:val="40281B4E"/>
    <w:rsid w:val="40A47108"/>
    <w:rsid w:val="4196652E"/>
    <w:rsid w:val="43887631"/>
    <w:rsid w:val="45FC17E8"/>
    <w:rsid w:val="472829CB"/>
    <w:rsid w:val="47946C79"/>
    <w:rsid w:val="480A445F"/>
    <w:rsid w:val="4874034C"/>
    <w:rsid w:val="49A52D8E"/>
    <w:rsid w:val="4A9B2FF4"/>
    <w:rsid w:val="4BF55088"/>
    <w:rsid w:val="4C834C4E"/>
    <w:rsid w:val="4CA74B19"/>
    <w:rsid w:val="4D6340AF"/>
    <w:rsid w:val="4EB27F29"/>
    <w:rsid w:val="4ED11D00"/>
    <w:rsid w:val="503E30D6"/>
    <w:rsid w:val="51473A69"/>
    <w:rsid w:val="51A4340C"/>
    <w:rsid w:val="53305B13"/>
    <w:rsid w:val="557D01FC"/>
    <w:rsid w:val="55AE6607"/>
    <w:rsid w:val="58497766"/>
    <w:rsid w:val="59872E02"/>
    <w:rsid w:val="5CCD5A41"/>
    <w:rsid w:val="5DE16A92"/>
    <w:rsid w:val="5DFA2CB2"/>
    <w:rsid w:val="5E5D0BCB"/>
    <w:rsid w:val="5E5F7277"/>
    <w:rsid w:val="5EB1133D"/>
    <w:rsid w:val="60C07D9F"/>
    <w:rsid w:val="61826B9A"/>
    <w:rsid w:val="62651949"/>
    <w:rsid w:val="64267CB1"/>
    <w:rsid w:val="64552010"/>
    <w:rsid w:val="658B3AF4"/>
    <w:rsid w:val="66342969"/>
    <w:rsid w:val="66613222"/>
    <w:rsid w:val="6701538B"/>
    <w:rsid w:val="670A0A37"/>
    <w:rsid w:val="68C2484E"/>
    <w:rsid w:val="690B7334"/>
    <w:rsid w:val="69704216"/>
    <w:rsid w:val="69F36887"/>
    <w:rsid w:val="6AB57FE0"/>
    <w:rsid w:val="6AD71041"/>
    <w:rsid w:val="6B82782D"/>
    <w:rsid w:val="6BDE0133"/>
    <w:rsid w:val="6C1C729A"/>
    <w:rsid w:val="6C523B4B"/>
    <w:rsid w:val="6C700663"/>
    <w:rsid w:val="6CDF1345"/>
    <w:rsid w:val="6E9E1034"/>
    <w:rsid w:val="6F3B2FB3"/>
    <w:rsid w:val="704D0532"/>
    <w:rsid w:val="70DF45B9"/>
    <w:rsid w:val="729002BE"/>
    <w:rsid w:val="72AC67BD"/>
    <w:rsid w:val="72B2653C"/>
    <w:rsid w:val="72F70512"/>
    <w:rsid w:val="74C512E5"/>
    <w:rsid w:val="763107CD"/>
    <w:rsid w:val="769D2054"/>
    <w:rsid w:val="76E36FF2"/>
    <w:rsid w:val="78210A63"/>
    <w:rsid w:val="7A7E66A8"/>
    <w:rsid w:val="7AFD3E6A"/>
    <w:rsid w:val="7C272341"/>
    <w:rsid w:val="7CE1366D"/>
    <w:rsid w:val="7E2862B6"/>
    <w:rsid w:val="7E6B2A38"/>
    <w:rsid w:val="7F626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200" w:firstLineChars="200"/>
      <w:jc w:val="both"/>
    </w:pPr>
    <w:rPr>
      <w:rFonts w:ascii="Times New Roman" w:hAnsi="Times New Roman" w:eastAsia="仿宋_GB2312" w:cstheme="minorBidi"/>
      <w:kern w:val="2"/>
      <w:sz w:val="32"/>
      <w:szCs w:val="21"/>
      <w:lang w:val="en-US" w:eastAsia="zh-CN" w:bidi="ar-SA"/>
    </w:rPr>
  </w:style>
  <w:style w:type="paragraph" w:styleId="2">
    <w:name w:val="heading 1"/>
    <w:basedOn w:val="1"/>
    <w:next w:val="1"/>
    <w:link w:val="29"/>
    <w:qFormat/>
    <w:uiPriority w:val="9"/>
    <w:pPr>
      <w:keepNext/>
      <w:keepLines/>
      <w:numPr>
        <w:ilvl w:val="0"/>
        <w:numId w:val="1"/>
      </w:numPr>
      <w:ind w:left="0" w:firstLine="200"/>
      <w:outlineLvl w:val="0"/>
    </w:pPr>
    <w:rPr>
      <w:rFonts w:eastAsia="黑体"/>
      <w:bCs/>
      <w:kern w:val="44"/>
      <w:szCs w:val="44"/>
    </w:rPr>
  </w:style>
  <w:style w:type="paragraph" w:styleId="3">
    <w:name w:val="heading 2"/>
    <w:basedOn w:val="1"/>
    <w:next w:val="1"/>
    <w:link w:val="30"/>
    <w:unhideWhenUsed/>
    <w:qFormat/>
    <w:uiPriority w:val="9"/>
    <w:pPr>
      <w:keepNext/>
      <w:keepLines/>
      <w:numPr>
        <w:ilvl w:val="1"/>
        <w:numId w:val="1"/>
      </w:numPr>
      <w:ind w:left="0" w:firstLine="200"/>
      <w:outlineLvl w:val="1"/>
    </w:pPr>
    <w:rPr>
      <w:rFonts w:eastAsia="楷体_GB2312" w:cstheme="majorBidi"/>
      <w:b/>
      <w:bCs/>
      <w:szCs w:val="32"/>
    </w:rPr>
  </w:style>
  <w:style w:type="paragraph" w:styleId="4">
    <w:name w:val="heading 3"/>
    <w:basedOn w:val="1"/>
    <w:next w:val="1"/>
    <w:link w:val="31"/>
    <w:unhideWhenUsed/>
    <w:qFormat/>
    <w:uiPriority w:val="9"/>
    <w:pPr>
      <w:keepNext/>
      <w:keepLines/>
      <w:numPr>
        <w:ilvl w:val="2"/>
        <w:numId w:val="1"/>
      </w:numPr>
      <w:ind w:left="0" w:firstLine="200"/>
      <w:outlineLvl w:val="2"/>
    </w:pPr>
    <w:rPr>
      <w:b/>
      <w:bCs/>
      <w:szCs w:val="32"/>
    </w:rPr>
  </w:style>
  <w:style w:type="paragraph" w:styleId="5">
    <w:name w:val="heading 4"/>
    <w:basedOn w:val="1"/>
    <w:next w:val="1"/>
    <w:link w:val="28"/>
    <w:unhideWhenUsed/>
    <w:qFormat/>
    <w:uiPriority w:val="9"/>
    <w:pPr>
      <w:keepNext/>
      <w:keepLines/>
      <w:numPr>
        <w:ilvl w:val="3"/>
        <w:numId w:val="1"/>
      </w:numPr>
      <w:ind w:left="0" w:firstLine="200"/>
      <w:outlineLvl w:val="3"/>
    </w:pPr>
    <w:rPr>
      <w:rFonts w:cstheme="majorBidi"/>
      <w:b/>
      <w:bCs/>
      <w:szCs w:val="28"/>
    </w:rPr>
  </w:style>
  <w:style w:type="paragraph" w:styleId="6">
    <w:name w:val="heading 5"/>
    <w:basedOn w:val="1"/>
    <w:next w:val="1"/>
    <w:link w:val="32"/>
    <w:unhideWhenUsed/>
    <w:qFormat/>
    <w:uiPriority w:val="9"/>
    <w:pPr>
      <w:keepNext/>
      <w:keepLines/>
      <w:numPr>
        <w:ilvl w:val="4"/>
        <w:numId w:val="1"/>
      </w:numPr>
      <w:ind w:left="0" w:firstLine="200"/>
      <w:outlineLvl w:val="4"/>
    </w:pPr>
    <w:rPr>
      <w:bCs/>
      <w:szCs w:val="28"/>
    </w:rPr>
  </w:style>
  <w:style w:type="paragraph" w:styleId="7">
    <w:name w:val="heading 6"/>
    <w:basedOn w:val="1"/>
    <w:next w:val="1"/>
    <w:link w:val="25"/>
    <w:unhideWhenUsed/>
    <w:qFormat/>
    <w:uiPriority w:val="9"/>
    <w:pPr>
      <w:keepNext/>
      <w:keepLines/>
      <w:numPr>
        <w:ilvl w:val="5"/>
        <w:numId w:val="1"/>
      </w:numPr>
      <w:ind w:left="0" w:firstLine="200"/>
      <w:outlineLvl w:val="5"/>
    </w:pPr>
    <w:rPr>
      <w:rFonts w:cstheme="majorBidi"/>
      <w:bCs/>
      <w:szCs w:val="24"/>
    </w:rPr>
  </w:style>
  <w:style w:type="paragraph" w:styleId="8">
    <w:name w:val="heading 7"/>
    <w:basedOn w:val="1"/>
    <w:next w:val="1"/>
    <w:link w:val="33"/>
    <w:unhideWhenUsed/>
    <w:qFormat/>
    <w:uiPriority w:val="9"/>
    <w:pPr>
      <w:keepNext/>
      <w:keepLines/>
      <w:numPr>
        <w:ilvl w:val="6"/>
        <w:numId w:val="1"/>
      </w:numPr>
      <w:ind w:left="0" w:firstLine="200"/>
      <w:outlineLvl w:val="6"/>
    </w:pPr>
    <w:rPr>
      <w:bCs/>
      <w:sz w:val="30"/>
      <w:szCs w:val="24"/>
    </w:rPr>
  </w:style>
  <w:style w:type="paragraph" w:styleId="9">
    <w:name w:val="heading 8"/>
    <w:basedOn w:val="1"/>
    <w:next w:val="1"/>
    <w:link w:val="34"/>
    <w:unhideWhenUsed/>
    <w:qFormat/>
    <w:uiPriority w:val="9"/>
    <w:pPr>
      <w:keepNext/>
      <w:keepLines/>
      <w:numPr>
        <w:ilvl w:val="7"/>
        <w:numId w:val="1"/>
      </w:numPr>
      <w:spacing w:before="240" w:after="64" w:line="320" w:lineRule="auto"/>
      <w:outlineLvl w:val="7"/>
    </w:pPr>
    <w:rPr>
      <w:rFonts w:asciiTheme="majorHAnsi" w:hAnsiTheme="majorHAnsi" w:cstheme="majorBidi"/>
      <w:sz w:val="30"/>
      <w:szCs w:val="24"/>
    </w:rPr>
  </w:style>
  <w:style w:type="paragraph" w:styleId="10">
    <w:name w:val="heading 9"/>
    <w:basedOn w:val="1"/>
    <w:next w:val="1"/>
    <w:link w:val="35"/>
    <w:unhideWhenUsed/>
    <w:qFormat/>
    <w:uiPriority w:val="9"/>
    <w:pPr>
      <w:keepNext/>
      <w:keepLines/>
      <w:numPr>
        <w:ilvl w:val="8"/>
        <w:numId w:val="1"/>
      </w:numPr>
      <w:spacing w:before="240" w:after="64" w:line="320" w:lineRule="auto"/>
      <w:outlineLvl w:val="8"/>
    </w:pPr>
    <w:rPr>
      <w:rFonts w:asciiTheme="majorHAnsi" w:hAnsiTheme="majorHAnsi" w:cstheme="majorBidi"/>
      <w:sz w:val="30"/>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pPr>
      <w:jc w:val="center"/>
    </w:pPr>
    <w:rPr>
      <w:rFonts w:eastAsia="黑体" w:asciiTheme="majorHAnsi" w:hAnsiTheme="majorHAnsi" w:cstheme="majorBidi"/>
      <w:sz w:val="30"/>
      <w:szCs w:val="20"/>
    </w:rPr>
  </w:style>
  <w:style w:type="paragraph" w:styleId="12">
    <w:name w:val="annotation text"/>
    <w:basedOn w:val="1"/>
    <w:link w:val="41"/>
    <w:unhideWhenUsed/>
    <w:qFormat/>
    <w:uiPriority w:val="99"/>
    <w:pPr>
      <w:jc w:val="left"/>
    </w:pPr>
  </w:style>
  <w:style w:type="paragraph" w:styleId="13">
    <w:name w:val="Balloon Text"/>
    <w:basedOn w:val="1"/>
    <w:link w:val="36"/>
    <w:semiHidden/>
    <w:unhideWhenUsed/>
    <w:qFormat/>
    <w:uiPriority w:val="99"/>
    <w:pPr>
      <w:spacing w:line="240" w:lineRule="auto"/>
    </w:pPr>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40"/>
    <w:qFormat/>
    <w:uiPriority w:val="11"/>
    <w:pPr>
      <w:spacing w:before="240" w:after="60" w:line="312" w:lineRule="atLeast"/>
      <w:jc w:val="center"/>
      <w:outlineLvl w:val="1"/>
    </w:pPr>
    <w:rPr>
      <w:rFonts w:eastAsia="黑体" w:asciiTheme="minorHAnsi" w:hAnsiTheme="minorHAnsi"/>
      <w:bCs/>
      <w:kern w:val="28"/>
      <w:szCs w:val="32"/>
    </w:rPr>
  </w:style>
  <w:style w:type="paragraph" w:styleId="17">
    <w:name w:val="Normal (Web)"/>
    <w:basedOn w:val="1"/>
    <w:semiHidden/>
    <w:unhideWhenUsed/>
    <w:qFormat/>
    <w:uiPriority w:val="99"/>
    <w:pPr>
      <w:spacing w:beforeAutospacing="1" w:afterAutospacing="1"/>
      <w:jc w:val="left"/>
    </w:pPr>
    <w:rPr>
      <w:rFonts w:cs="Times New Roman"/>
      <w:kern w:val="0"/>
      <w:sz w:val="24"/>
    </w:rPr>
  </w:style>
  <w:style w:type="paragraph" w:styleId="18">
    <w:name w:val="Title"/>
    <w:basedOn w:val="1"/>
    <w:next w:val="1"/>
    <w:link w:val="39"/>
    <w:qFormat/>
    <w:uiPriority w:val="10"/>
    <w:pPr>
      <w:ind w:firstLine="0" w:firstLineChars="0"/>
      <w:jc w:val="center"/>
      <w:outlineLvl w:val="0"/>
    </w:pPr>
    <w:rPr>
      <w:rFonts w:eastAsia="方正小标宋_GBK" w:cstheme="majorBidi"/>
      <w:bCs/>
      <w:sz w:val="44"/>
      <w:szCs w:val="32"/>
    </w:rPr>
  </w:style>
  <w:style w:type="paragraph" w:styleId="19">
    <w:name w:val="annotation subject"/>
    <w:basedOn w:val="12"/>
    <w:next w:val="12"/>
    <w:link w:val="42"/>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000FF" w:themeColor="hyperlink"/>
      <w:u w:val="single"/>
      <w14:textFill>
        <w14:solidFill>
          <w14:schemeClr w14:val="hlink"/>
        </w14:solidFill>
      </w14:textFill>
    </w:rPr>
  </w:style>
  <w:style w:type="character" w:styleId="24">
    <w:name w:val="annotation reference"/>
    <w:basedOn w:val="22"/>
    <w:semiHidden/>
    <w:unhideWhenUsed/>
    <w:qFormat/>
    <w:uiPriority w:val="99"/>
    <w:rPr>
      <w:sz w:val="21"/>
      <w:szCs w:val="21"/>
    </w:rPr>
  </w:style>
  <w:style w:type="character" w:customStyle="1" w:styleId="25">
    <w:name w:val="标题 6 字符"/>
    <w:basedOn w:val="22"/>
    <w:link w:val="7"/>
    <w:qFormat/>
    <w:uiPriority w:val="9"/>
    <w:rPr>
      <w:rFonts w:ascii="Times New Roman" w:hAnsi="Times New Roman" w:eastAsia="仿宋_GB2312" w:cstheme="majorBidi"/>
      <w:bCs/>
      <w:sz w:val="32"/>
      <w:szCs w:val="24"/>
    </w:rPr>
  </w:style>
  <w:style w:type="character" w:customStyle="1" w:styleId="26">
    <w:name w:val="页眉 字符"/>
    <w:basedOn w:val="22"/>
    <w:link w:val="15"/>
    <w:qFormat/>
    <w:uiPriority w:val="99"/>
    <w:rPr>
      <w:sz w:val="18"/>
      <w:szCs w:val="18"/>
    </w:rPr>
  </w:style>
  <w:style w:type="character" w:customStyle="1" w:styleId="27">
    <w:name w:val="页脚 字符"/>
    <w:basedOn w:val="22"/>
    <w:link w:val="14"/>
    <w:qFormat/>
    <w:uiPriority w:val="99"/>
    <w:rPr>
      <w:sz w:val="18"/>
      <w:szCs w:val="18"/>
    </w:rPr>
  </w:style>
  <w:style w:type="character" w:customStyle="1" w:styleId="28">
    <w:name w:val="标题 4 字符"/>
    <w:basedOn w:val="22"/>
    <w:link w:val="5"/>
    <w:qFormat/>
    <w:uiPriority w:val="9"/>
    <w:rPr>
      <w:rFonts w:ascii="Times New Roman" w:hAnsi="Times New Roman" w:eastAsia="仿宋_GB2312" w:cstheme="majorBidi"/>
      <w:b/>
      <w:bCs/>
      <w:sz w:val="32"/>
      <w:szCs w:val="28"/>
    </w:rPr>
  </w:style>
  <w:style w:type="character" w:customStyle="1" w:styleId="29">
    <w:name w:val="标题 1 字符"/>
    <w:basedOn w:val="22"/>
    <w:link w:val="2"/>
    <w:qFormat/>
    <w:uiPriority w:val="9"/>
    <w:rPr>
      <w:rFonts w:ascii="Times New Roman" w:hAnsi="Times New Roman" w:eastAsia="黑体"/>
      <w:bCs/>
      <w:kern w:val="44"/>
      <w:sz w:val="32"/>
      <w:szCs w:val="44"/>
    </w:rPr>
  </w:style>
  <w:style w:type="character" w:customStyle="1" w:styleId="30">
    <w:name w:val="标题 2 字符"/>
    <w:basedOn w:val="22"/>
    <w:link w:val="3"/>
    <w:qFormat/>
    <w:uiPriority w:val="9"/>
    <w:rPr>
      <w:rFonts w:ascii="Times New Roman" w:hAnsi="Times New Roman" w:eastAsia="楷体_GB2312" w:cstheme="majorBidi"/>
      <w:b/>
      <w:bCs/>
      <w:sz w:val="32"/>
      <w:szCs w:val="32"/>
    </w:rPr>
  </w:style>
  <w:style w:type="character" w:customStyle="1" w:styleId="31">
    <w:name w:val="标题 3 字符"/>
    <w:basedOn w:val="22"/>
    <w:link w:val="4"/>
    <w:qFormat/>
    <w:uiPriority w:val="9"/>
    <w:rPr>
      <w:rFonts w:ascii="Times New Roman" w:hAnsi="Times New Roman" w:eastAsia="仿宋_GB2312"/>
      <w:b/>
      <w:bCs/>
      <w:sz w:val="32"/>
      <w:szCs w:val="32"/>
    </w:rPr>
  </w:style>
  <w:style w:type="character" w:customStyle="1" w:styleId="32">
    <w:name w:val="标题 5 字符"/>
    <w:basedOn w:val="22"/>
    <w:link w:val="6"/>
    <w:qFormat/>
    <w:uiPriority w:val="9"/>
    <w:rPr>
      <w:rFonts w:ascii="Times New Roman" w:hAnsi="Times New Roman" w:eastAsia="仿宋_GB2312"/>
      <w:bCs/>
      <w:sz w:val="32"/>
      <w:szCs w:val="28"/>
    </w:rPr>
  </w:style>
  <w:style w:type="character" w:customStyle="1" w:styleId="33">
    <w:name w:val="标题 7 字符"/>
    <w:basedOn w:val="22"/>
    <w:link w:val="8"/>
    <w:qFormat/>
    <w:uiPriority w:val="9"/>
    <w:rPr>
      <w:rFonts w:ascii="Times New Roman" w:hAnsi="Times New Roman" w:eastAsia="仿宋_GB2312"/>
      <w:bCs/>
      <w:sz w:val="30"/>
      <w:szCs w:val="24"/>
    </w:rPr>
  </w:style>
  <w:style w:type="character" w:customStyle="1" w:styleId="34">
    <w:name w:val="标题 8 字符"/>
    <w:basedOn w:val="22"/>
    <w:link w:val="9"/>
    <w:qFormat/>
    <w:uiPriority w:val="9"/>
    <w:rPr>
      <w:rFonts w:eastAsia="仿宋_GB2312" w:asciiTheme="majorHAnsi" w:hAnsiTheme="majorHAnsi" w:cstheme="majorBidi"/>
      <w:sz w:val="30"/>
      <w:szCs w:val="24"/>
    </w:rPr>
  </w:style>
  <w:style w:type="character" w:customStyle="1" w:styleId="35">
    <w:name w:val="标题 9 字符"/>
    <w:basedOn w:val="22"/>
    <w:link w:val="10"/>
    <w:qFormat/>
    <w:uiPriority w:val="9"/>
    <w:rPr>
      <w:rFonts w:eastAsia="仿宋_GB2312" w:asciiTheme="majorHAnsi" w:hAnsiTheme="majorHAnsi" w:cstheme="majorBidi"/>
      <w:sz w:val="30"/>
    </w:rPr>
  </w:style>
  <w:style w:type="character" w:customStyle="1" w:styleId="36">
    <w:name w:val="批注框文本 字符"/>
    <w:basedOn w:val="22"/>
    <w:link w:val="13"/>
    <w:semiHidden/>
    <w:qFormat/>
    <w:uiPriority w:val="99"/>
    <w:rPr>
      <w:sz w:val="18"/>
      <w:szCs w:val="18"/>
    </w:rPr>
  </w:style>
  <w:style w:type="paragraph" w:styleId="37">
    <w:name w:val="List Paragraph"/>
    <w:basedOn w:val="1"/>
    <w:qFormat/>
    <w:uiPriority w:val="34"/>
    <w:pPr>
      <w:ind w:firstLine="420"/>
    </w:pPr>
  </w:style>
  <w:style w:type="character" w:customStyle="1" w:styleId="38">
    <w:name w:val="书籍标题1"/>
    <w:basedOn w:val="22"/>
    <w:qFormat/>
    <w:uiPriority w:val="33"/>
    <w:rPr>
      <w:b/>
      <w:bCs/>
      <w:i/>
      <w:iCs/>
      <w:spacing w:val="5"/>
    </w:rPr>
  </w:style>
  <w:style w:type="character" w:customStyle="1" w:styleId="39">
    <w:name w:val="标题 字符"/>
    <w:basedOn w:val="22"/>
    <w:link w:val="18"/>
    <w:qFormat/>
    <w:uiPriority w:val="10"/>
    <w:rPr>
      <w:rFonts w:ascii="Times New Roman" w:hAnsi="Times New Roman" w:eastAsia="方正小标宋_GBK" w:cstheme="majorBidi"/>
      <w:bCs/>
      <w:sz w:val="44"/>
      <w:szCs w:val="32"/>
    </w:rPr>
  </w:style>
  <w:style w:type="character" w:customStyle="1" w:styleId="40">
    <w:name w:val="副标题 字符"/>
    <w:basedOn w:val="22"/>
    <w:link w:val="16"/>
    <w:qFormat/>
    <w:uiPriority w:val="11"/>
    <w:rPr>
      <w:rFonts w:eastAsia="黑体"/>
      <w:bCs/>
      <w:kern w:val="28"/>
      <w:sz w:val="32"/>
      <w:szCs w:val="32"/>
    </w:rPr>
  </w:style>
  <w:style w:type="character" w:customStyle="1" w:styleId="41">
    <w:name w:val="批注文字 字符"/>
    <w:basedOn w:val="22"/>
    <w:link w:val="12"/>
    <w:qFormat/>
    <w:uiPriority w:val="99"/>
    <w:rPr>
      <w:rFonts w:eastAsia="仿宋_GB2312" w:cstheme="minorBidi"/>
      <w:kern w:val="2"/>
      <w:sz w:val="32"/>
      <w:szCs w:val="21"/>
    </w:rPr>
  </w:style>
  <w:style w:type="character" w:customStyle="1" w:styleId="42">
    <w:name w:val="批注主题 字符"/>
    <w:basedOn w:val="41"/>
    <w:link w:val="19"/>
    <w:semiHidden/>
    <w:qFormat/>
    <w:uiPriority w:val="99"/>
    <w:rPr>
      <w:rFonts w:eastAsia="仿宋_GB2312" w:cstheme="minorBidi"/>
      <w:b/>
      <w:bCs/>
      <w:kern w:val="2"/>
      <w:sz w:val="32"/>
      <w:szCs w:val="21"/>
    </w:rPr>
  </w:style>
  <w:style w:type="paragraph" w:customStyle="1" w:styleId="43">
    <w:name w:val="修订1"/>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44">
    <w:name w:val="修订2"/>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45">
    <w:name w:val="修订3"/>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46">
    <w:name w:val="修订4"/>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47">
    <w:name w:val="修订5"/>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48">
    <w:name w:val="修订6"/>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49">
    <w:name w:val="修订7"/>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50">
    <w:name w:val="修订8"/>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51">
    <w:name w:val="修订9"/>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52">
    <w:name w:val="Revision"/>
    <w:hidden/>
    <w:unhideWhenUsed/>
    <w:uiPriority w:val="99"/>
    <w:rPr>
      <w:rFonts w:ascii="Times New Roman" w:hAnsi="Times New Roman" w:eastAsia="仿宋_GB2312" w:cstheme="minorBidi"/>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3ac85e1b-141b-4c98-a00c-e11f65bc0ae2</errorID>
      <errorWord>亟需进行</errorWord>
      <group>L1_Word</group>
      <groupName>字词问题</groupName>
      <ability>L2_Typo</ability>
      <abilityName>字词错误</abilityName>
      <candidateList>
        <item>亟须进行</item>
      </candidateList>
      <explain/>
      <paraID>438E6C93</paraID>
      <start>100</start>
      <end>104</end>
      <status>unmodified</status>
      <modifiedWord/>
      <trackRevisions>false</trackRevisions>
    </reviewItem>
    <reviewItem>
      <errorID>fd6a282b-8f73-409c-8ea7-40180c550000</errorID>
      <errorWord>亟需进行</errorWord>
      <group>L1_Word</group>
      <groupName>字词问题</groupName>
      <ability>L2_Typo</ability>
      <abilityName>字词错误</abilityName>
      <candidateList>
        <item>亟须进行</item>
      </candidateList>
      <explain/>
      <paraID>438E6C93</paraID>
      <start>130</start>
      <end>134</end>
      <status>unmodified</status>
      <modifiedWord/>
      <trackRevisions>false</trackRevisions>
    </reviewItem>
    <reviewItem>
      <errorID>16f0b7bb-88d3-4ee0-80c5-692018a9d315</errorID>
      <errorWord>，</errorWord>
      <group>L1_Word</group>
      <groupName>字词问题</groupName>
      <ability>L2_Typo</ability>
      <abilityName>字词错误</abilityName>
      <candidateList>
        <item>，第</item>
      </candidateList>
      <explain/>
      <paraID>667EB376</paraID>
      <start>110</start>
      <end>111</end>
      <status>ignored</status>
      <modifiedWord/>
      <trackRevisions>false</trackRevisions>
    </reviewItem>
    <reviewItem>
      <errorID>c6b7c7cd-407d-4d0b-8b8f-271eff88b3b7</errorID>
      <errorWord>计费</errorWord>
      <group>L1_Word</group>
      <groupName>字词问题</groupName>
      <ability>L2_Typo</ability>
      <abilityName>字词错误</abilityName>
      <candidateList>
        <item>费</item>
      </candidateList>
      <explain/>
      <paraID>1E325EED</paraID>
      <start>103</start>
      <end>106</end>
      <status>modified</status>
      <modifiedWord>费</modifiedWord>
      <trackRevisions>true</trackRevisions>
    </reviewItem>
    <reviewItem>
      <errorID>845f5cab-dca1-4e9f-af1e-ca51702d46b0</errorID>
      <errorWord>取费</errorWord>
      <group>L1_Word</group>
      <groupName>字词问题</groupName>
      <ability>L2_Typo</ability>
      <abilityName>字词错误</abilityName>
      <candidateList>
        <item>经费</item>
      </candidateList>
      <explain/>
      <paraID>48253A64</paraID>
      <start>41</start>
      <end>43</end>
      <status>unmodified</status>
      <modifiedWord/>
      <trackRevisions>false</trackRevisions>
    </reviewItem>
  </reviewItems>
  <config/>
</contractReview>
</file>

<file path=customXml/itemProps1.xml><?xml version="1.0" encoding="utf-8"?>
<ds:datastoreItem xmlns:ds="http://schemas.openxmlformats.org/officeDocument/2006/customXml" ds:itemID="{B421B791-6F28-4AF2-90EA-46B30A9193EB}">
  <ds:schemaRefs/>
</ds:datastoreItem>
</file>

<file path=customXml/itemProps2.xml><?xml version="1.0" encoding="utf-8"?>
<ds:datastoreItem xmlns:ds="http://schemas.openxmlformats.org/officeDocument/2006/customXml" ds:itemID="{FF1A22FB-B2AB-4105-966A-B171E1A70183}">
  <ds:schemaRefs/>
</ds:datastoreItem>
</file>

<file path=docProps/app.xml><?xml version="1.0" encoding="utf-8"?>
<Properties xmlns="http://schemas.openxmlformats.org/officeDocument/2006/extended-properties" xmlns:vt="http://schemas.openxmlformats.org/officeDocument/2006/docPropsVTypes">
  <Template>Normal</Template>
  <Pages>12</Pages>
  <Words>5747</Words>
  <Characters>5830</Characters>
  <Lines>1</Lines>
  <Paragraphs>11</Paragraphs>
  <TotalTime>1</TotalTime>
  <ScaleCrop>false</ScaleCrop>
  <LinksUpToDate>false</LinksUpToDate>
  <CharactersWithSpaces>5832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2026-01-16T11:50:00Z</dcterms:created>
  <dc:creator>Administrator</dc:creator>
  <cp:lastModifiedBy>One2three.</cp:lastModifiedBy>
  <cp:lastPrinted>2023-09-04T06:51:00Z</cp:lastPrinted>
  <dcterms:modified xsi:type="dcterms:W3CDTF">2026-01-21T01:55:47Z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eyJoZGlkIjoiYTk2ZWI4NzRiODBkOWQ2MTA4ZDk4MWFjM2JjMzU3MmEiLCJ1c2VySWQiOiI0MjEyMTQ1NTUifQ==</vt:lpwstr>
  </property>
  <property fmtid="{D5CDD505-2E9C-101B-9397-08002B2CF9AE}" pid="3" name="KSOProductBuildVer">
    <vt:lpwstr>2052-12.1.0.24657</vt:lpwstr>
  </property>
  <property fmtid="{D5CDD505-2E9C-101B-9397-08002B2CF9AE}" pid="4" name="ICV">
    <vt:lpwstr>45A8F00409C14A2E870C1AB5085114A5_13</vt:lpwstr>
  </property>
</Properties>
</file>