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360" w:lineRule="auto"/>
        <w:jc w:val="left"/>
        <w:outlineLvl w:val="1"/>
        <w:rPr>
          <w:rFonts w:ascii="黑体" w:hAnsi="仿宋" w:eastAsia="黑体"/>
          <w:bCs/>
          <w:kern w:val="0"/>
        </w:rPr>
      </w:pPr>
      <w:bookmarkStart w:id="1" w:name="_GoBack"/>
      <w:bookmarkEnd w:id="1"/>
      <w:bookmarkStart w:id="0" w:name="_Toc463778243"/>
      <w:r>
        <w:rPr>
          <w:rFonts w:ascii="黑体" w:hAnsi="仿宋" w:eastAsia="黑体"/>
          <w:bCs/>
          <w:kern w:val="0"/>
        </w:rPr>
        <w:t>附件</w:t>
      </w:r>
      <w:bookmarkEnd w:id="0"/>
      <w:r>
        <w:rPr>
          <w:rFonts w:hint="eastAsia" w:ascii="黑体" w:hAnsi="仿宋" w:eastAsia="黑体"/>
          <w:bCs/>
          <w:kern w:val="0"/>
          <w:lang w:val="en-US" w:eastAsia="zh-CN"/>
        </w:rPr>
        <w:t>1</w:t>
      </w:r>
    </w:p>
    <w:p>
      <w:pPr>
        <w:spacing w:after="217" w:afterLines="50"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深圳市202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sz w:val="44"/>
          <w:szCs w:val="44"/>
        </w:rPr>
        <w:t>年重大项目申报条件</w:t>
      </w:r>
    </w:p>
    <w:tbl>
      <w:tblPr>
        <w:tblStyle w:val="5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9"/>
        <w:gridCol w:w="454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8" w:type="pc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718" w:type="pc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行业分类</w:t>
            </w: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包含领域</w:t>
            </w:r>
          </w:p>
        </w:tc>
        <w:tc>
          <w:tcPr>
            <w:tcW w:w="946" w:type="pc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现代产业项目</w:t>
            </w:r>
          </w:p>
        </w:tc>
        <w:tc>
          <w:tcPr>
            <w:tcW w:w="718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战略性新兴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产业和未来</w:t>
            </w:r>
            <w:r>
              <w:rPr>
                <w:rFonts w:hint="eastAsia"/>
                <w:kern w:val="0"/>
                <w:sz w:val="24"/>
                <w:szCs w:val="24"/>
              </w:rPr>
              <w:t>产业</w:t>
            </w: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网络与通信产业、半导体与集成电路产业、超高清视频显示产业、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智能终端产业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智能传感器产业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软件与信息服务产业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数字创意产业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现代时尚产业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工业母机产业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智能机器人产业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激光与增材制造产业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精密仪器设备产业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新能源产业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安全节能环保产业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智能网联汽车产业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新材料产业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高端医疗器械产业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生物医药产业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大健康产业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海洋产业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946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原则上要求总投资1亿元及以上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合成生物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区块链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细胞与基因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空天技术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脑科学与类脑智能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深地深海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可见光通信与光计算</w:t>
            </w:r>
            <w:r>
              <w:rPr>
                <w:rFonts w:hint="eastAsia" w:hAnsi="Times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" w:eastAsia="仿宋_GB2312" w:cs="Times New Roman"/>
                <w:b w:val="0"/>
                <w:bCs w:val="0"/>
                <w:kern w:val="0"/>
                <w:sz w:val="24"/>
                <w:szCs w:val="24"/>
              </w:rPr>
              <w:t>量子信息</w:t>
            </w:r>
            <w:r>
              <w:rPr>
                <w:rFonts w:hint="eastAsia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重大科技基础设施、基础研究机构、诺贝尔奖科学家实验室、制造业创新中心、生产性服务业公共服务平台、“双创”示范基地等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先进制造业和优势传统产业</w:t>
            </w: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航空航天、海工装备、汽车零部件、汽车电子、精细化工、芯片制造、光电显示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汽车整车、船舶制造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黄金珠宝、钟表、服装、眼镜、家具等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现代服务业</w:t>
            </w: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旅游、商贸会展、现代物流业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现代金融、软件和信息服务业、科学研究和技术服务业、租赁和商务服务业、专业服务业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总部经济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基础设施项目</w:t>
            </w:r>
          </w:p>
        </w:tc>
        <w:tc>
          <w:tcPr>
            <w:tcW w:w="718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轨道交通</w:t>
            </w: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国家铁路、城际和城市轨道交通</w:t>
            </w:r>
          </w:p>
        </w:tc>
        <w:tc>
          <w:tcPr>
            <w:tcW w:w="946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原则上要求总投资1亿元及以上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综合交通枢纽及配套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中小运量轨道交通系统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道路机场港口</w:t>
            </w: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新建、改扩建机场，万吨级集装箱专用码头、年吞吐量200万吨的散货码头、年旅客通过能力500万人次以上的客运码头，通行10万吨级以上船只的新建航道及航道整治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城市高快速路网、干线性主干道、国道、省道等道路工程，重要过境口岸、全市性综合交通枢纽场站，跨境、跨区域和城市的重要桥梁及隧道工程</w:t>
            </w:r>
          </w:p>
        </w:tc>
        <w:tc>
          <w:tcPr>
            <w:tcW w:w="946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原则上要求总投资1亿元及以上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城市安全环境资源</w:t>
            </w: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公共安全工程项目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石油和天然气的接收、储存、输送工程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电厂、输变电建设工程和电网改造工程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废物再利用和资源化项目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河流整治、污水处理厂及其配套管网、截污和排水管网、水库、水厂、引水工程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可再生能源利用和开发（风能、太阳能、水能、生物质能、海洋能等非化石能源）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生活垃圾处理项目、余泥渣土受纳场项目、海绵城市项目、综合管廊项目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民生改善项目</w:t>
            </w:r>
          </w:p>
        </w:tc>
        <w:tc>
          <w:tcPr>
            <w:tcW w:w="718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社会民生</w:t>
            </w:r>
          </w:p>
        </w:tc>
        <w:tc>
          <w:tcPr>
            <w:tcW w:w="2615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医疗、卫生、教育、民政、气象、文体、公园</w:t>
            </w:r>
          </w:p>
        </w:tc>
        <w:tc>
          <w:tcPr>
            <w:tcW w:w="946" w:type="pct"/>
            <w:vMerge w:val="restar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社会民生类项目，原则上要求总投资5000万元及以上；城市更新类项目，原则上要求总投资1亿元及以上、完成实施主体确认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人才住房和保障性住房（纯安居工程项目）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电信网、广播电视网、互联网</w:t>
            </w:r>
            <w:r>
              <w:rPr>
                <w:rFonts w:hint="eastAsia"/>
                <w:kern w:val="0"/>
                <w:sz w:val="24"/>
                <w:szCs w:val="24"/>
              </w:rPr>
              <w:t>建设及升级改造，三网融合工程，有利于提高</w:t>
            </w:r>
            <w:r>
              <w:rPr>
                <w:kern w:val="0"/>
                <w:sz w:val="24"/>
                <w:szCs w:val="24"/>
              </w:rPr>
              <w:t>公共服务</w:t>
            </w:r>
            <w:r>
              <w:rPr>
                <w:rFonts w:hint="eastAsia"/>
                <w:kern w:val="0"/>
                <w:sz w:val="24"/>
                <w:szCs w:val="24"/>
              </w:rPr>
              <w:t>水平的智慧应用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718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城市更新</w:t>
            </w:r>
          </w:p>
        </w:tc>
        <w:tc>
          <w:tcPr>
            <w:tcW w:w="2615" w:type="pct"/>
            <w:vAlign w:val="center"/>
          </w:tcPr>
          <w:p>
            <w:pPr>
              <w:spacing w:before="100" w:beforeAutospacing="1" w:after="100" w:afterAutospacing="1" w:line="3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符合《深圳市城市更新办法》和《深圳市城市更新办法实施细则》有关规定，且已列入深圳市城市更新单元计划并完成实施主体确认、拟拆除重建用地面积3万平方米以上的城市更新建设项目。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51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 [UKWN]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 [UKWN]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70815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ins w:id="0" w:author="root" w:date="2022-09-19T03:25:55Z">
      <w:r>
        <w:rPr>
          <w:sz w:val="18"/>
        </w:rPr>
        <w:pict>
          <v:shape id="PowerPlusWaterMarkObject7629875" o:spid="_x0000_s2066" o:spt="136" type="#_x0000_t136" style="position:absolute;left:0pt;margin-left:501.9pt;margin-top:483.35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2" w:author="root" w:date="2022-09-19T03:25:55Z">
      <w:r>
        <w:rPr>
          <w:sz w:val="18"/>
        </w:rPr>
        <w:pict>
          <v:shape id="PowerPlusWaterMarkObject6748930" o:spid="_x0000_s2065" o:spt="136" type="#_x0000_t136" style="position:absolute;left:0pt;margin-left:299.65pt;margin-top:685.55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4" w:author="root" w:date="2022-09-19T03:25:55Z">
      <w:r>
        <w:rPr>
          <w:sz w:val="18"/>
        </w:rPr>
        <w:pict>
          <v:shape id="PowerPlusWaterMarkObject6442011" o:spid="_x0000_s2064" o:spt="136" type="#_x0000_t136" style="position:absolute;left:0pt;margin-left:501.9pt;margin-top:278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6" w:author="root" w:date="2022-09-19T03:25:55Z">
      <w:r>
        <w:rPr>
          <w:sz w:val="18"/>
        </w:rPr>
        <w:pict>
          <v:shape id="PowerPlusWaterMarkObject5574221" o:spid="_x0000_s2063" o:spt="136" type="#_x0000_t136" style="position:absolute;left:0pt;margin-left:299.65pt;margin-top:480.25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8" w:author="root" w:date="2022-09-19T03:25:55Z">
      <w:r>
        <w:rPr>
          <w:sz w:val="18"/>
        </w:rPr>
        <w:pict>
          <v:shape id="PowerPlusWaterMarkObject5419016" o:spid="_x0000_s2062" o:spt="136" type="#_x0000_t136" style="position:absolute;left:0pt;margin-left:97.45pt;margin-top:682.5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10" w:author="root" w:date="2022-09-19T03:25:55Z">
      <w:r>
        <w:rPr>
          <w:sz w:val="18"/>
        </w:rPr>
        <w:pict>
          <v:shape id="PowerPlusWaterMarkObject5198484" o:spid="_x0000_s2061" o:spt="136" type="#_x0000_t136" style="position:absolute;left:0pt;margin-left:501.9pt;margin-top:72.7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12" w:author="root" w:date="2022-09-19T03:25:55Z">
      <w:r>
        <w:rPr>
          <w:sz w:val="18"/>
        </w:rPr>
        <w:pict>
          <v:shape id="PowerPlusWaterMarkObject4782389" o:spid="_x0000_s2060" o:spt="136" type="#_x0000_t136" style="position:absolute;left:0pt;margin-left:299.65pt;margin-top:274.95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14" w:author="root" w:date="2022-09-19T03:25:55Z">
      <w:r>
        <w:rPr>
          <w:sz w:val="18"/>
        </w:rPr>
        <w:pict>
          <v:shape id="PowerPlusWaterMarkObject4678861" o:spid="_x0000_s2059" o:spt="136" type="#_x0000_t136" style="position:absolute;left:0pt;margin-left:97.45pt;margin-top:477.15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16" w:author="root" w:date="2022-09-19T03:25:55Z">
      <w:r>
        <w:rPr>
          <w:sz w:val="18"/>
        </w:rPr>
        <w:pict>
          <v:shape id="PowerPlusWaterMarkObject3944641" o:spid="_x0000_s2058" o:spt="136" type="#_x0000_t136" style="position:absolute;left:0pt;margin-left:-104.8pt;margin-top:679.4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18" w:author="root" w:date="2022-09-19T03:25:55Z">
      <w:r>
        <w:rPr>
          <w:sz w:val="18"/>
        </w:rPr>
        <w:pict>
          <v:shape id="PowerPlusWaterMarkObject3439191" o:spid="_x0000_s2057" o:spt="136" type="#_x0000_t136" style="position:absolute;left:0pt;margin-left:501.9pt;margin-top:-132.6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20" w:author="root" w:date="2022-09-19T03:25:55Z">
      <w:r>
        <w:rPr>
          <w:sz w:val="18"/>
        </w:rPr>
        <w:pict>
          <v:shape id="PowerPlusWaterMarkObject3375333" o:spid="_x0000_s2056" o:spt="136" type="#_x0000_t136" style="position:absolute;left:0pt;margin-left:299.65pt;margin-top:69.6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22" w:author="root" w:date="2022-09-19T03:25:55Z">
      <w:r>
        <w:rPr>
          <w:sz w:val="18"/>
        </w:rPr>
        <w:pict>
          <v:shape id="PowerPlusWaterMarkObject2417069" o:spid="_x0000_s2055" o:spt="136" type="#_x0000_t136" style="position:absolute;left:0pt;margin-left:97.45pt;margin-top:271.85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24" w:author="root" w:date="2022-09-19T03:25:55Z">
      <w:r>
        <w:rPr>
          <w:sz w:val="18"/>
        </w:rPr>
        <w:pict>
          <v:shape id="PowerPlusWaterMarkObject2223443" o:spid="_x0000_s2054" o:spt="136" type="#_x0000_t136" style="position:absolute;left:0pt;margin-left:-104.8pt;margin-top:474.1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26" w:author="root" w:date="2022-09-19T03:25:55Z">
      <w:r>
        <w:rPr>
          <w:sz w:val="18"/>
        </w:rPr>
        <w:pict>
          <v:shape id="PowerPlusWaterMarkObject1775938" o:spid="_x0000_s2053" o:spt="136" type="#_x0000_t136" style="position:absolute;left:0pt;margin-left:299.65pt;margin-top:-135.7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28" w:author="root" w:date="2022-09-19T03:25:55Z">
      <w:r>
        <w:rPr>
          <w:sz w:val="18"/>
        </w:rPr>
        <w:pict>
          <v:shape id="PowerPlusWaterMarkObject1550455" o:spid="_x0000_s2052" o:spt="136" type="#_x0000_t136" style="position:absolute;left:0pt;margin-left:97.45pt;margin-top:66.55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30" w:author="root" w:date="2022-09-19T03:25:55Z">
      <w:r>
        <w:rPr>
          <w:sz w:val="18"/>
        </w:rPr>
        <w:pict>
          <v:shape id="PowerPlusWaterMarkObject1455276" o:spid="_x0000_s2051" o:spt="136" type="#_x0000_t136" style="position:absolute;left:0pt;margin-left:-104.8pt;margin-top:268.75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32" w:author="root" w:date="2022-09-19T03:25:55Z">
      <w:r>
        <w:rPr>
          <w:sz w:val="18"/>
        </w:rPr>
        <w:pict>
          <v:shape id="PowerPlusWaterMarkObject1101221" o:spid="_x0000_s2050" o:spt="136" type="#_x0000_t136" style="position:absolute;left:0pt;margin-left:97.45pt;margin-top:-138.75pt;height:96pt;width:101pt;mso-position-horizontal-relative:margin;mso-position-vertical-relative:margin;rotation:-2949120f;z-index:-251657216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  <w:ins w:id="34" w:author="root" w:date="2022-09-19T03:25:55Z">
      <w:r>
        <w:rPr>
          <w:sz w:val="18"/>
        </w:rPr>
        <w:pict>
          <v:shape id="PowerPlusWaterMarkObject659527" o:spid="_x0000_s2049" o:spt="136" type="#_x0000_t136" style="position:absolute;left:0pt;margin-left:-104.8pt;margin-top:63.45pt;height:96pt;width:101pt;mso-position-horizontal-relative:margin;mso-position-vertical-relative:margin;rotation:-2949120f;z-index:-251658240;mso-width-relative:page;mso-height-relative:page;" fillcolor="#C0C0C0" filled="t" stroked="f" coordsize="21600,21600" adj="10800">
            <v:path/>
            <v:fill on="t" opacity="32768f" focussize="0,0"/>
            <v:stroke on="f"/>
            <v:imagedata o:title=""/>
            <o:lock v:ext="edit" aspectratio="t"/>
            <v:textpath on="t" fitpath="t" trim="t" xscale="f" string="发改局帐户&#10;&#10;&#10;&#10;2022-09-19" style="font-family:8;font-size:96pt;v-same-letter-heights:f;v-text-align:center;"/>
          </v:shape>
        </w:pic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trackRevisions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2"/>
    <w:rsid w:val="00012521"/>
    <w:rsid w:val="0022240E"/>
    <w:rsid w:val="00325248"/>
    <w:rsid w:val="00343ABD"/>
    <w:rsid w:val="00352634"/>
    <w:rsid w:val="003A0A23"/>
    <w:rsid w:val="00424428"/>
    <w:rsid w:val="004E1794"/>
    <w:rsid w:val="006A54D9"/>
    <w:rsid w:val="00850B56"/>
    <w:rsid w:val="008A03B6"/>
    <w:rsid w:val="00A25C1D"/>
    <w:rsid w:val="00B1650A"/>
    <w:rsid w:val="00BF1DD6"/>
    <w:rsid w:val="00DD4C42"/>
    <w:rsid w:val="00E005D8"/>
    <w:rsid w:val="056B256B"/>
    <w:rsid w:val="0C6B1B09"/>
    <w:rsid w:val="2A57322B"/>
    <w:rsid w:val="398F5C1F"/>
    <w:rsid w:val="4CBF15F5"/>
    <w:rsid w:val="563936AB"/>
    <w:rsid w:val="5EFD16C3"/>
    <w:rsid w:val="730876FC"/>
    <w:rsid w:val="76BFF49B"/>
    <w:rsid w:val="7918064C"/>
    <w:rsid w:val="7EEA6A45"/>
    <w:rsid w:val="7FBF45C0"/>
    <w:rsid w:val="B7EB07A3"/>
    <w:rsid w:val="D5DFF820"/>
    <w:rsid w:val="FB7E3512"/>
    <w:rsid w:val="FFB8D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Char"/>
    <w:basedOn w:val="6"/>
    <w:link w:val="2"/>
    <w:qFormat/>
    <w:uiPriority w:val="10"/>
    <w:rPr>
      <w:rFonts w:ascii="Arial" w:hAnsi="Arial" w:eastAsia="仿宋_GB2312" w:cs="Times New Roman"/>
      <w:b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rFonts w:ascii="仿宋_GB2312" w:hAnsi="Times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仿宋_GB2312" w:hAnsi="Times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893</Characters>
  <Lines>7</Lines>
  <Paragraphs>2</Paragraphs>
  <TotalTime>1</TotalTime>
  <ScaleCrop>false</ScaleCrop>
  <LinksUpToDate>false</LinksUpToDate>
  <CharactersWithSpaces>1047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2021-11-29T14:01:00Z</dcterms:created>
  <dc:creator>vivian</dc:creator>
  <cp:lastModifiedBy>root</cp:lastModifiedBy>
  <dcterms:modified xsi:type="dcterms:W3CDTF">2022-09-19T03:25:56Z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  <property fmtid="{D5CDD505-2E9C-101B-9397-08002B2CF9AE}" pid="3" name="ICV">
    <vt:lpwstr>9DCC1132858042F095005017EDD989B0</vt:lpwstr>
  </property>
</Properties>
</file>