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798E8">
      <w:pPr>
        <w:rPr>
          <w:rFonts w:hint="eastAsia"/>
        </w:rPr>
      </w:pPr>
    </w:p>
    <w:p w14:paraId="1ED4B30B">
      <w:pPr>
        <w:jc w:val="center"/>
        <w:rPr>
          <w:rFonts w:ascii="华文中宋" w:hAnsi="华文中宋" w:eastAsia="华文中宋"/>
          <w:b/>
          <w:sz w:val="84"/>
          <w:szCs w:val="84"/>
        </w:rPr>
      </w:pPr>
      <w:r>
        <w:rPr>
          <w:rFonts w:hint="eastAsia" w:ascii="华文中宋" w:hAnsi="华文中宋" w:eastAsia="华文中宋"/>
          <w:b/>
          <w:sz w:val="84"/>
          <w:szCs w:val="84"/>
        </w:rPr>
        <w:t>南山区应急管理局</w:t>
      </w:r>
    </w:p>
    <w:p w14:paraId="2C7AFAC7">
      <w:pPr>
        <w:jc w:val="center"/>
        <w:rPr>
          <w:rFonts w:ascii="华文中宋" w:hAnsi="华文中宋" w:eastAsia="华文中宋"/>
          <w:b/>
          <w:sz w:val="84"/>
          <w:szCs w:val="84"/>
        </w:rPr>
      </w:pPr>
      <w:r>
        <w:rPr>
          <w:rFonts w:hint="eastAsia" w:ascii="华文中宋" w:hAnsi="华文中宋" w:eastAsia="华文中宋"/>
          <w:b/>
          <w:sz w:val="84"/>
          <w:szCs w:val="84"/>
        </w:rPr>
        <w:t>采购文件</w:t>
      </w:r>
    </w:p>
    <w:p w14:paraId="7FEE2C94">
      <w:pPr>
        <w:jc w:val="center"/>
        <w:rPr>
          <w:rFonts w:ascii="华文中宋" w:hAnsi="华文中宋" w:eastAsia="华文中宋"/>
          <w:sz w:val="44"/>
          <w:szCs w:val="44"/>
        </w:rPr>
      </w:pPr>
      <w:r>
        <w:rPr>
          <w:rFonts w:hint="eastAsia" w:ascii="华文中宋" w:hAnsi="华文中宋" w:eastAsia="华文中宋"/>
          <w:sz w:val="44"/>
          <w:szCs w:val="44"/>
        </w:rPr>
        <w:t>（</w:t>
      </w:r>
      <w:r>
        <w:rPr>
          <w:rFonts w:hint="eastAsia" w:ascii="华文中宋" w:hAnsi="华文中宋" w:eastAsia="华文中宋"/>
          <w:b/>
          <w:sz w:val="44"/>
          <w:szCs w:val="44"/>
        </w:rPr>
        <w:t>服务类</w:t>
      </w:r>
      <w:r>
        <w:rPr>
          <w:rFonts w:hint="eastAsia" w:ascii="华文中宋" w:hAnsi="华文中宋" w:eastAsia="华文中宋"/>
          <w:sz w:val="44"/>
          <w:szCs w:val="44"/>
        </w:rPr>
        <w:t>）</w:t>
      </w:r>
    </w:p>
    <w:p w14:paraId="56582B2C">
      <w:pPr>
        <w:pStyle w:val="3"/>
      </w:pPr>
      <w:r>
        <w:rPr>
          <w:rFonts w:hint="eastAsia"/>
        </w:rPr>
        <w:t>招标文件信息</w:t>
      </w:r>
    </w:p>
    <w:p w14:paraId="4D12A63D">
      <w:pPr>
        <w:spacing w:line="540" w:lineRule="exact"/>
        <w:ind w:left="1980" w:hanging="1980" w:hangingChars="550"/>
        <w:jc w:val="left"/>
        <w:rPr>
          <w:rFonts w:ascii="仿宋_GB2312" w:hAnsi="宋体"/>
          <w:sz w:val="36"/>
          <w:szCs w:val="36"/>
        </w:rPr>
      </w:pPr>
      <w:r>
        <w:rPr>
          <w:rFonts w:hint="eastAsia" w:ascii="仿宋_GB2312" w:hAnsi="宋体" w:eastAsia="仿宋_GB2312"/>
          <w:sz w:val="36"/>
          <w:szCs w:val="36"/>
        </w:rPr>
        <w:t>项目编号：</w:t>
      </w:r>
      <w:r>
        <w:rPr>
          <w:rFonts w:ascii="仿宋_GB2312" w:hAnsi="宋体" w:eastAsia="仿宋_GB2312"/>
          <w:sz w:val="36"/>
          <w:szCs w:val="36"/>
        </w:rPr>
        <w:t>NSYJ202</w:t>
      </w:r>
      <w:r>
        <w:rPr>
          <w:rFonts w:hint="eastAsia" w:ascii="仿宋_GB2312" w:hAnsi="宋体" w:eastAsia="仿宋_GB2312"/>
          <w:sz w:val="36"/>
          <w:szCs w:val="36"/>
        </w:rPr>
        <w:t>2</w:t>
      </w:r>
      <w:r>
        <w:rPr>
          <w:rFonts w:ascii="仿宋_GB2312" w:hAnsi="宋体" w:eastAsia="仿宋_GB2312"/>
          <w:sz w:val="36"/>
          <w:szCs w:val="36"/>
        </w:rPr>
        <w:t>0</w:t>
      </w:r>
      <w:r>
        <w:rPr>
          <w:rFonts w:hint="eastAsia" w:ascii="仿宋_GB2312" w:hAnsi="宋体" w:eastAsia="仿宋_GB2312"/>
          <w:sz w:val="36"/>
          <w:szCs w:val="36"/>
        </w:rPr>
        <w:t>01</w:t>
      </w:r>
    </w:p>
    <w:p w14:paraId="7E244876">
      <w:pPr>
        <w:spacing w:line="540" w:lineRule="exact"/>
        <w:ind w:left="1678" w:hanging="1677" w:hangingChars="466"/>
        <w:jc w:val="left"/>
        <w:rPr>
          <w:rFonts w:ascii="仿宋_GB2312" w:hAnsi="宋体" w:eastAsia="仿宋_GB2312"/>
          <w:sz w:val="36"/>
          <w:szCs w:val="36"/>
        </w:rPr>
      </w:pPr>
      <w:r>
        <w:rPr>
          <w:rFonts w:hint="eastAsia" w:ascii="仿宋_GB2312" w:hAnsi="宋体" w:eastAsia="仿宋_GB2312"/>
          <w:sz w:val="36"/>
          <w:szCs w:val="36"/>
        </w:rPr>
        <w:t>项目名称：深圳市南山区应急管理局2022年度线下公益广告宣传服务项目</w:t>
      </w:r>
    </w:p>
    <w:p w14:paraId="1612509A">
      <w:pPr>
        <w:spacing w:line="540" w:lineRule="exact"/>
        <w:jc w:val="left"/>
        <w:rPr>
          <w:rFonts w:ascii="仿宋_GB2312" w:hAnsi="宋体" w:eastAsia="仿宋_GB2312"/>
          <w:sz w:val="36"/>
          <w:szCs w:val="36"/>
        </w:rPr>
      </w:pPr>
      <w:r>
        <w:rPr>
          <w:rFonts w:hint="eastAsia" w:ascii="仿宋_GB2312" w:hAnsi="宋体" w:eastAsia="仿宋_GB2312"/>
          <w:sz w:val="36"/>
          <w:szCs w:val="36"/>
        </w:rPr>
        <w:t xml:space="preserve">包   </w:t>
      </w:r>
      <w:r>
        <w:rPr>
          <w:rFonts w:hint="default" w:ascii="仿宋_GB2312" w:hAnsi="宋体" w:eastAsia="仿宋_GB2312"/>
          <w:sz w:val="36"/>
          <w:szCs w:val="36"/>
        </w:rPr>
        <w:t xml:space="preserve"> </w:t>
      </w:r>
      <w:r>
        <w:rPr>
          <w:rFonts w:hint="eastAsia" w:ascii="仿宋_GB2312" w:hAnsi="宋体" w:eastAsia="仿宋_GB2312"/>
          <w:sz w:val="36"/>
          <w:szCs w:val="36"/>
        </w:rPr>
        <w:t>号：A</w:t>
      </w:r>
    </w:p>
    <w:p w14:paraId="62BF549A">
      <w:pPr>
        <w:spacing w:line="540" w:lineRule="exact"/>
        <w:jc w:val="left"/>
        <w:rPr>
          <w:rFonts w:ascii="仿宋_GB2312" w:hAnsi="宋体" w:eastAsia="仿宋_GB2312"/>
          <w:sz w:val="36"/>
          <w:szCs w:val="36"/>
        </w:rPr>
      </w:pPr>
      <w:r>
        <w:rPr>
          <w:rFonts w:hint="eastAsia" w:ascii="仿宋_GB2312" w:hAnsi="宋体" w:eastAsia="仿宋_GB2312"/>
          <w:sz w:val="36"/>
          <w:szCs w:val="36"/>
        </w:rPr>
        <w:t>项目类型：服务类</w:t>
      </w:r>
    </w:p>
    <w:p w14:paraId="3AAF293B">
      <w:pPr>
        <w:spacing w:line="540" w:lineRule="exact"/>
        <w:jc w:val="left"/>
        <w:rPr>
          <w:rFonts w:ascii="仿宋_GB2312" w:hAnsi="宋体" w:eastAsia="仿宋_GB2312"/>
          <w:sz w:val="36"/>
          <w:szCs w:val="36"/>
        </w:rPr>
      </w:pPr>
      <w:r>
        <w:rPr>
          <w:rFonts w:hint="eastAsia" w:ascii="仿宋_GB2312" w:hAnsi="宋体" w:eastAsia="仿宋_GB2312"/>
          <w:sz w:val="36"/>
          <w:szCs w:val="36"/>
        </w:rPr>
        <w:t>采购方式：</w:t>
      </w:r>
      <w:r>
        <w:rPr>
          <w:rFonts w:hint="eastAsia" w:ascii="仿宋_GB2312" w:hAnsi="Calibri" w:eastAsia="仿宋_GB2312"/>
          <w:sz w:val="36"/>
          <w:szCs w:val="36"/>
        </w:rPr>
        <w:t>公开招标</w:t>
      </w:r>
    </w:p>
    <w:p w14:paraId="39565F51">
      <w:pPr>
        <w:spacing w:line="540" w:lineRule="exact"/>
        <w:jc w:val="left"/>
        <w:rPr>
          <w:rFonts w:ascii="仿宋_GB2312" w:hAnsi="宋体" w:eastAsia="仿宋_GB2312"/>
          <w:sz w:val="36"/>
          <w:szCs w:val="36"/>
        </w:rPr>
      </w:pPr>
      <w:r>
        <w:rPr>
          <w:rFonts w:hint="eastAsia" w:ascii="仿宋_GB2312" w:hAnsi="宋体" w:eastAsia="仿宋_GB2312"/>
          <w:sz w:val="36"/>
          <w:szCs w:val="36"/>
        </w:rPr>
        <w:t>货币类型：人民币</w:t>
      </w:r>
    </w:p>
    <w:p w14:paraId="201E22CA">
      <w:pPr>
        <w:spacing w:line="540" w:lineRule="exact"/>
        <w:jc w:val="left"/>
        <w:rPr>
          <w:rFonts w:ascii="仿宋_GB2312" w:hAnsi="宋体" w:eastAsia="仿宋_GB2312"/>
          <w:sz w:val="36"/>
          <w:szCs w:val="36"/>
        </w:rPr>
      </w:pPr>
      <w:r>
        <w:rPr>
          <w:rFonts w:hint="eastAsia" w:ascii="仿宋_GB2312" w:hAnsi="宋体" w:eastAsia="仿宋_GB2312"/>
          <w:sz w:val="36"/>
          <w:szCs w:val="36"/>
        </w:rPr>
        <w:t>评标方法：综合评分法（新价格分算法）</w:t>
      </w:r>
    </w:p>
    <w:p w14:paraId="39DB19F9">
      <w:pPr>
        <w:jc w:val="center"/>
        <w:rPr>
          <w:rFonts w:ascii="黑体" w:hAnsi="黑体" w:eastAsia="黑体"/>
          <w:sz w:val="32"/>
          <w:szCs w:val="32"/>
        </w:rPr>
      </w:pPr>
    </w:p>
    <w:p w14:paraId="2E91C9BE">
      <w:pPr>
        <w:jc w:val="center"/>
        <w:rPr>
          <w:rFonts w:ascii="黑体" w:hAnsi="黑体" w:eastAsia="黑体"/>
          <w:sz w:val="32"/>
          <w:szCs w:val="32"/>
        </w:rPr>
      </w:pPr>
    </w:p>
    <w:p w14:paraId="40B8BF21">
      <w:pPr>
        <w:jc w:val="center"/>
        <w:rPr>
          <w:rFonts w:ascii="黑体" w:hAnsi="黑体" w:eastAsia="黑体"/>
          <w:sz w:val="32"/>
          <w:szCs w:val="32"/>
        </w:rPr>
      </w:pPr>
    </w:p>
    <w:p w14:paraId="638F4C8C">
      <w:pPr>
        <w:jc w:val="center"/>
        <w:rPr>
          <w:rFonts w:ascii="黑体" w:hAnsi="黑体" w:eastAsia="黑体"/>
          <w:sz w:val="32"/>
          <w:szCs w:val="32"/>
        </w:rPr>
      </w:pPr>
    </w:p>
    <w:p w14:paraId="7D6546FF">
      <w:pPr>
        <w:jc w:val="center"/>
        <w:rPr>
          <w:rFonts w:ascii="黑体" w:hAnsi="黑体" w:eastAsia="黑体"/>
          <w:sz w:val="32"/>
          <w:szCs w:val="32"/>
        </w:rPr>
      </w:pPr>
    </w:p>
    <w:p w14:paraId="07435A5B">
      <w:pPr>
        <w:jc w:val="center"/>
        <w:rPr>
          <w:rFonts w:ascii="黑体" w:hAnsi="黑体" w:eastAsia="黑体"/>
          <w:sz w:val="32"/>
          <w:szCs w:val="32"/>
        </w:rPr>
      </w:pPr>
    </w:p>
    <w:p w14:paraId="7353BB5F">
      <w:pPr>
        <w:jc w:val="center"/>
        <w:rPr>
          <w:rFonts w:ascii="黑体" w:hAnsi="黑体" w:eastAsia="黑体"/>
          <w:sz w:val="32"/>
          <w:szCs w:val="32"/>
        </w:rPr>
      </w:pPr>
    </w:p>
    <w:p w14:paraId="65076CD5">
      <w:pPr>
        <w:pStyle w:val="3"/>
      </w:pPr>
      <w:r>
        <w:rPr>
          <w:rFonts w:hint="eastAsia"/>
        </w:rPr>
        <w:t>投标文件初审表</w:t>
      </w:r>
    </w:p>
    <w:tbl>
      <w:tblPr>
        <w:tblStyle w:val="18"/>
        <w:tblW w:w="8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028"/>
        <w:gridCol w:w="6430"/>
      </w:tblGrid>
      <w:tr w14:paraId="62D4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43B37F5D">
            <w:pPr>
              <w:spacing w:line="540" w:lineRule="exact"/>
              <w:rPr>
                <w:rFonts w:ascii="仿宋_GB2312" w:eastAsia="仿宋_GB2312"/>
                <w:b/>
                <w:sz w:val="32"/>
                <w:szCs w:val="32"/>
              </w:rPr>
            </w:pPr>
            <w:r>
              <w:rPr>
                <w:rFonts w:hint="eastAsia" w:ascii="仿宋_GB2312" w:eastAsia="仿宋_GB2312"/>
                <w:b/>
                <w:sz w:val="32"/>
                <w:szCs w:val="32"/>
              </w:rPr>
              <w:t>资格性检查表</w:t>
            </w:r>
          </w:p>
        </w:tc>
      </w:tr>
      <w:tr w14:paraId="54E6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55" w:type="dxa"/>
            <w:vMerge w:val="restart"/>
            <w:vAlign w:val="center"/>
          </w:tcPr>
          <w:p w14:paraId="044C2D3D">
            <w:pPr>
              <w:spacing w:line="540" w:lineRule="exact"/>
              <w:rPr>
                <w:rFonts w:ascii="仿宋_GB2312" w:eastAsia="仿宋_GB2312"/>
                <w:sz w:val="32"/>
                <w:szCs w:val="32"/>
              </w:rPr>
            </w:pPr>
            <w:r>
              <w:rPr>
                <w:rFonts w:hint="eastAsia" w:ascii="仿宋_GB2312" w:eastAsia="仿宋_GB2312"/>
                <w:sz w:val="32"/>
                <w:szCs w:val="32"/>
              </w:rPr>
              <w:t>1</w:t>
            </w:r>
          </w:p>
        </w:tc>
        <w:tc>
          <w:tcPr>
            <w:tcW w:w="1028" w:type="dxa"/>
            <w:vMerge w:val="restart"/>
            <w:vAlign w:val="center"/>
          </w:tcPr>
          <w:p w14:paraId="22439A8B">
            <w:pPr>
              <w:widowControl/>
              <w:spacing w:line="540" w:lineRule="exact"/>
              <w:rPr>
                <w:rFonts w:ascii="仿宋_GB2312" w:eastAsia="仿宋_GB2312"/>
                <w:sz w:val="32"/>
                <w:szCs w:val="32"/>
              </w:rPr>
            </w:pPr>
            <w:r>
              <w:rPr>
                <w:rFonts w:hint="eastAsia" w:ascii="仿宋_GB2312" w:eastAsia="仿宋_GB2312"/>
                <w:sz w:val="32"/>
                <w:szCs w:val="32"/>
              </w:rPr>
              <w:t>投标人资质要求</w:t>
            </w:r>
          </w:p>
        </w:tc>
        <w:tc>
          <w:tcPr>
            <w:tcW w:w="6430" w:type="dxa"/>
            <w:vAlign w:val="center"/>
          </w:tcPr>
          <w:p w14:paraId="4C9C50BD">
            <w:pPr>
              <w:spacing w:line="540" w:lineRule="exact"/>
              <w:rPr>
                <w:rFonts w:ascii="仿宋_GB2312" w:eastAsia="仿宋_GB2312"/>
                <w:sz w:val="32"/>
                <w:szCs w:val="32"/>
              </w:rPr>
            </w:pPr>
            <w:r>
              <w:rPr>
                <w:rFonts w:hint="eastAsia" w:ascii="仿宋_GB2312" w:eastAsia="仿宋_GB2312"/>
                <w:sz w:val="32"/>
                <w:szCs w:val="32"/>
              </w:rPr>
              <w:t>1.具有独立承担民事责任能力的在中华人民共和国境内登记注册的法人或其他组织营业执照（或单位登记证书等相关证明材料）；</w:t>
            </w:r>
          </w:p>
        </w:tc>
      </w:tr>
      <w:tr w14:paraId="25A76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55" w:type="dxa"/>
            <w:vMerge w:val="continue"/>
          </w:tcPr>
          <w:p w14:paraId="794CC759">
            <w:pPr>
              <w:spacing w:line="540" w:lineRule="exact"/>
              <w:ind w:firstLine="640" w:firstLineChars="200"/>
              <w:rPr>
                <w:rFonts w:ascii="仿宋_GB2312" w:eastAsia="仿宋_GB2312"/>
                <w:sz w:val="32"/>
                <w:szCs w:val="32"/>
              </w:rPr>
            </w:pPr>
          </w:p>
        </w:tc>
        <w:tc>
          <w:tcPr>
            <w:tcW w:w="1028" w:type="dxa"/>
            <w:vMerge w:val="continue"/>
            <w:vAlign w:val="center"/>
          </w:tcPr>
          <w:p w14:paraId="2393A435">
            <w:pPr>
              <w:widowControl/>
              <w:spacing w:line="540" w:lineRule="exact"/>
              <w:ind w:firstLine="643" w:firstLineChars="200"/>
              <w:jc w:val="left"/>
              <w:rPr>
                <w:rFonts w:ascii="仿宋_GB2312" w:eastAsia="仿宋_GB2312"/>
                <w:b/>
                <w:sz w:val="32"/>
                <w:szCs w:val="32"/>
              </w:rPr>
            </w:pPr>
          </w:p>
        </w:tc>
        <w:tc>
          <w:tcPr>
            <w:tcW w:w="6430" w:type="dxa"/>
            <w:vAlign w:val="center"/>
          </w:tcPr>
          <w:p w14:paraId="1361C101">
            <w:pPr>
              <w:spacing w:line="540" w:lineRule="exact"/>
              <w:rPr>
                <w:rFonts w:ascii="仿宋_GB2312" w:eastAsia="仿宋_GB2312"/>
                <w:sz w:val="32"/>
                <w:szCs w:val="32"/>
              </w:rPr>
            </w:pPr>
            <w:r>
              <w:rPr>
                <w:rFonts w:hint="eastAsia" w:ascii="仿宋_GB2312" w:eastAsia="仿宋_GB2312"/>
                <w:sz w:val="32"/>
                <w:szCs w:val="32"/>
              </w:rPr>
              <w:t>2.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ww.gsxt.gov.cn）显示的行政处罚信息、列入经营异常名录信息的截图；提供承诺函，承诺函格式详见招标文件“第三章投标文件格式、附件”)；</w:t>
            </w:r>
          </w:p>
        </w:tc>
      </w:tr>
      <w:tr w14:paraId="5692E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855" w:type="dxa"/>
            <w:vMerge w:val="continue"/>
          </w:tcPr>
          <w:p w14:paraId="6E9B4D12">
            <w:pPr>
              <w:spacing w:line="540" w:lineRule="exact"/>
              <w:ind w:firstLine="640" w:firstLineChars="200"/>
              <w:rPr>
                <w:rFonts w:ascii="仿宋_GB2312" w:eastAsia="仿宋_GB2312"/>
                <w:sz w:val="32"/>
                <w:szCs w:val="32"/>
              </w:rPr>
            </w:pPr>
          </w:p>
        </w:tc>
        <w:tc>
          <w:tcPr>
            <w:tcW w:w="1028" w:type="dxa"/>
            <w:vMerge w:val="continue"/>
            <w:vAlign w:val="center"/>
          </w:tcPr>
          <w:p w14:paraId="1B2DFD8D">
            <w:pPr>
              <w:widowControl/>
              <w:spacing w:line="540" w:lineRule="exact"/>
              <w:ind w:firstLine="643" w:firstLineChars="200"/>
              <w:jc w:val="left"/>
              <w:rPr>
                <w:rFonts w:ascii="仿宋_GB2312" w:eastAsia="仿宋_GB2312"/>
                <w:b/>
                <w:sz w:val="32"/>
                <w:szCs w:val="32"/>
              </w:rPr>
            </w:pPr>
          </w:p>
        </w:tc>
        <w:tc>
          <w:tcPr>
            <w:tcW w:w="6430" w:type="dxa"/>
            <w:vAlign w:val="center"/>
          </w:tcPr>
          <w:p w14:paraId="7BCAE3C4">
            <w:pPr>
              <w:spacing w:line="540" w:lineRule="exact"/>
              <w:rPr>
                <w:rFonts w:ascii="仿宋_GB2312" w:eastAsia="仿宋_GB2312"/>
                <w:sz w:val="32"/>
                <w:szCs w:val="32"/>
              </w:rPr>
            </w:pPr>
            <w:r>
              <w:rPr>
                <w:rFonts w:hint="eastAsia" w:ascii="仿宋_GB2312" w:eastAsia="仿宋_GB2312"/>
                <w:sz w:val="32"/>
                <w:szCs w:val="32"/>
              </w:rPr>
              <w:t>3.本项目不接受联合体投标人。</w:t>
            </w:r>
          </w:p>
        </w:tc>
      </w:tr>
      <w:tr w14:paraId="0F67A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855" w:type="dxa"/>
          </w:tcPr>
          <w:p w14:paraId="490DE11D">
            <w:pPr>
              <w:spacing w:line="540" w:lineRule="exact"/>
              <w:rPr>
                <w:rFonts w:ascii="仿宋_GB2312" w:eastAsia="仿宋_GB2312"/>
                <w:sz w:val="32"/>
                <w:szCs w:val="32"/>
              </w:rPr>
            </w:pPr>
            <w:r>
              <w:rPr>
                <w:rFonts w:hint="eastAsia" w:ascii="仿宋_GB2312" w:eastAsia="仿宋_GB2312"/>
                <w:sz w:val="28"/>
                <w:szCs w:val="32"/>
              </w:rPr>
              <w:t>备注</w:t>
            </w:r>
          </w:p>
        </w:tc>
        <w:tc>
          <w:tcPr>
            <w:tcW w:w="7458" w:type="dxa"/>
            <w:gridSpan w:val="2"/>
            <w:vAlign w:val="center"/>
          </w:tcPr>
          <w:p w14:paraId="31C42398">
            <w:pPr>
              <w:spacing w:line="540" w:lineRule="exact"/>
              <w:rPr>
                <w:rFonts w:ascii="仿宋_GB2312" w:eastAsia="仿宋_GB2312"/>
                <w:sz w:val="32"/>
                <w:szCs w:val="32"/>
              </w:rPr>
            </w:pPr>
            <w:r>
              <w:rPr>
                <w:rFonts w:hint="eastAsia" w:ascii="仿宋_GB2312" w:eastAsia="仿宋_GB2312"/>
                <w:sz w:val="32"/>
                <w:szCs w:val="32"/>
              </w:rPr>
              <w:t>以上资料必须提供清晰复印件或扫描件加盖公章。</w:t>
            </w:r>
          </w:p>
        </w:tc>
      </w:tr>
      <w:tr w14:paraId="5E71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13" w:type="dxa"/>
            <w:gridSpan w:val="3"/>
          </w:tcPr>
          <w:p w14:paraId="7D5CD975">
            <w:pPr>
              <w:spacing w:line="540" w:lineRule="exact"/>
              <w:rPr>
                <w:rFonts w:ascii="仿宋_GB2312" w:eastAsia="仿宋_GB2312"/>
                <w:sz w:val="32"/>
                <w:szCs w:val="32"/>
              </w:rPr>
            </w:pPr>
            <w:r>
              <w:rPr>
                <w:rFonts w:hint="eastAsia" w:ascii="仿宋_GB2312" w:eastAsia="仿宋_GB2312"/>
                <w:b/>
                <w:bCs/>
                <w:sz w:val="32"/>
                <w:szCs w:val="32"/>
              </w:rPr>
              <w:t>符合性检查表</w:t>
            </w:r>
          </w:p>
        </w:tc>
      </w:tr>
      <w:tr w14:paraId="193B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95166B7">
            <w:pPr>
              <w:spacing w:line="540" w:lineRule="exact"/>
              <w:jc w:val="center"/>
              <w:rPr>
                <w:rFonts w:ascii="仿宋_GB2312" w:eastAsia="仿宋_GB2312"/>
                <w:sz w:val="32"/>
                <w:szCs w:val="32"/>
              </w:rPr>
            </w:pPr>
            <w:r>
              <w:rPr>
                <w:rFonts w:hint="eastAsia" w:ascii="仿宋_GB2312" w:eastAsia="仿宋_GB2312"/>
                <w:sz w:val="32"/>
                <w:szCs w:val="32"/>
              </w:rPr>
              <w:t>1</w:t>
            </w:r>
          </w:p>
        </w:tc>
        <w:tc>
          <w:tcPr>
            <w:tcW w:w="7458" w:type="dxa"/>
            <w:gridSpan w:val="2"/>
          </w:tcPr>
          <w:p w14:paraId="1D33BE3F">
            <w:pPr>
              <w:spacing w:line="540" w:lineRule="exact"/>
              <w:jc w:val="left"/>
              <w:rPr>
                <w:rFonts w:ascii="仿宋_GB2312" w:eastAsia="仿宋_GB2312"/>
                <w:sz w:val="32"/>
                <w:szCs w:val="32"/>
              </w:rPr>
            </w:pPr>
            <w:r>
              <w:rPr>
                <w:rFonts w:hint="eastAsia" w:ascii="仿宋_GB2312" w:eastAsia="仿宋_GB2312"/>
                <w:sz w:val="32"/>
                <w:szCs w:val="32"/>
              </w:rPr>
              <w:t>不得将一个包中的内容拆开投标</w:t>
            </w:r>
          </w:p>
        </w:tc>
      </w:tr>
      <w:tr w14:paraId="4920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8CBCB35">
            <w:pPr>
              <w:spacing w:line="540" w:lineRule="exact"/>
              <w:jc w:val="center"/>
              <w:rPr>
                <w:rFonts w:ascii="仿宋_GB2312" w:eastAsia="仿宋_GB2312"/>
                <w:sz w:val="32"/>
                <w:szCs w:val="32"/>
              </w:rPr>
            </w:pPr>
            <w:r>
              <w:rPr>
                <w:rFonts w:hint="eastAsia" w:ascii="仿宋_GB2312" w:eastAsia="仿宋_GB2312"/>
                <w:sz w:val="32"/>
                <w:szCs w:val="32"/>
              </w:rPr>
              <w:t>2</w:t>
            </w:r>
          </w:p>
        </w:tc>
        <w:tc>
          <w:tcPr>
            <w:tcW w:w="7458" w:type="dxa"/>
            <w:gridSpan w:val="2"/>
          </w:tcPr>
          <w:p w14:paraId="12AEFDE5">
            <w:pPr>
              <w:spacing w:line="540" w:lineRule="exact"/>
              <w:jc w:val="left"/>
              <w:rPr>
                <w:rFonts w:ascii="仿宋_GB2312" w:eastAsia="仿宋_GB2312"/>
                <w:sz w:val="32"/>
                <w:szCs w:val="32"/>
              </w:rPr>
            </w:pPr>
            <w:r>
              <w:rPr>
                <w:rFonts w:hint="eastAsia" w:ascii="仿宋_GB2312" w:eastAsia="仿宋_GB2312"/>
                <w:sz w:val="32"/>
                <w:szCs w:val="32"/>
              </w:rPr>
              <w:t>不得同时提供两套或两套以上的投标方案</w:t>
            </w:r>
          </w:p>
        </w:tc>
      </w:tr>
      <w:tr w14:paraId="54DC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C0A2E01">
            <w:pPr>
              <w:spacing w:line="540" w:lineRule="exact"/>
              <w:jc w:val="center"/>
              <w:rPr>
                <w:rFonts w:ascii="仿宋_GB2312" w:eastAsia="仿宋_GB2312"/>
                <w:sz w:val="32"/>
                <w:szCs w:val="32"/>
              </w:rPr>
            </w:pPr>
            <w:r>
              <w:rPr>
                <w:rFonts w:hint="eastAsia" w:ascii="仿宋_GB2312" w:eastAsia="仿宋_GB2312"/>
                <w:sz w:val="32"/>
                <w:szCs w:val="32"/>
              </w:rPr>
              <w:t>3</w:t>
            </w:r>
          </w:p>
        </w:tc>
        <w:tc>
          <w:tcPr>
            <w:tcW w:w="7458" w:type="dxa"/>
            <w:gridSpan w:val="2"/>
          </w:tcPr>
          <w:p w14:paraId="2EA2B393">
            <w:pPr>
              <w:spacing w:line="540" w:lineRule="exact"/>
              <w:jc w:val="left"/>
              <w:rPr>
                <w:rFonts w:ascii="仿宋_GB2312" w:eastAsia="仿宋_GB2312"/>
                <w:sz w:val="32"/>
                <w:szCs w:val="32"/>
              </w:rPr>
            </w:pPr>
            <w:r>
              <w:rPr>
                <w:rFonts w:hint="eastAsia" w:ascii="仿宋_GB2312" w:eastAsia="仿宋_GB2312"/>
                <w:sz w:val="32"/>
                <w:szCs w:val="32"/>
              </w:rPr>
              <w:t>投标总价或分项报价不得高于财政预算限额</w:t>
            </w:r>
          </w:p>
        </w:tc>
      </w:tr>
      <w:tr w14:paraId="14C8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759688A">
            <w:pPr>
              <w:spacing w:line="540" w:lineRule="exact"/>
              <w:jc w:val="center"/>
              <w:rPr>
                <w:rFonts w:ascii="仿宋_GB2312" w:eastAsia="仿宋_GB2312"/>
                <w:sz w:val="32"/>
                <w:szCs w:val="32"/>
              </w:rPr>
            </w:pPr>
            <w:r>
              <w:rPr>
                <w:rFonts w:hint="eastAsia" w:ascii="仿宋_GB2312" w:eastAsia="仿宋_GB2312"/>
                <w:sz w:val="32"/>
                <w:szCs w:val="32"/>
              </w:rPr>
              <w:t>4</w:t>
            </w:r>
          </w:p>
        </w:tc>
        <w:tc>
          <w:tcPr>
            <w:tcW w:w="7458" w:type="dxa"/>
            <w:gridSpan w:val="2"/>
          </w:tcPr>
          <w:p w14:paraId="6413BDE9">
            <w:pPr>
              <w:spacing w:line="540" w:lineRule="exact"/>
              <w:jc w:val="left"/>
              <w:rPr>
                <w:rFonts w:ascii="仿宋_GB2312" w:eastAsia="仿宋_GB2312"/>
                <w:sz w:val="32"/>
                <w:szCs w:val="32"/>
              </w:rPr>
            </w:pPr>
            <w:r>
              <w:rPr>
                <w:rFonts w:hint="eastAsia" w:ascii="仿宋_GB2312" w:eastAsia="仿宋_GB2312"/>
                <w:sz w:val="32"/>
                <w:szCs w:val="32"/>
              </w:rPr>
              <w:t>报价过低不符合项目实际的</w:t>
            </w:r>
          </w:p>
        </w:tc>
      </w:tr>
      <w:tr w14:paraId="3261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03C5DAEE">
            <w:pPr>
              <w:spacing w:line="540" w:lineRule="exact"/>
              <w:jc w:val="center"/>
              <w:rPr>
                <w:rFonts w:ascii="仿宋_GB2312" w:eastAsia="仿宋_GB2312"/>
                <w:sz w:val="32"/>
                <w:szCs w:val="32"/>
              </w:rPr>
            </w:pPr>
            <w:r>
              <w:rPr>
                <w:rFonts w:hint="eastAsia" w:ascii="仿宋_GB2312" w:eastAsia="仿宋_GB2312"/>
                <w:sz w:val="32"/>
                <w:szCs w:val="32"/>
              </w:rPr>
              <w:t>5</w:t>
            </w:r>
          </w:p>
        </w:tc>
        <w:tc>
          <w:tcPr>
            <w:tcW w:w="7458" w:type="dxa"/>
            <w:gridSpan w:val="2"/>
          </w:tcPr>
          <w:p w14:paraId="31A4B786">
            <w:pPr>
              <w:spacing w:line="540" w:lineRule="exact"/>
              <w:jc w:val="left"/>
              <w:rPr>
                <w:rFonts w:ascii="仿宋_GB2312" w:eastAsia="仿宋_GB2312"/>
                <w:sz w:val="32"/>
                <w:szCs w:val="32"/>
              </w:rPr>
            </w:pPr>
            <w:r>
              <w:rPr>
                <w:rFonts w:hint="eastAsia" w:ascii="仿宋_GB2312" w:eastAsia="仿宋_GB2312"/>
                <w:sz w:val="32"/>
                <w:szCs w:val="32"/>
              </w:rPr>
              <w:t>投标文件载明的服务期符合招标文件规定的期限</w:t>
            </w:r>
          </w:p>
        </w:tc>
      </w:tr>
      <w:tr w14:paraId="37C16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7F433D3">
            <w:pPr>
              <w:spacing w:line="540" w:lineRule="exact"/>
              <w:jc w:val="center"/>
              <w:rPr>
                <w:rFonts w:ascii="仿宋_GB2312" w:eastAsia="仿宋_GB2312"/>
                <w:sz w:val="32"/>
                <w:szCs w:val="32"/>
              </w:rPr>
            </w:pPr>
            <w:r>
              <w:rPr>
                <w:rFonts w:hint="eastAsia" w:ascii="仿宋_GB2312" w:eastAsia="仿宋_GB2312"/>
                <w:sz w:val="32"/>
                <w:szCs w:val="32"/>
              </w:rPr>
              <w:t>6</w:t>
            </w:r>
          </w:p>
        </w:tc>
        <w:tc>
          <w:tcPr>
            <w:tcW w:w="7458" w:type="dxa"/>
            <w:gridSpan w:val="2"/>
          </w:tcPr>
          <w:p w14:paraId="185CFAAB">
            <w:pPr>
              <w:spacing w:line="540" w:lineRule="exact"/>
              <w:jc w:val="left"/>
              <w:rPr>
                <w:rFonts w:ascii="仿宋_GB2312" w:eastAsia="仿宋_GB2312"/>
                <w:sz w:val="32"/>
                <w:szCs w:val="32"/>
              </w:rPr>
            </w:pPr>
            <w:r>
              <w:rPr>
                <w:rFonts w:hint="eastAsia" w:ascii="仿宋_GB2312" w:eastAsia="仿宋_GB2312"/>
                <w:sz w:val="32"/>
                <w:szCs w:val="32"/>
              </w:rPr>
              <w:t>法律、法规规定的其他情形</w:t>
            </w:r>
          </w:p>
        </w:tc>
      </w:tr>
    </w:tbl>
    <w:p w14:paraId="7323BE61">
      <w:pPr>
        <w:pStyle w:val="3"/>
      </w:pPr>
      <w:r>
        <w:rPr>
          <w:rFonts w:hint="eastAsia"/>
        </w:rPr>
        <w:t>评标信息</w:t>
      </w:r>
    </w:p>
    <w:p w14:paraId="567F0246">
      <w:pPr>
        <w:spacing w:line="540" w:lineRule="exact"/>
        <w:ind w:firstLine="643" w:firstLineChars="200"/>
        <w:rPr>
          <w:rFonts w:ascii="仿宋_GB2312" w:eastAsia="仿宋_GB2312"/>
          <w:sz w:val="32"/>
          <w:szCs w:val="32"/>
        </w:rPr>
      </w:pPr>
      <w:r>
        <w:rPr>
          <w:rFonts w:hint="eastAsia" w:ascii="仿宋_GB2312" w:eastAsia="仿宋_GB2312"/>
          <w:b/>
          <w:sz w:val="32"/>
          <w:szCs w:val="32"/>
        </w:rPr>
        <w:t>评标方法：综合评分法（新价格分算法）</w:t>
      </w:r>
      <w:r>
        <w:rPr>
          <w:rFonts w:hint="eastAsia" w:ascii="仿宋_GB2312" w:eastAsia="仿宋_GB2312"/>
          <w:sz w:val="32"/>
          <w:szCs w:val="32"/>
        </w:rPr>
        <w:t xml:space="preserve"> 综合评分法，是指投标文件满足招标文件全部实质性要求，且按照评审因素的量化指标评审得分最高的投标人为中标候选人的评标方法。 </w:t>
      </w:r>
    </w:p>
    <w:p w14:paraId="607556C5">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价格分计算方法： </w:t>
      </w:r>
    </w:p>
    <w:p w14:paraId="6A09F7D5">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采用低价优先法计算，即满足招标文件要求且投标价格最低的投标报价为评标基准价，其价格分为满分。其他投标人的价格分统一按照下列公式计算： </w:t>
      </w:r>
    </w:p>
    <w:p w14:paraId="7E9053AA">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投标报价得分=(评标基准价／投标报价)×100 </w:t>
      </w:r>
    </w:p>
    <w:p w14:paraId="7F24D178">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评标总得分＝F1×A1＋F2×A2＋……＋Fn×An </w:t>
      </w:r>
    </w:p>
    <w:p w14:paraId="52EB9AAC">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F1、F2……Fn 分别为各项评审因素的得分； </w:t>
      </w:r>
    </w:p>
    <w:p w14:paraId="7F1C99C1">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A1、A2、……An 分别为各项评审因素所占的权重(A1＋A2＋……＋An＝1)。 </w:t>
      </w:r>
    </w:p>
    <w:p w14:paraId="57F3EA2A">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评标过程中，不得去掉报价中的最高报价和最低报价。 </w:t>
      </w:r>
    </w:p>
    <w:p w14:paraId="4D0964F9">
      <w:pPr>
        <w:spacing w:line="540" w:lineRule="exact"/>
        <w:ind w:firstLine="640" w:firstLineChars="200"/>
        <w:rPr>
          <w:rFonts w:ascii="仿宋_GB2312" w:eastAsia="仿宋_GB2312"/>
          <w:sz w:val="32"/>
          <w:szCs w:val="32"/>
        </w:rPr>
      </w:pPr>
      <w:r>
        <w:rPr>
          <w:rFonts w:hint="eastAsia" w:ascii="仿宋_GB2312" w:eastAsia="仿宋_GB2312"/>
          <w:sz w:val="32"/>
          <w:szCs w:val="32"/>
        </w:rPr>
        <w:t xml:space="preserve">此方法适用于货物类、服务类、工程类项目。 </w:t>
      </w:r>
    </w:p>
    <w:tbl>
      <w:tblPr>
        <w:tblStyle w:val="18"/>
        <w:tblW w:w="950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20" w:type="dxa"/>
          <w:left w:w="108" w:type="dxa"/>
          <w:bottom w:w="20" w:type="dxa"/>
          <w:right w:w="108" w:type="dxa"/>
        </w:tblCellMar>
      </w:tblPr>
      <w:tblGrid>
        <w:gridCol w:w="1000"/>
        <w:gridCol w:w="643"/>
        <w:gridCol w:w="1759"/>
        <w:gridCol w:w="993"/>
        <w:gridCol w:w="5109"/>
      </w:tblGrid>
      <w:tr w14:paraId="1CF604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shd w:val="clear" w:color="auto" w:fill="E6EFFA"/>
            <w:vAlign w:val="center"/>
          </w:tcPr>
          <w:p w14:paraId="0C86DA2E">
            <w:pPr>
              <w:jc w:val="center"/>
              <w:rPr>
                <w:rFonts w:ascii="仿宋_GB2312" w:eastAsia="仿宋_GB2312" w:cs="宋体" w:hAnsiTheme="minorEastAsia"/>
                <w:b/>
                <w:bCs/>
                <w:sz w:val="32"/>
                <w:szCs w:val="32"/>
              </w:rPr>
            </w:pPr>
            <w:r>
              <w:rPr>
                <w:rFonts w:hint="eastAsia" w:ascii="仿宋_GB2312" w:eastAsia="仿宋_GB2312" w:hAnsiTheme="minorEastAsia"/>
                <w:b/>
                <w:bCs/>
                <w:sz w:val="32"/>
                <w:szCs w:val="32"/>
              </w:rPr>
              <w:t>序号</w:t>
            </w:r>
          </w:p>
        </w:tc>
        <w:tc>
          <w:tcPr>
            <w:tcW w:w="3395" w:type="dxa"/>
            <w:gridSpan w:val="3"/>
            <w:shd w:val="clear" w:color="auto" w:fill="E6EFFA"/>
            <w:vAlign w:val="center"/>
          </w:tcPr>
          <w:p w14:paraId="09EA1232">
            <w:pPr>
              <w:jc w:val="center"/>
              <w:rPr>
                <w:rFonts w:ascii="仿宋_GB2312" w:eastAsia="仿宋_GB2312" w:cs="宋体" w:hAnsiTheme="minorEastAsia"/>
                <w:b/>
                <w:bCs/>
                <w:sz w:val="32"/>
                <w:szCs w:val="32"/>
              </w:rPr>
            </w:pPr>
            <w:r>
              <w:rPr>
                <w:rFonts w:hint="eastAsia" w:ascii="仿宋_GB2312" w:eastAsia="仿宋_GB2312" w:hAnsiTheme="minorEastAsia"/>
                <w:b/>
                <w:bCs/>
                <w:sz w:val="32"/>
                <w:szCs w:val="32"/>
              </w:rPr>
              <w:t>评分项</w:t>
            </w:r>
          </w:p>
        </w:tc>
        <w:tc>
          <w:tcPr>
            <w:tcW w:w="5109" w:type="dxa"/>
            <w:shd w:val="clear" w:color="auto" w:fill="E6EFFA"/>
            <w:vAlign w:val="center"/>
          </w:tcPr>
          <w:p w14:paraId="05C3F553">
            <w:pPr>
              <w:jc w:val="center"/>
              <w:rPr>
                <w:rFonts w:ascii="仿宋_GB2312" w:eastAsia="仿宋_GB2312" w:cs="宋体" w:hAnsiTheme="minorEastAsia"/>
                <w:b/>
                <w:bCs/>
                <w:sz w:val="32"/>
                <w:szCs w:val="32"/>
              </w:rPr>
            </w:pPr>
            <w:r>
              <w:rPr>
                <w:rFonts w:hint="eastAsia" w:ascii="仿宋_GB2312" w:eastAsia="仿宋_GB2312" w:hAnsiTheme="minorEastAsia"/>
                <w:b/>
                <w:bCs/>
                <w:sz w:val="32"/>
                <w:szCs w:val="32"/>
              </w:rPr>
              <w:t>权重</w:t>
            </w:r>
          </w:p>
        </w:tc>
      </w:tr>
      <w:tr w14:paraId="7E9431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Align w:val="center"/>
          </w:tcPr>
          <w:p w14:paraId="3EC69FF0">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1</w:t>
            </w:r>
          </w:p>
        </w:tc>
        <w:tc>
          <w:tcPr>
            <w:tcW w:w="3395" w:type="dxa"/>
            <w:gridSpan w:val="3"/>
            <w:vAlign w:val="center"/>
          </w:tcPr>
          <w:p w14:paraId="2260B812">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价格</w:t>
            </w:r>
          </w:p>
        </w:tc>
        <w:tc>
          <w:tcPr>
            <w:tcW w:w="5109" w:type="dxa"/>
            <w:vAlign w:val="center"/>
          </w:tcPr>
          <w:p w14:paraId="0A7F7A07">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20</w:t>
            </w:r>
          </w:p>
        </w:tc>
      </w:tr>
      <w:tr w14:paraId="5DF8F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restart"/>
            <w:vAlign w:val="center"/>
          </w:tcPr>
          <w:p w14:paraId="267D3AB2">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2</w:t>
            </w:r>
          </w:p>
        </w:tc>
        <w:tc>
          <w:tcPr>
            <w:tcW w:w="3395" w:type="dxa"/>
            <w:gridSpan w:val="3"/>
            <w:vAlign w:val="center"/>
          </w:tcPr>
          <w:p w14:paraId="2B0A46E2">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技术部分</w:t>
            </w:r>
          </w:p>
        </w:tc>
        <w:tc>
          <w:tcPr>
            <w:tcW w:w="5109" w:type="dxa"/>
            <w:vAlign w:val="center"/>
          </w:tcPr>
          <w:p w14:paraId="1B46AB42">
            <w:pPr>
              <w:jc w:val="center"/>
              <w:rPr>
                <w:rFonts w:ascii="仿宋_GB2312" w:eastAsia="仿宋_GB2312" w:cs="宋体" w:hAnsiTheme="minorEastAsia"/>
                <w:b/>
                <w:bCs/>
                <w:color w:val="0000FF"/>
                <w:sz w:val="32"/>
                <w:szCs w:val="32"/>
              </w:rPr>
            </w:pPr>
            <w:r>
              <w:rPr>
                <w:rFonts w:hint="eastAsia" w:ascii="仿宋_GB2312" w:eastAsia="仿宋_GB2312" w:cs="宋体" w:hAnsiTheme="minorEastAsia"/>
                <w:b/>
                <w:bCs/>
                <w:color w:val="0000FF"/>
                <w:sz w:val="32"/>
                <w:szCs w:val="32"/>
              </w:rPr>
              <w:t>45</w:t>
            </w:r>
          </w:p>
        </w:tc>
      </w:tr>
      <w:tr w14:paraId="0DC247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continue"/>
            <w:shd w:val="clear" w:color="auto" w:fill="E6EFFA"/>
            <w:vAlign w:val="center"/>
          </w:tcPr>
          <w:p w14:paraId="4BBC68D4">
            <w:pPr>
              <w:rPr>
                <w:rFonts w:ascii="仿宋_GB2312" w:eastAsia="仿宋_GB2312" w:cs="宋体" w:hAnsiTheme="minorEastAsia"/>
                <w:b/>
                <w:bCs/>
                <w:color w:val="0000FF"/>
                <w:sz w:val="32"/>
                <w:szCs w:val="32"/>
              </w:rPr>
            </w:pPr>
          </w:p>
        </w:tc>
        <w:tc>
          <w:tcPr>
            <w:tcW w:w="643" w:type="dxa"/>
            <w:shd w:val="clear" w:color="auto" w:fill="E6EFFA"/>
            <w:vAlign w:val="center"/>
          </w:tcPr>
          <w:p w14:paraId="44AFAB84">
            <w:pPr>
              <w:jc w:val="center"/>
              <w:rPr>
                <w:rFonts w:ascii="仿宋_GB2312" w:eastAsia="仿宋_GB2312" w:cs="宋体" w:hAnsiTheme="minorEastAsia"/>
                <w:sz w:val="32"/>
                <w:szCs w:val="32"/>
              </w:rPr>
            </w:pPr>
            <w:r>
              <w:rPr>
                <w:rFonts w:hint="eastAsia" w:ascii="仿宋_GB2312" w:eastAsia="仿宋_GB2312" w:hAnsiTheme="minorEastAsia"/>
                <w:sz w:val="32"/>
                <w:szCs w:val="32"/>
              </w:rPr>
              <w:t>序号</w:t>
            </w:r>
          </w:p>
        </w:tc>
        <w:tc>
          <w:tcPr>
            <w:tcW w:w="1759" w:type="dxa"/>
            <w:shd w:val="clear" w:color="auto" w:fill="E6EFFA"/>
            <w:vAlign w:val="center"/>
          </w:tcPr>
          <w:p w14:paraId="2A68476C">
            <w:pPr>
              <w:jc w:val="center"/>
              <w:rPr>
                <w:rFonts w:ascii="仿宋_GB2312" w:eastAsia="仿宋_GB2312" w:cs="宋体" w:hAnsiTheme="minorEastAsia"/>
                <w:sz w:val="32"/>
                <w:szCs w:val="32"/>
              </w:rPr>
            </w:pPr>
            <w:r>
              <w:rPr>
                <w:rFonts w:hint="eastAsia" w:ascii="仿宋_GB2312" w:eastAsia="仿宋_GB2312" w:hAnsiTheme="minorEastAsia"/>
                <w:sz w:val="32"/>
                <w:szCs w:val="32"/>
              </w:rPr>
              <w:t>评分因素</w:t>
            </w:r>
          </w:p>
        </w:tc>
        <w:tc>
          <w:tcPr>
            <w:tcW w:w="993" w:type="dxa"/>
            <w:shd w:val="clear" w:color="auto" w:fill="E6EFFA"/>
            <w:vAlign w:val="center"/>
          </w:tcPr>
          <w:p w14:paraId="73D10811">
            <w:pPr>
              <w:jc w:val="center"/>
              <w:rPr>
                <w:rFonts w:ascii="仿宋_GB2312" w:eastAsia="仿宋_GB2312" w:cs="宋体" w:hAnsiTheme="minorEastAsia"/>
                <w:sz w:val="32"/>
                <w:szCs w:val="32"/>
              </w:rPr>
            </w:pPr>
            <w:r>
              <w:rPr>
                <w:rFonts w:hint="eastAsia" w:ascii="仿宋_GB2312" w:eastAsia="仿宋_GB2312" w:hAnsiTheme="minorEastAsia"/>
                <w:sz w:val="32"/>
                <w:szCs w:val="32"/>
              </w:rPr>
              <w:t>权重</w:t>
            </w:r>
          </w:p>
        </w:tc>
        <w:tc>
          <w:tcPr>
            <w:tcW w:w="5109" w:type="dxa"/>
            <w:shd w:val="clear" w:color="auto" w:fill="E6EFFA"/>
            <w:vAlign w:val="center"/>
          </w:tcPr>
          <w:p w14:paraId="73405742">
            <w:pPr>
              <w:jc w:val="center"/>
              <w:rPr>
                <w:rFonts w:ascii="仿宋_GB2312" w:eastAsia="仿宋_GB2312" w:cs="宋体" w:hAnsiTheme="minorEastAsia"/>
                <w:sz w:val="32"/>
                <w:szCs w:val="32"/>
              </w:rPr>
            </w:pPr>
            <w:r>
              <w:rPr>
                <w:rFonts w:hint="eastAsia" w:ascii="仿宋_GB2312" w:eastAsia="仿宋_GB2312" w:hAnsiTheme="minorEastAsia"/>
                <w:sz w:val="32"/>
                <w:szCs w:val="32"/>
              </w:rPr>
              <w:t>评分准则</w:t>
            </w:r>
          </w:p>
        </w:tc>
      </w:tr>
      <w:tr w14:paraId="1B328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continue"/>
            <w:vAlign w:val="center"/>
          </w:tcPr>
          <w:p w14:paraId="10622DF3">
            <w:pPr>
              <w:rPr>
                <w:rFonts w:ascii="仿宋_GB2312" w:eastAsia="仿宋_GB2312" w:cs="宋体" w:hAnsiTheme="minorEastAsia"/>
                <w:b/>
                <w:bCs/>
                <w:color w:val="0000FF"/>
                <w:sz w:val="32"/>
                <w:szCs w:val="32"/>
              </w:rPr>
            </w:pPr>
          </w:p>
        </w:tc>
        <w:tc>
          <w:tcPr>
            <w:tcW w:w="643" w:type="dxa"/>
            <w:vAlign w:val="center"/>
          </w:tcPr>
          <w:p w14:paraId="78BAD645">
            <w:pPr>
              <w:jc w:val="center"/>
              <w:rPr>
                <w:rFonts w:ascii="仿宋_GB2312" w:eastAsia="仿宋_GB2312" w:cs="宋体" w:hAnsiTheme="minorEastAsia"/>
                <w:sz w:val="32"/>
                <w:szCs w:val="32"/>
              </w:rPr>
            </w:pPr>
            <w:r>
              <w:rPr>
                <w:rFonts w:hint="eastAsia" w:ascii="仿宋_GB2312" w:eastAsia="仿宋_GB2312" w:hAnsiTheme="minorEastAsia"/>
                <w:sz w:val="32"/>
                <w:szCs w:val="32"/>
              </w:rPr>
              <w:t>1</w:t>
            </w:r>
          </w:p>
        </w:tc>
        <w:tc>
          <w:tcPr>
            <w:tcW w:w="1759" w:type="dxa"/>
            <w:vAlign w:val="center"/>
          </w:tcPr>
          <w:p w14:paraId="574F41F0">
            <w:pPr>
              <w:spacing w:line="0" w:lineRule="atLeast"/>
              <w:rPr>
                <w:rFonts w:ascii="仿宋_GB2312" w:eastAsia="仿宋_GB2312" w:cs="宋体" w:hAnsiTheme="minorEastAsia"/>
                <w:sz w:val="32"/>
                <w:szCs w:val="32"/>
              </w:rPr>
            </w:pPr>
            <w:r>
              <w:rPr>
                <w:rFonts w:hint="eastAsia" w:ascii="仿宋_GB2312" w:eastAsia="仿宋_GB2312" w:cs="宋体" w:hAnsiTheme="minorEastAsia"/>
                <w:sz w:val="32"/>
                <w:szCs w:val="32"/>
              </w:rPr>
              <w:t>服务方案</w:t>
            </w:r>
          </w:p>
        </w:tc>
        <w:tc>
          <w:tcPr>
            <w:tcW w:w="993" w:type="dxa"/>
            <w:vAlign w:val="center"/>
          </w:tcPr>
          <w:p w14:paraId="1BBD9D6E">
            <w:pPr>
              <w:jc w:val="center"/>
              <w:rPr>
                <w:rFonts w:ascii="仿宋_GB2312" w:eastAsia="仿宋_GB2312" w:cs="宋体" w:hAnsiTheme="minorEastAsia"/>
                <w:sz w:val="32"/>
                <w:szCs w:val="32"/>
              </w:rPr>
            </w:pPr>
            <w:r>
              <w:rPr>
                <w:rFonts w:hint="eastAsia" w:ascii="仿宋_GB2312" w:eastAsia="仿宋_GB2312" w:cs="宋体" w:hAnsiTheme="minorEastAsia"/>
                <w:sz w:val="32"/>
                <w:szCs w:val="32"/>
              </w:rPr>
              <w:t>1</w:t>
            </w:r>
            <w:r>
              <w:rPr>
                <w:rFonts w:ascii="仿宋_GB2312" w:eastAsia="仿宋_GB2312" w:cs="宋体" w:hAnsiTheme="minorEastAsia"/>
                <w:sz w:val="32"/>
                <w:szCs w:val="32"/>
              </w:rPr>
              <w:t>5</w:t>
            </w:r>
          </w:p>
        </w:tc>
        <w:tc>
          <w:tcPr>
            <w:tcW w:w="5109" w:type="dxa"/>
            <w:vAlign w:val="center"/>
          </w:tcPr>
          <w:p w14:paraId="3D618E97">
            <w:pPr>
              <w:spacing w:line="0" w:lineRule="atLeast"/>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（一）评审内容：</w:t>
            </w:r>
          </w:p>
          <w:p w14:paraId="705C091C">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1、项目背景分析方案；</w:t>
            </w:r>
          </w:p>
          <w:p w14:paraId="02707C96">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2、工作内容、技术路线方案；</w:t>
            </w:r>
          </w:p>
          <w:p w14:paraId="6916D2CE">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3、时间和人员安排方案；</w:t>
            </w:r>
          </w:p>
          <w:p w14:paraId="21F9705A">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4、宣传领域中，不同工作内容的实施方案，如公益宣传、新媒体运营、文创产品定制、活动策划执行等。</w:t>
            </w:r>
          </w:p>
          <w:p w14:paraId="22793D9A">
            <w:pPr>
              <w:spacing w:line="0" w:lineRule="atLeast"/>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（二）评分标准：</w:t>
            </w:r>
          </w:p>
          <w:p w14:paraId="260AA62F">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投标人提供的项目服务方案包含以上4点且符合项目需求的，得</w:t>
            </w:r>
            <w:r>
              <w:rPr>
                <w:rFonts w:hint="eastAsia" w:ascii="仿宋_GB2312" w:eastAsia="仿宋_GB2312" w:cs="宋体" w:hAnsiTheme="minorEastAsia"/>
                <w:sz w:val="32"/>
                <w:szCs w:val="32"/>
                <w:lang w:val="en-US" w:eastAsia="zh-CN"/>
              </w:rPr>
              <w:t>10</w:t>
            </w:r>
            <w:r>
              <w:rPr>
                <w:rFonts w:hint="eastAsia" w:ascii="仿宋_GB2312" w:eastAsia="仿宋_GB2312" w:cs="宋体" w:hAnsiTheme="minorEastAsia"/>
                <w:sz w:val="32"/>
                <w:szCs w:val="32"/>
              </w:rPr>
              <w:t>分。</w:t>
            </w:r>
          </w:p>
          <w:p w14:paraId="46FB9608">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投标人提供的项目服务方案包含以上3点且符合项目需求的，得</w:t>
            </w:r>
            <w:r>
              <w:rPr>
                <w:rFonts w:hint="eastAsia" w:ascii="仿宋_GB2312" w:eastAsia="仿宋_GB2312" w:cs="宋体" w:hAnsiTheme="minorEastAsia"/>
                <w:sz w:val="32"/>
                <w:szCs w:val="32"/>
                <w:lang w:val="en-US" w:eastAsia="zh-CN"/>
              </w:rPr>
              <w:t>7</w:t>
            </w:r>
            <w:r>
              <w:rPr>
                <w:rFonts w:hint="eastAsia" w:ascii="仿宋_GB2312" w:eastAsia="仿宋_GB2312" w:cs="宋体" w:hAnsiTheme="minorEastAsia"/>
                <w:sz w:val="32"/>
                <w:szCs w:val="32"/>
              </w:rPr>
              <w:t>分。</w:t>
            </w:r>
          </w:p>
          <w:p w14:paraId="5A6E2231">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投标人提供的项目服务方案包含以上2点且符合项目需求的，得</w:t>
            </w:r>
            <w:r>
              <w:rPr>
                <w:rFonts w:hint="eastAsia" w:ascii="仿宋_GB2312" w:eastAsia="仿宋_GB2312" w:cs="宋体" w:hAnsiTheme="minorEastAsia"/>
                <w:sz w:val="32"/>
                <w:szCs w:val="32"/>
                <w:lang w:val="en-US" w:eastAsia="zh-CN"/>
              </w:rPr>
              <w:t>5</w:t>
            </w:r>
            <w:r>
              <w:rPr>
                <w:rFonts w:hint="eastAsia" w:ascii="仿宋_GB2312" w:eastAsia="仿宋_GB2312" w:cs="宋体" w:hAnsiTheme="minorEastAsia"/>
                <w:sz w:val="32"/>
                <w:szCs w:val="32"/>
              </w:rPr>
              <w:t>分。</w:t>
            </w:r>
          </w:p>
          <w:p w14:paraId="0A0BDD08">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其他情况不得分。</w:t>
            </w:r>
          </w:p>
          <w:p w14:paraId="6BB0EE15">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在此基础上，进一步评审：</w:t>
            </w:r>
          </w:p>
          <w:p w14:paraId="69ED371E">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投标人提供的方案，能够全面的描述项目实施流程及体现供应商优质的服务能力的评价为优的，得</w:t>
            </w:r>
            <w:r>
              <w:rPr>
                <w:rFonts w:hint="eastAsia" w:ascii="仿宋_GB2312" w:eastAsia="仿宋_GB2312" w:cs="宋体" w:hAnsiTheme="minorEastAsia"/>
                <w:sz w:val="32"/>
                <w:szCs w:val="32"/>
                <w:lang w:val="en-US" w:eastAsia="zh-CN"/>
              </w:rPr>
              <w:t>5</w:t>
            </w:r>
            <w:r>
              <w:rPr>
                <w:rFonts w:hint="eastAsia" w:ascii="仿宋_GB2312" w:eastAsia="仿宋_GB2312" w:cs="宋体" w:hAnsiTheme="minorEastAsia"/>
                <w:sz w:val="32"/>
                <w:szCs w:val="32"/>
              </w:rPr>
              <w:t>分。</w:t>
            </w:r>
          </w:p>
          <w:p w14:paraId="331D952C">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投标人提供的方案基本能够全面的描述项目实施流程，基本能够体现供应商优质的服务能力的评价为良的，得</w:t>
            </w:r>
            <w:r>
              <w:rPr>
                <w:rFonts w:hint="eastAsia" w:ascii="仿宋_GB2312" w:eastAsia="仿宋_GB2312" w:cs="宋体" w:hAnsiTheme="minorEastAsia"/>
                <w:sz w:val="32"/>
                <w:szCs w:val="32"/>
                <w:lang w:val="en-US" w:eastAsia="zh-CN"/>
              </w:rPr>
              <w:t>3</w:t>
            </w:r>
            <w:r>
              <w:rPr>
                <w:rFonts w:hint="eastAsia" w:ascii="仿宋_GB2312" w:eastAsia="仿宋_GB2312" w:cs="宋体" w:hAnsiTheme="minorEastAsia"/>
                <w:sz w:val="32"/>
                <w:szCs w:val="32"/>
              </w:rPr>
              <w:t>分。</w:t>
            </w:r>
          </w:p>
          <w:p w14:paraId="3B200362">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投标人提供的方案不够全面的评价为中的，得</w:t>
            </w:r>
            <w:r>
              <w:rPr>
                <w:rFonts w:hint="eastAsia" w:ascii="仿宋_GB2312" w:eastAsia="仿宋_GB2312" w:cs="宋体" w:hAnsiTheme="minorEastAsia"/>
                <w:sz w:val="32"/>
                <w:szCs w:val="32"/>
                <w:lang w:val="en-US" w:eastAsia="zh-CN"/>
              </w:rPr>
              <w:t>1</w:t>
            </w:r>
            <w:r>
              <w:rPr>
                <w:rFonts w:hint="eastAsia" w:ascii="仿宋_GB2312" w:eastAsia="仿宋_GB2312" w:cs="宋体" w:hAnsiTheme="minorEastAsia"/>
                <w:sz w:val="32"/>
                <w:szCs w:val="32"/>
              </w:rPr>
              <w:t>分。</w:t>
            </w:r>
          </w:p>
          <w:p w14:paraId="4F9CF450">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其他情况不得分。</w:t>
            </w:r>
          </w:p>
          <w:p w14:paraId="2355C309">
            <w:pPr>
              <w:spacing w:line="0" w:lineRule="atLeast"/>
              <w:ind w:firstLine="482"/>
              <w:rPr>
                <w:rFonts w:ascii="仿宋_GB2312" w:eastAsia="仿宋_GB2312" w:hAnsiTheme="minorEastAsia"/>
                <w:sz w:val="32"/>
                <w:szCs w:val="32"/>
              </w:rPr>
            </w:pPr>
            <w:r>
              <w:rPr>
                <w:rFonts w:hint="eastAsia" w:ascii="仿宋_GB2312" w:eastAsia="仿宋_GB2312" w:cs="宋体" w:hAnsiTheme="minorEastAsia"/>
                <w:sz w:val="32"/>
                <w:szCs w:val="32"/>
              </w:rPr>
              <w:t>以上两点累积相加，满分为</w:t>
            </w:r>
            <w:r>
              <w:rPr>
                <w:rFonts w:hint="eastAsia" w:ascii="仿宋_GB2312" w:eastAsia="仿宋_GB2312" w:cs="宋体" w:hAnsiTheme="minorEastAsia"/>
                <w:sz w:val="32"/>
                <w:szCs w:val="32"/>
                <w:lang w:val="en-US" w:eastAsia="zh-CN"/>
              </w:rPr>
              <w:t>15</w:t>
            </w:r>
            <w:r>
              <w:rPr>
                <w:rFonts w:hint="eastAsia" w:ascii="仿宋_GB2312" w:eastAsia="仿宋_GB2312" w:cs="宋体" w:hAnsiTheme="minorEastAsia"/>
                <w:sz w:val="32"/>
                <w:szCs w:val="32"/>
              </w:rPr>
              <w:t>分，最低为0分。</w:t>
            </w:r>
          </w:p>
        </w:tc>
      </w:tr>
      <w:tr w14:paraId="51C211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continue"/>
            <w:vAlign w:val="center"/>
          </w:tcPr>
          <w:p w14:paraId="330AB3BE">
            <w:pPr>
              <w:rPr>
                <w:rFonts w:ascii="仿宋_GB2312" w:eastAsia="仿宋_GB2312" w:cs="宋体" w:hAnsiTheme="minorEastAsia"/>
                <w:b/>
                <w:bCs/>
                <w:color w:val="0000FF"/>
                <w:sz w:val="32"/>
                <w:szCs w:val="32"/>
              </w:rPr>
            </w:pPr>
          </w:p>
        </w:tc>
        <w:tc>
          <w:tcPr>
            <w:tcW w:w="643" w:type="dxa"/>
            <w:vAlign w:val="center"/>
          </w:tcPr>
          <w:p w14:paraId="3F596FA1">
            <w:pPr>
              <w:jc w:val="center"/>
              <w:rPr>
                <w:rFonts w:ascii="仿宋_GB2312" w:eastAsia="仿宋_GB2312" w:cs="宋体" w:hAnsiTheme="minorEastAsia"/>
                <w:sz w:val="32"/>
                <w:szCs w:val="32"/>
              </w:rPr>
            </w:pPr>
            <w:r>
              <w:rPr>
                <w:rFonts w:hint="eastAsia" w:ascii="仿宋_GB2312" w:eastAsia="仿宋_GB2312" w:hAnsiTheme="minorEastAsia"/>
                <w:sz w:val="32"/>
                <w:szCs w:val="32"/>
              </w:rPr>
              <w:t>2</w:t>
            </w:r>
          </w:p>
        </w:tc>
        <w:tc>
          <w:tcPr>
            <w:tcW w:w="1759" w:type="dxa"/>
            <w:vAlign w:val="center"/>
          </w:tcPr>
          <w:p w14:paraId="199918BA">
            <w:pPr>
              <w:spacing w:line="0" w:lineRule="atLeast"/>
              <w:rPr>
                <w:rFonts w:ascii="仿宋_GB2312" w:eastAsia="仿宋_GB2312" w:cs="宋体" w:hAnsiTheme="minorEastAsia"/>
                <w:sz w:val="32"/>
                <w:szCs w:val="32"/>
              </w:rPr>
            </w:pPr>
            <w:r>
              <w:rPr>
                <w:rFonts w:hint="eastAsia" w:ascii="仿宋_GB2312" w:eastAsia="仿宋_GB2312" w:cs="宋体" w:hAnsiTheme="minorEastAsia"/>
                <w:sz w:val="32"/>
                <w:szCs w:val="32"/>
              </w:rPr>
              <w:t>质量保障措施及重难点分析</w:t>
            </w:r>
          </w:p>
        </w:tc>
        <w:tc>
          <w:tcPr>
            <w:tcW w:w="993" w:type="dxa"/>
            <w:vAlign w:val="center"/>
          </w:tcPr>
          <w:p w14:paraId="00866BED">
            <w:pPr>
              <w:tabs>
                <w:tab w:val="left" w:pos="267"/>
                <w:tab w:val="center" w:pos="388"/>
              </w:tabs>
              <w:jc w:val="center"/>
              <w:rPr>
                <w:rFonts w:ascii="仿宋_GB2312" w:eastAsia="仿宋_GB2312" w:hAnsiTheme="minorEastAsia"/>
                <w:sz w:val="32"/>
                <w:szCs w:val="32"/>
              </w:rPr>
            </w:pPr>
            <w:r>
              <w:rPr>
                <w:rFonts w:hint="eastAsia" w:ascii="仿宋_GB2312" w:eastAsia="仿宋_GB2312" w:hAnsiTheme="minorEastAsia"/>
                <w:sz w:val="32"/>
                <w:szCs w:val="32"/>
              </w:rPr>
              <w:t>10</w:t>
            </w:r>
          </w:p>
        </w:tc>
        <w:tc>
          <w:tcPr>
            <w:tcW w:w="5109" w:type="dxa"/>
            <w:vAlign w:val="center"/>
          </w:tcPr>
          <w:p w14:paraId="1F5D6BE0">
            <w:pPr>
              <w:spacing w:line="0" w:lineRule="atLeast"/>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（一）评审内容：</w:t>
            </w:r>
          </w:p>
          <w:p w14:paraId="55EC1CC8">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投标人需针对本项目</w:t>
            </w:r>
          </w:p>
          <w:p w14:paraId="685385A7">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1、提供重点和难点分析。</w:t>
            </w:r>
          </w:p>
          <w:p w14:paraId="02FB5B8D">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2、提供具体解决方案和应对措施。</w:t>
            </w:r>
          </w:p>
          <w:p w14:paraId="4F7785F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3、进度保障措施。</w:t>
            </w:r>
          </w:p>
          <w:p w14:paraId="511054C6">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4、投放质量、内容正确性、宣传时长等保障措施。</w:t>
            </w:r>
          </w:p>
          <w:p w14:paraId="2303BCA3">
            <w:pPr>
              <w:spacing w:line="0" w:lineRule="atLeast"/>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（二）评分标准：</w:t>
            </w:r>
          </w:p>
          <w:p w14:paraId="624B406D">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投标人提供的项目质量保障措施及重难点分析包含以上4点且符合项目需求的，得</w:t>
            </w:r>
            <w:r>
              <w:rPr>
                <w:rFonts w:hint="eastAsia" w:ascii="仿宋_GB2312" w:eastAsia="仿宋_GB2312" w:cs="宋体" w:hAnsiTheme="minorEastAsia"/>
                <w:sz w:val="32"/>
                <w:szCs w:val="32"/>
                <w:lang w:val="en-US" w:eastAsia="zh-CN"/>
              </w:rPr>
              <w:t>6</w:t>
            </w:r>
            <w:r>
              <w:rPr>
                <w:rFonts w:hint="eastAsia" w:ascii="仿宋_GB2312" w:eastAsia="仿宋_GB2312" w:cs="宋体" w:hAnsiTheme="minorEastAsia"/>
                <w:sz w:val="32"/>
                <w:szCs w:val="32"/>
              </w:rPr>
              <w:t>分。</w:t>
            </w:r>
          </w:p>
          <w:p w14:paraId="146D20B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投标人提供的质量保障措施及重难点分析包含以上3点且符合项目需求的，得</w:t>
            </w:r>
            <w:r>
              <w:rPr>
                <w:rFonts w:hint="eastAsia" w:ascii="仿宋_GB2312" w:eastAsia="仿宋_GB2312" w:cs="宋体" w:hAnsiTheme="minorEastAsia"/>
                <w:sz w:val="32"/>
                <w:szCs w:val="32"/>
                <w:lang w:val="en-US" w:eastAsia="zh-CN"/>
              </w:rPr>
              <w:t>4</w:t>
            </w:r>
            <w:r>
              <w:rPr>
                <w:rFonts w:hint="eastAsia" w:ascii="仿宋_GB2312" w:eastAsia="仿宋_GB2312" w:cs="宋体" w:hAnsiTheme="minorEastAsia"/>
                <w:sz w:val="32"/>
                <w:szCs w:val="32"/>
              </w:rPr>
              <w:t>分。</w:t>
            </w:r>
          </w:p>
          <w:p w14:paraId="465F1618">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投标人提供的质量保障措施及重难点分析包含以上2点且符合项目需求的，得</w:t>
            </w:r>
            <w:r>
              <w:rPr>
                <w:rFonts w:hint="eastAsia" w:ascii="仿宋_GB2312" w:eastAsia="仿宋_GB2312" w:cs="宋体" w:hAnsiTheme="minorEastAsia"/>
                <w:sz w:val="32"/>
                <w:szCs w:val="32"/>
                <w:lang w:val="en-US" w:eastAsia="zh-CN"/>
              </w:rPr>
              <w:t>1</w:t>
            </w:r>
            <w:r>
              <w:rPr>
                <w:rFonts w:hint="eastAsia" w:ascii="仿宋_GB2312" w:eastAsia="仿宋_GB2312" w:cs="宋体" w:hAnsiTheme="minorEastAsia"/>
                <w:sz w:val="32"/>
                <w:szCs w:val="32"/>
              </w:rPr>
              <w:t>分。</w:t>
            </w:r>
          </w:p>
          <w:p w14:paraId="3043B24B">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其他情况不得分。</w:t>
            </w:r>
          </w:p>
          <w:p w14:paraId="66A0AB0F">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在此基础上，进一步评审：</w:t>
            </w:r>
          </w:p>
          <w:p w14:paraId="19C66B84">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投标人提供的方案，描述了项目实际存在的关键点且从实际出发提出贴合现状的评价为优的，得</w:t>
            </w:r>
            <w:r>
              <w:rPr>
                <w:rFonts w:hint="eastAsia" w:ascii="仿宋_GB2312" w:eastAsia="仿宋_GB2312" w:cs="宋体" w:hAnsiTheme="minorEastAsia"/>
                <w:sz w:val="32"/>
                <w:szCs w:val="32"/>
                <w:lang w:val="en-US" w:eastAsia="zh-CN"/>
              </w:rPr>
              <w:t>4</w:t>
            </w:r>
            <w:r>
              <w:rPr>
                <w:rFonts w:hint="eastAsia" w:ascii="仿宋_GB2312" w:eastAsia="仿宋_GB2312" w:cs="宋体" w:hAnsiTheme="minorEastAsia"/>
                <w:sz w:val="32"/>
                <w:szCs w:val="32"/>
              </w:rPr>
              <w:t>分。</w:t>
            </w:r>
          </w:p>
          <w:p w14:paraId="3B422BBB">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投标人提供的方案基本能够涵盖项目的关键点，方案也基本能够解决问题的评价为良的，得</w:t>
            </w:r>
            <w:r>
              <w:rPr>
                <w:rFonts w:hint="eastAsia" w:ascii="仿宋_GB2312" w:eastAsia="仿宋_GB2312" w:cs="宋体" w:hAnsiTheme="minorEastAsia"/>
                <w:sz w:val="32"/>
                <w:szCs w:val="32"/>
                <w:lang w:val="en-US" w:eastAsia="zh-CN"/>
              </w:rPr>
              <w:t>3</w:t>
            </w:r>
            <w:r>
              <w:rPr>
                <w:rFonts w:hint="eastAsia" w:ascii="仿宋_GB2312" w:eastAsia="仿宋_GB2312" w:cs="宋体" w:hAnsiTheme="minorEastAsia"/>
                <w:sz w:val="32"/>
                <w:szCs w:val="32"/>
              </w:rPr>
              <w:t>分。</w:t>
            </w:r>
          </w:p>
          <w:p w14:paraId="311E95E3">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投标人提供的方案不够全面的评价为中的，得</w:t>
            </w:r>
            <w:r>
              <w:rPr>
                <w:rFonts w:hint="eastAsia" w:ascii="仿宋_GB2312" w:eastAsia="仿宋_GB2312" w:cs="宋体" w:hAnsiTheme="minorEastAsia"/>
                <w:sz w:val="32"/>
                <w:szCs w:val="32"/>
                <w:lang w:val="en-US" w:eastAsia="zh-CN"/>
              </w:rPr>
              <w:t>1</w:t>
            </w:r>
            <w:r>
              <w:rPr>
                <w:rFonts w:hint="eastAsia" w:ascii="仿宋_GB2312" w:eastAsia="仿宋_GB2312" w:cs="宋体" w:hAnsiTheme="minorEastAsia"/>
                <w:sz w:val="32"/>
                <w:szCs w:val="32"/>
              </w:rPr>
              <w:t>分。</w:t>
            </w:r>
          </w:p>
          <w:p w14:paraId="112D251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其他情况不得分。</w:t>
            </w:r>
          </w:p>
          <w:p w14:paraId="37B74B81">
            <w:pPr>
              <w:spacing w:line="0" w:lineRule="atLeast"/>
              <w:ind w:firstLine="482"/>
              <w:rPr>
                <w:rFonts w:ascii="仿宋_GB2312" w:eastAsia="仿宋_GB2312" w:hAnsiTheme="minorEastAsia"/>
                <w:sz w:val="32"/>
                <w:szCs w:val="32"/>
              </w:rPr>
            </w:pPr>
            <w:r>
              <w:rPr>
                <w:rFonts w:hint="eastAsia" w:ascii="仿宋_GB2312" w:eastAsia="仿宋_GB2312" w:cs="宋体" w:hAnsiTheme="minorEastAsia"/>
                <w:sz w:val="32"/>
                <w:szCs w:val="32"/>
              </w:rPr>
              <w:t>以上两点累积相加，满分为</w:t>
            </w:r>
            <w:r>
              <w:rPr>
                <w:rFonts w:hint="eastAsia" w:ascii="仿宋_GB2312" w:eastAsia="仿宋_GB2312" w:cs="宋体" w:hAnsiTheme="minorEastAsia"/>
                <w:sz w:val="32"/>
                <w:szCs w:val="32"/>
                <w:lang w:val="en-US" w:eastAsia="zh-CN"/>
              </w:rPr>
              <w:t>10</w:t>
            </w:r>
            <w:r>
              <w:rPr>
                <w:rFonts w:hint="eastAsia" w:ascii="仿宋_GB2312" w:eastAsia="仿宋_GB2312" w:cs="宋体" w:hAnsiTheme="minorEastAsia"/>
                <w:sz w:val="32"/>
                <w:szCs w:val="32"/>
              </w:rPr>
              <w:t>分，最低为0分。</w:t>
            </w:r>
          </w:p>
        </w:tc>
      </w:tr>
      <w:tr w14:paraId="3FA68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continue"/>
            <w:vAlign w:val="center"/>
          </w:tcPr>
          <w:p w14:paraId="1AE4D892">
            <w:pPr>
              <w:rPr>
                <w:rFonts w:ascii="仿宋_GB2312" w:eastAsia="仿宋_GB2312" w:cs="宋体" w:hAnsiTheme="minorEastAsia"/>
                <w:b/>
                <w:bCs/>
                <w:color w:val="0000FF"/>
                <w:sz w:val="32"/>
                <w:szCs w:val="32"/>
              </w:rPr>
            </w:pPr>
          </w:p>
        </w:tc>
        <w:tc>
          <w:tcPr>
            <w:tcW w:w="643" w:type="dxa"/>
            <w:vAlign w:val="center"/>
          </w:tcPr>
          <w:p w14:paraId="61CC7462">
            <w:pPr>
              <w:jc w:val="center"/>
              <w:rPr>
                <w:rFonts w:hint="eastAsia" w:ascii="仿宋_GB2312" w:eastAsia="仿宋_GB2312" w:hAnsiTheme="minorEastAsia"/>
                <w:sz w:val="32"/>
                <w:szCs w:val="32"/>
              </w:rPr>
            </w:pPr>
            <w:r>
              <w:rPr>
                <w:rFonts w:hint="eastAsia" w:ascii="仿宋_GB2312" w:eastAsia="仿宋_GB2312" w:hAnsiTheme="minorEastAsia"/>
                <w:sz w:val="32"/>
                <w:szCs w:val="32"/>
              </w:rPr>
              <w:t>3</w:t>
            </w:r>
          </w:p>
        </w:tc>
        <w:tc>
          <w:tcPr>
            <w:tcW w:w="1759" w:type="dxa"/>
            <w:vAlign w:val="center"/>
          </w:tcPr>
          <w:p w14:paraId="38B3B8AA">
            <w:pPr>
              <w:spacing w:line="0" w:lineRule="atLeast"/>
              <w:rPr>
                <w:rFonts w:hint="eastAsia" w:ascii="仿宋_GB2312" w:eastAsia="仿宋_GB2312" w:cs="宋体" w:hAnsiTheme="minorEastAsia"/>
                <w:sz w:val="32"/>
                <w:szCs w:val="32"/>
              </w:rPr>
            </w:pPr>
            <w:r>
              <w:rPr>
                <w:rFonts w:hint="eastAsia" w:ascii="仿宋_GB2312" w:eastAsia="仿宋_GB2312" w:cs="宋体" w:hAnsiTheme="minorEastAsia"/>
                <w:sz w:val="32"/>
                <w:szCs w:val="32"/>
              </w:rPr>
              <w:t>应急服务方案</w:t>
            </w:r>
          </w:p>
        </w:tc>
        <w:tc>
          <w:tcPr>
            <w:tcW w:w="993" w:type="dxa"/>
            <w:vAlign w:val="center"/>
          </w:tcPr>
          <w:p w14:paraId="17A030A7">
            <w:pPr>
              <w:tabs>
                <w:tab w:val="left" w:pos="267"/>
                <w:tab w:val="center" w:pos="388"/>
              </w:tabs>
              <w:jc w:val="center"/>
              <w:rPr>
                <w:rFonts w:hint="eastAsia" w:ascii="仿宋_GB2312" w:eastAsia="仿宋_GB2312" w:hAnsiTheme="minorEastAsia"/>
                <w:sz w:val="32"/>
                <w:szCs w:val="32"/>
              </w:rPr>
            </w:pPr>
            <w:r>
              <w:rPr>
                <w:rFonts w:hint="eastAsia" w:ascii="仿宋_GB2312" w:eastAsia="仿宋_GB2312" w:hAnsiTheme="minorEastAsia"/>
                <w:sz w:val="32"/>
                <w:szCs w:val="32"/>
              </w:rPr>
              <w:t>10</w:t>
            </w:r>
          </w:p>
        </w:tc>
        <w:tc>
          <w:tcPr>
            <w:tcW w:w="5109" w:type="dxa"/>
            <w:vAlign w:val="center"/>
          </w:tcPr>
          <w:p w14:paraId="5336D9CD">
            <w:pPr>
              <w:spacing w:line="0" w:lineRule="atLeast"/>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（一）评审内容：</w:t>
            </w:r>
          </w:p>
          <w:p w14:paraId="02F2B65A">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投标人需针对本项目</w:t>
            </w:r>
          </w:p>
          <w:p w14:paraId="6F8EF07D">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1、提供紧急协调方案。</w:t>
            </w:r>
          </w:p>
          <w:p w14:paraId="4EB4B636">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2、供应链快速响应方案。</w:t>
            </w:r>
          </w:p>
          <w:p w14:paraId="62565BCF">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3、推进项目进度方案。</w:t>
            </w:r>
          </w:p>
          <w:p w14:paraId="71F20D3B">
            <w:pPr>
              <w:spacing w:line="0" w:lineRule="atLeast"/>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（二）评分标准：</w:t>
            </w:r>
          </w:p>
          <w:p w14:paraId="15EED54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投标人提供的项目应急服务方案包含以上3点且符合项目需求的，得</w:t>
            </w:r>
            <w:r>
              <w:rPr>
                <w:rFonts w:hint="eastAsia" w:ascii="仿宋_GB2312" w:eastAsia="仿宋_GB2312" w:cs="宋体" w:hAnsiTheme="minorEastAsia"/>
                <w:sz w:val="32"/>
                <w:szCs w:val="32"/>
                <w:lang w:val="en-US" w:eastAsia="zh-CN"/>
              </w:rPr>
              <w:t>6</w:t>
            </w:r>
            <w:r>
              <w:rPr>
                <w:rFonts w:hint="eastAsia" w:ascii="仿宋_GB2312" w:eastAsia="仿宋_GB2312" w:cs="宋体" w:hAnsiTheme="minorEastAsia"/>
                <w:sz w:val="32"/>
                <w:szCs w:val="32"/>
              </w:rPr>
              <w:t>分。</w:t>
            </w:r>
          </w:p>
          <w:p w14:paraId="476586D7">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投标人提供的应急服务方案包含以上2点且符合项目需求的，得</w:t>
            </w:r>
            <w:r>
              <w:rPr>
                <w:rFonts w:hint="eastAsia" w:ascii="仿宋_GB2312" w:eastAsia="仿宋_GB2312" w:cs="宋体" w:hAnsiTheme="minorEastAsia"/>
                <w:sz w:val="32"/>
                <w:szCs w:val="32"/>
                <w:lang w:val="en-US" w:eastAsia="zh-CN"/>
              </w:rPr>
              <w:t>4</w:t>
            </w:r>
            <w:r>
              <w:rPr>
                <w:rFonts w:hint="eastAsia" w:ascii="仿宋_GB2312" w:eastAsia="仿宋_GB2312" w:cs="宋体" w:hAnsiTheme="minorEastAsia"/>
                <w:sz w:val="32"/>
                <w:szCs w:val="32"/>
              </w:rPr>
              <w:t>分。</w:t>
            </w:r>
          </w:p>
          <w:p w14:paraId="69CFC6FF">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投标人提供的应急服务方案包含以上1点且符合项目需求的，得</w:t>
            </w:r>
            <w:r>
              <w:rPr>
                <w:rFonts w:hint="eastAsia" w:ascii="仿宋_GB2312" w:eastAsia="仿宋_GB2312" w:cs="宋体" w:hAnsiTheme="minorEastAsia"/>
                <w:sz w:val="32"/>
                <w:szCs w:val="32"/>
                <w:lang w:val="en-US" w:eastAsia="zh-CN"/>
              </w:rPr>
              <w:t>2</w:t>
            </w:r>
            <w:r>
              <w:rPr>
                <w:rFonts w:hint="eastAsia" w:ascii="仿宋_GB2312" w:eastAsia="仿宋_GB2312" w:cs="宋体" w:hAnsiTheme="minorEastAsia"/>
                <w:sz w:val="32"/>
                <w:szCs w:val="32"/>
              </w:rPr>
              <w:t>分。</w:t>
            </w:r>
          </w:p>
          <w:p w14:paraId="58F3C309">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其他情况不得分。</w:t>
            </w:r>
          </w:p>
          <w:p w14:paraId="5AFEA020">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在此基础上，进一步评审：</w:t>
            </w:r>
          </w:p>
          <w:p w14:paraId="5586E45F">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投标人提供的方案，切实解决了采购单位的应急宣传需求的且服务质量优质的评价为优的，得</w:t>
            </w:r>
            <w:r>
              <w:rPr>
                <w:rFonts w:hint="eastAsia" w:ascii="仿宋_GB2312" w:eastAsia="仿宋_GB2312" w:cs="宋体" w:hAnsiTheme="minorEastAsia"/>
                <w:sz w:val="32"/>
                <w:szCs w:val="32"/>
                <w:lang w:val="en-US" w:eastAsia="zh-CN"/>
              </w:rPr>
              <w:t>4</w:t>
            </w:r>
            <w:r>
              <w:rPr>
                <w:rFonts w:hint="eastAsia" w:ascii="仿宋_GB2312" w:eastAsia="仿宋_GB2312" w:cs="宋体" w:hAnsiTheme="minorEastAsia"/>
                <w:sz w:val="32"/>
                <w:szCs w:val="32"/>
              </w:rPr>
              <w:t>分。</w:t>
            </w:r>
          </w:p>
          <w:p w14:paraId="150625AC">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投标人提供的方案基本能解决了采购单位的应急宣传需求的且服务质量较好的评价为良的，得</w:t>
            </w:r>
            <w:r>
              <w:rPr>
                <w:rFonts w:hint="eastAsia" w:ascii="仿宋_GB2312" w:eastAsia="仿宋_GB2312" w:cs="宋体" w:hAnsiTheme="minorEastAsia"/>
                <w:sz w:val="32"/>
                <w:szCs w:val="32"/>
                <w:lang w:val="en-US" w:eastAsia="zh-CN"/>
              </w:rPr>
              <w:t>3</w:t>
            </w:r>
            <w:r>
              <w:rPr>
                <w:rFonts w:hint="eastAsia" w:ascii="仿宋_GB2312" w:eastAsia="仿宋_GB2312" w:cs="宋体" w:hAnsiTheme="minorEastAsia"/>
                <w:sz w:val="32"/>
                <w:szCs w:val="32"/>
              </w:rPr>
              <w:t>分。</w:t>
            </w:r>
          </w:p>
          <w:p w14:paraId="40A70194">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投标人提供的方案不够全面的评价为中的，得</w:t>
            </w:r>
            <w:r>
              <w:rPr>
                <w:rFonts w:hint="eastAsia" w:ascii="仿宋_GB2312" w:eastAsia="仿宋_GB2312" w:cs="宋体" w:hAnsiTheme="minorEastAsia"/>
                <w:sz w:val="32"/>
                <w:szCs w:val="32"/>
                <w:lang w:val="en-US" w:eastAsia="zh-CN"/>
              </w:rPr>
              <w:t>2</w:t>
            </w:r>
            <w:r>
              <w:rPr>
                <w:rFonts w:hint="eastAsia" w:ascii="仿宋_GB2312" w:eastAsia="仿宋_GB2312" w:cs="宋体" w:hAnsiTheme="minorEastAsia"/>
                <w:sz w:val="32"/>
                <w:szCs w:val="32"/>
              </w:rPr>
              <w:t>分。</w:t>
            </w:r>
          </w:p>
          <w:p w14:paraId="10EE066A">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其他情况不得分。</w:t>
            </w:r>
          </w:p>
          <w:p w14:paraId="4BF60EE6">
            <w:pPr>
              <w:spacing w:line="0" w:lineRule="atLeast"/>
              <w:rPr>
                <w:rFonts w:hint="eastAsia" w:ascii="仿宋_GB2312" w:eastAsia="仿宋_GB2312" w:cs="宋体" w:hAnsiTheme="minorEastAsia"/>
                <w:b/>
                <w:bCs/>
                <w:sz w:val="32"/>
                <w:szCs w:val="32"/>
              </w:rPr>
            </w:pPr>
            <w:r>
              <w:rPr>
                <w:rFonts w:hint="eastAsia" w:ascii="仿宋_GB2312" w:eastAsia="仿宋_GB2312" w:cs="宋体" w:hAnsiTheme="minorEastAsia"/>
                <w:sz w:val="32"/>
                <w:szCs w:val="32"/>
              </w:rPr>
              <w:t>以上两点累积相加，满分为10分，最低为0分。</w:t>
            </w:r>
          </w:p>
        </w:tc>
      </w:tr>
      <w:tr w14:paraId="77782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continue"/>
            <w:vAlign w:val="center"/>
          </w:tcPr>
          <w:p w14:paraId="36E4D076">
            <w:pPr>
              <w:rPr>
                <w:rFonts w:ascii="仿宋_GB2312" w:eastAsia="仿宋_GB2312" w:cs="宋体" w:hAnsiTheme="minorEastAsia"/>
                <w:b/>
                <w:bCs/>
                <w:color w:val="0000FF"/>
                <w:sz w:val="32"/>
                <w:szCs w:val="32"/>
              </w:rPr>
            </w:pPr>
          </w:p>
        </w:tc>
        <w:tc>
          <w:tcPr>
            <w:tcW w:w="643" w:type="dxa"/>
            <w:vAlign w:val="center"/>
          </w:tcPr>
          <w:p w14:paraId="3BFC8D67">
            <w:pPr>
              <w:jc w:val="center"/>
              <w:rPr>
                <w:rFonts w:ascii="仿宋_GB2312" w:eastAsia="仿宋_GB2312" w:hAnsiTheme="minorEastAsia"/>
                <w:sz w:val="32"/>
                <w:szCs w:val="32"/>
              </w:rPr>
            </w:pPr>
            <w:r>
              <w:rPr>
                <w:rFonts w:hint="eastAsia" w:ascii="仿宋_GB2312" w:eastAsia="仿宋_GB2312" w:hAnsiTheme="minorEastAsia"/>
                <w:sz w:val="32"/>
                <w:szCs w:val="32"/>
              </w:rPr>
              <w:t>4</w:t>
            </w:r>
          </w:p>
        </w:tc>
        <w:tc>
          <w:tcPr>
            <w:tcW w:w="1759" w:type="dxa"/>
            <w:vAlign w:val="center"/>
          </w:tcPr>
          <w:p w14:paraId="1B922B4D">
            <w:pPr>
              <w:spacing w:line="0" w:lineRule="atLeast"/>
              <w:rPr>
                <w:rFonts w:ascii="仿宋_GB2312" w:eastAsia="仿宋_GB2312" w:hAnsiTheme="minorEastAsia"/>
                <w:sz w:val="32"/>
                <w:szCs w:val="32"/>
              </w:rPr>
            </w:pPr>
            <w:r>
              <w:rPr>
                <w:rFonts w:hint="eastAsia" w:ascii="仿宋_GB2312" w:eastAsia="仿宋_GB2312" w:cs="宋体" w:hAnsiTheme="minorEastAsia"/>
                <w:sz w:val="32"/>
                <w:szCs w:val="32"/>
              </w:rPr>
              <w:t>项目负责人</w:t>
            </w:r>
          </w:p>
        </w:tc>
        <w:tc>
          <w:tcPr>
            <w:tcW w:w="993" w:type="dxa"/>
            <w:vAlign w:val="center"/>
          </w:tcPr>
          <w:p w14:paraId="5EEF1431">
            <w:pPr>
              <w:jc w:val="center"/>
              <w:rPr>
                <w:rFonts w:ascii="仿宋_GB2312" w:eastAsia="仿宋_GB2312" w:hAnsiTheme="minorEastAsia"/>
                <w:sz w:val="32"/>
                <w:szCs w:val="32"/>
              </w:rPr>
            </w:pPr>
            <w:r>
              <w:rPr>
                <w:rFonts w:hint="eastAsia" w:ascii="仿宋_GB2312" w:eastAsia="仿宋_GB2312" w:hAnsiTheme="minorEastAsia"/>
                <w:sz w:val="32"/>
                <w:szCs w:val="32"/>
              </w:rPr>
              <w:t>10</w:t>
            </w:r>
          </w:p>
        </w:tc>
        <w:tc>
          <w:tcPr>
            <w:tcW w:w="5109" w:type="dxa"/>
            <w:vAlign w:val="center"/>
          </w:tcPr>
          <w:p w14:paraId="2206D2DA">
            <w:pPr>
              <w:ind w:firstLine="482"/>
              <w:rPr>
                <w:rFonts w:ascii="仿宋_GB2312" w:eastAsia="仿宋_GB2312" w:cs="宋体" w:hAnsiTheme="minorEastAsia"/>
                <w:b/>
                <w:sz w:val="32"/>
                <w:szCs w:val="32"/>
              </w:rPr>
            </w:pPr>
            <w:r>
              <w:rPr>
                <w:rFonts w:hint="eastAsia" w:ascii="仿宋_GB2312" w:eastAsia="仿宋_GB2312" w:cs="宋体" w:hAnsiTheme="minorEastAsia"/>
                <w:b/>
                <w:sz w:val="32"/>
                <w:szCs w:val="32"/>
              </w:rPr>
              <w:t>（一）评审内容：</w:t>
            </w:r>
          </w:p>
          <w:p w14:paraId="6487C75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学历为本科或以上的</w:t>
            </w:r>
            <w:r>
              <w:rPr>
                <w:rFonts w:hint="eastAsia" w:ascii="仿宋_GB2312" w:eastAsia="仿宋_GB2312" w:cs="宋体" w:hAnsiTheme="minorEastAsia"/>
                <w:sz w:val="32"/>
                <w:szCs w:val="32"/>
                <w:lang w:eastAsia="zh-CN"/>
              </w:rPr>
              <w:t>，</w:t>
            </w:r>
            <w:r>
              <w:rPr>
                <w:rFonts w:hint="eastAsia" w:ascii="仿宋_GB2312" w:eastAsia="仿宋_GB2312" w:cs="宋体" w:hAnsiTheme="minorEastAsia"/>
                <w:sz w:val="32"/>
                <w:szCs w:val="32"/>
              </w:rPr>
              <w:t>得10分。</w:t>
            </w:r>
          </w:p>
          <w:p w14:paraId="7A6C219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b/>
                <w:sz w:val="32"/>
                <w:szCs w:val="32"/>
              </w:rPr>
              <w:t>（二）评分依据</w:t>
            </w:r>
            <w:r>
              <w:rPr>
                <w:rFonts w:hint="eastAsia" w:ascii="仿宋_GB2312" w:eastAsia="仿宋_GB2312" w:cs="宋体" w:hAnsiTheme="minorEastAsia"/>
                <w:sz w:val="32"/>
                <w:szCs w:val="32"/>
              </w:rPr>
              <w:t>：</w:t>
            </w:r>
          </w:p>
          <w:p w14:paraId="71E4EDEA">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1、提供相关证书复印件及社保证明并加盖公章（原件备查），未提供或专家无法根据所提供资料作出判断的不得分。</w:t>
            </w:r>
          </w:p>
          <w:p w14:paraId="78C7D201">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2、须提供该员工在投标单位近3个月缴纳社保凭证，社保证明资料应当至少包含养老保险，证明资料可为社保收缴部门盖章证明资料、社保窗口打印资料或社保官网截图。</w:t>
            </w:r>
          </w:p>
        </w:tc>
      </w:tr>
      <w:tr w14:paraId="4891FF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restart"/>
            <w:vAlign w:val="center"/>
          </w:tcPr>
          <w:p w14:paraId="3743C273">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3</w:t>
            </w:r>
          </w:p>
        </w:tc>
        <w:tc>
          <w:tcPr>
            <w:tcW w:w="3395" w:type="dxa"/>
            <w:gridSpan w:val="3"/>
            <w:vAlign w:val="center"/>
          </w:tcPr>
          <w:p w14:paraId="02611B21">
            <w:pPr>
              <w:jc w:val="center"/>
              <w:rPr>
                <w:rFonts w:ascii="仿宋_GB2312" w:eastAsia="仿宋_GB2312" w:cs="宋体" w:hAnsiTheme="minorEastAsia"/>
                <w:b/>
                <w:bCs/>
                <w:color w:val="0000FF"/>
                <w:sz w:val="32"/>
                <w:szCs w:val="32"/>
              </w:rPr>
            </w:pPr>
            <w:r>
              <w:rPr>
                <w:rFonts w:hint="eastAsia" w:ascii="仿宋_GB2312" w:eastAsia="仿宋_GB2312" w:hAnsiTheme="minorEastAsia"/>
                <w:b/>
                <w:bCs/>
                <w:color w:val="0000FF"/>
                <w:sz w:val="32"/>
                <w:szCs w:val="32"/>
              </w:rPr>
              <w:t>综合实力部分</w:t>
            </w:r>
          </w:p>
        </w:tc>
        <w:tc>
          <w:tcPr>
            <w:tcW w:w="5109" w:type="dxa"/>
            <w:vAlign w:val="center"/>
          </w:tcPr>
          <w:p w14:paraId="2993B564">
            <w:pPr>
              <w:jc w:val="center"/>
              <w:rPr>
                <w:rFonts w:ascii="仿宋_GB2312" w:eastAsia="仿宋_GB2312" w:cs="宋体" w:hAnsiTheme="minorEastAsia"/>
                <w:b/>
                <w:bCs/>
                <w:color w:val="0000FF"/>
                <w:sz w:val="32"/>
                <w:szCs w:val="32"/>
              </w:rPr>
            </w:pPr>
            <w:r>
              <w:rPr>
                <w:rFonts w:hint="eastAsia" w:ascii="仿宋_GB2312" w:eastAsia="仿宋_GB2312" w:cs="宋体" w:hAnsiTheme="minorEastAsia"/>
                <w:b/>
                <w:bCs/>
                <w:color w:val="0000FF"/>
                <w:sz w:val="32"/>
                <w:szCs w:val="32"/>
                <w:lang w:val="en-US" w:eastAsia="zh-CN"/>
              </w:rPr>
              <w:t>3</w:t>
            </w:r>
            <w:r>
              <w:rPr>
                <w:rFonts w:hint="eastAsia" w:ascii="仿宋_GB2312" w:eastAsia="仿宋_GB2312" w:cs="宋体" w:hAnsiTheme="minorEastAsia"/>
                <w:b/>
                <w:bCs/>
                <w:color w:val="0000FF"/>
                <w:sz w:val="32"/>
                <w:szCs w:val="32"/>
              </w:rPr>
              <w:t>5</w:t>
            </w:r>
          </w:p>
        </w:tc>
      </w:tr>
      <w:tr w14:paraId="3C2531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43" w:hRule="atLeast"/>
          <w:jc w:val="center"/>
        </w:trPr>
        <w:tc>
          <w:tcPr>
            <w:tcW w:w="1000" w:type="dxa"/>
            <w:vMerge w:val="continue"/>
            <w:shd w:val="clear" w:color="auto" w:fill="E6EFFA"/>
            <w:vAlign w:val="center"/>
          </w:tcPr>
          <w:p w14:paraId="2729551C">
            <w:pPr>
              <w:rPr>
                <w:rFonts w:ascii="仿宋_GB2312" w:eastAsia="仿宋_GB2312" w:cs="宋体" w:hAnsiTheme="minorEastAsia"/>
                <w:b/>
                <w:bCs/>
                <w:color w:val="0000FF"/>
                <w:sz w:val="32"/>
                <w:szCs w:val="32"/>
              </w:rPr>
            </w:pPr>
          </w:p>
        </w:tc>
        <w:tc>
          <w:tcPr>
            <w:tcW w:w="643" w:type="dxa"/>
            <w:shd w:val="clear" w:color="auto" w:fill="E6EFFA"/>
            <w:vAlign w:val="center"/>
          </w:tcPr>
          <w:p w14:paraId="2DBAB1AB">
            <w:pPr>
              <w:jc w:val="center"/>
              <w:rPr>
                <w:rFonts w:ascii="仿宋_GB2312" w:eastAsia="仿宋_GB2312" w:cs="宋体" w:hAnsiTheme="minorEastAsia"/>
                <w:sz w:val="32"/>
                <w:szCs w:val="32"/>
              </w:rPr>
            </w:pPr>
            <w:r>
              <w:rPr>
                <w:rFonts w:hint="eastAsia" w:ascii="仿宋_GB2312" w:eastAsia="仿宋_GB2312" w:hAnsiTheme="minorEastAsia"/>
                <w:sz w:val="32"/>
                <w:szCs w:val="32"/>
              </w:rPr>
              <w:t>序号</w:t>
            </w:r>
          </w:p>
        </w:tc>
        <w:tc>
          <w:tcPr>
            <w:tcW w:w="1759" w:type="dxa"/>
            <w:shd w:val="clear" w:color="auto" w:fill="E6EFFA"/>
            <w:vAlign w:val="center"/>
          </w:tcPr>
          <w:p w14:paraId="70792793">
            <w:pPr>
              <w:jc w:val="center"/>
              <w:rPr>
                <w:rFonts w:ascii="仿宋_GB2312" w:eastAsia="仿宋_GB2312" w:cs="宋体" w:hAnsiTheme="minorEastAsia"/>
                <w:sz w:val="32"/>
                <w:szCs w:val="32"/>
              </w:rPr>
            </w:pPr>
            <w:r>
              <w:rPr>
                <w:rFonts w:hint="eastAsia" w:ascii="仿宋_GB2312" w:eastAsia="仿宋_GB2312" w:hAnsiTheme="minorEastAsia"/>
                <w:sz w:val="32"/>
                <w:szCs w:val="32"/>
              </w:rPr>
              <w:t>评分因素</w:t>
            </w:r>
          </w:p>
        </w:tc>
        <w:tc>
          <w:tcPr>
            <w:tcW w:w="993" w:type="dxa"/>
            <w:shd w:val="clear" w:color="auto" w:fill="E6EFFA"/>
            <w:vAlign w:val="center"/>
          </w:tcPr>
          <w:p w14:paraId="7AE9337F">
            <w:pPr>
              <w:jc w:val="center"/>
              <w:rPr>
                <w:rFonts w:ascii="仿宋_GB2312" w:eastAsia="仿宋_GB2312" w:cs="宋体" w:hAnsiTheme="minorEastAsia"/>
                <w:sz w:val="32"/>
                <w:szCs w:val="32"/>
              </w:rPr>
            </w:pPr>
            <w:r>
              <w:rPr>
                <w:rFonts w:hint="eastAsia" w:ascii="仿宋_GB2312" w:eastAsia="仿宋_GB2312" w:hAnsiTheme="minorEastAsia"/>
                <w:sz w:val="32"/>
                <w:szCs w:val="32"/>
              </w:rPr>
              <w:t>权重</w:t>
            </w:r>
          </w:p>
        </w:tc>
        <w:tc>
          <w:tcPr>
            <w:tcW w:w="5109" w:type="dxa"/>
            <w:shd w:val="clear" w:color="auto" w:fill="E6EFFA"/>
            <w:vAlign w:val="center"/>
          </w:tcPr>
          <w:p w14:paraId="6E0D71D4">
            <w:pPr>
              <w:jc w:val="center"/>
              <w:rPr>
                <w:rFonts w:ascii="仿宋_GB2312" w:eastAsia="仿宋_GB2312" w:cs="宋体" w:hAnsiTheme="minorEastAsia"/>
                <w:sz w:val="32"/>
                <w:szCs w:val="32"/>
              </w:rPr>
            </w:pPr>
            <w:r>
              <w:rPr>
                <w:rFonts w:hint="eastAsia" w:ascii="仿宋_GB2312" w:eastAsia="仿宋_GB2312" w:hAnsiTheme="minorEastAsia"/>
                <w:sz w:val="32"/>
                <w:szCs w:val="32"/>
              </w:rPr>
              <w:t>评分准则</w:t>
            </w:r>
          </w:p>
        </w:tc>
      </w:tr>
      <w:tr w14:paraId="7C3BD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34" w:hRule="atLeast"/>
          <w:jc w:val="center"/>
        </w:trPr>
        <w:tc>
          <w:tcPr>
            <w:tcW w:w="1000" w:type="dxa"/>
            <w:vMerge w:val="continue"/>
            <w:vAlign w:val="center"/>
          </w:tcPr>
          <w:p w14:paraId="18C689D5">
            <w:pPr>
              <w:rPr>
                <w:rFonts w:ascii="仿宋_GB2312" w:eastAsia="仿宋_GB2312" w:cs="宋体" w:hAnsiTheme="minorEastAsia"/>
                <w:b/>
                <w:bCs/>
                <w:color w:val="0000FF"/>
                <w:sz w:val="32"/>
                <w:szCs w:val="32"/>
              </w:rPr>
            </w:pPr>
          </w:p>
        </w:tc>
        <w:tc>
          <w:tcPr>
            <w:tcW w:w="643" w:type="dxa"/>
            <w:vAlign w:val="center"/>
          </w:tcPr>
          <w:p w14:paraId="461E9A8D">
            <w:pPr>
              <w:jc w:val="center"/>
              <w:rPr>
                <w:rFonts w:ascii="仿宋_GB2312" w:eastAsia="仿宋_GB2312" w:hAnsiTheme="minorEastAsia"/>
                <w:sz w:val="32"/>
                <w:szCs w:val="32"/>
              </w:rPr>
            </w:pPr>
            <w:r>
              <w:rPr>
                <w:rFonts w:hint="eastAsia" w:ascii="仿宋_GB2312" w:eastAsia="仿宋_GB2312" w:hAnsiTheme="minorEastAsia"/>
                <w:sz w:val="32"/>
                <w:szCs w:val="32"/>
              </w:rPr>
              <w:t>1</w:t>
            </w:r>
          </w:p>
        </w:tc>
        <w:tc>
          <w:tcPr>
            <w:tcW w:w="1759" w:type="dxa"/>
            <w:vAlign w:val="center"/>
          </w:tcPr>
          <w:p w14:paraId="0F15DBBA">
            <w:pPr>
              <w:spacing w:line="0" w:lineRule="atLeast"/>
              <w:rPr>
                <w:rFonts w:ascii="仿宋_GB2312" w:eastAsia="仿宋_GB2312" w:hAnsiTheme="minorEastAsia"/>
                <w:sz w:val="32"/>
                <w:szCs w:val="32"/>
              </w:rPr>
            </w:pPr>
            <w:r>
              <w:rPr>
                <w:rFonts w:hint="eastAsia" w:ascii="仿宋_GB2312" w:eastAsia="仿宋_GB2312" w:cs="宋体" w:hAnsiTheme="minorEastAsia"/>
                <w:sz w:val="32"/>
                <w:szCs w:val="32"/>
              </w:rPr>
              <w:t>投标人同类项目业绩情况</w:t>
            </w:r>
          </w:p>
        </w:tc>
        <w:tc>
          <w:tcPr>
            <w:tcW w:w="993" w:type="dxa"/>
            <w:vAlign w:val="center"/>
          </w:tcPr>
          <w:p w14:paraId="631CF1C0">
            <w:pPr>
              <w:jc w:val="center"/>
              <w:rPr>
                <w:rFonts w:ascii="仿宋_GB2312" w:eastAsia="仿宋_GB2312" w:hAnsiTheme="minorEastAsia"/>
                <w:sz w:val="32"/>
                <w:szCs w:val="32"/>
              </w:rPr>
            </w:pPr>
            <w:r>
              <w:rPr>
                <w:rFonts w:hint="eastAsia" w:ascii="仿宋_GB2312" w:eastAsia="仿宋_GB2312" w:hAnsiTheme="minorEastAsia"/>
                <w:sz w:val="32"/>
                <w:szCs w:val="32"/>
              </w:rPr>
              <w:t>20</w:t>
            </w:r>
          </w:p>
        </w:tc>
        <w:tc>
          <w:tcPr>
            <w:tcW w:w="5109" w:type="dxa"/>
            <w:vAlign w:val="center"/>
          </w:tcPr>
          <w:p w14:paraId="7F488330">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（一）评分内容：</w:t>
            </w:r>
          </w:p>
          <w:p w14:paraId="2DCE872B">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（2019年1月1日至截标之日，以合同签订日期为准）投标人提供应急安全相关领域宣传的项目业绩，每提供一个项目业绩</w:t>
            </w:r>
            <w:r>
              <w:rPr>
                <w:rFonts w:hint="eastAsia" w:ascii="仿宋_GB2312" w:eastAsia="仿宋_GB2312" w:cs="宋体" w:hAnsiTheme="minorEastAsia"/>
                <w:sz w:val="32"/>
                <w:szCs w:val="32"/>
                <w:lang w:eastAsia="zh-CN"/>
              </w:rPr>
              <w:t>的，</w:t>
            </w:r>
            <w:r>
              <w:rPr>
                <w:rFonts w:hint="eastAsia" w:ascii="仿宋_GB2312" w:eastAsia="仿宋_GB2312" w:cs="宋体" w:hAnsiTheme="minorEastAsia"/>
                <w:sz w:val="32"/>
                <w:szCs w:val="32"/>
              </w:rPr>
              <w:t>得</w:t>
            </w:r>
            <w:r>
              <w:rPr>
                <w:rFonts w:hint="eastAsia" w:ascii="仿宋_GB2312" w:eastAsia="仿宋_GB2312" w:cs="宋体" w:hAnsiTheme="minorEastAsia"/>
                <w:sz w:val="32"/>
                <w:szCs w:val="32"/>
                <w:lang w:val="en-US" w:eastAsia="zh-CN"/>
              </w:rPr>
              <w:t>4</w:t>
            </w:r>
            <w:r>
              <w:rPr>
                <w:rFonts w:hint="eastAsia" w:ascii="仿宋_GB2312" w:eastAsia="仿宋_GB2312" w:cs="宋体" w:hAnsiTheme="minorEastAsia"/>
                <w:sz w:val="32"/>
                <w:szCs w:val="32"/>
              </w:rPr>
              <w:t>分，本项最高得</w:t>
            </w:r>
            <w:r>
              <w:rPr>
                <w:rFonts w:hint="eastAsia" w:ascii="仿宋_GB2312" w:eastAsia="仿宋_GB2312" w:cs="宋体" w:hAnsiTheme="minorEastAsia"/>
                <w:sz w:val="32"/>
                <w:szCs w:val="32"/>
                <w:lang w:val="en-US" w:eastAsia="zh-CN"/>
              </w:rPr>
              <w:t>20</w:t>
            </w:r>
            <w:r>
              <w:rPr>
                <w:rFonts w:hint="eastAsia" w:ascii="仿宋_GB2312" w:eastAsia="仿宋_GB2312" w:cs="宋体" w:hAnsiTheme="minorEastAsia"/>
                <w:sz w:val="32"/>
                <w:szCs w:val="32"/>
              </w:rPr>
              <w:t>分。</w:t>
            </w:r>
          </w:p>
          <w:p w14:paraId="6A15FEFB">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（二）评分依据：</w:t>
            </w:r>
          </w:p>
          <w:p w14:paraId="2ECA28F4">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1、要求同时提供合同关键页面（合同关键页面包含但不限于合同首页、采购内容、签订时间、双方名称和双方企业公章）或中标通知书关键信息作为得分依据。</w:t>
            </w:r>
          </w:p>
          <w:p w14:paraId="3FE30FF2">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2、通过合同或中标通知书关键信息无法判断是否得分的，也可以提供能证明得分的其它证明资料，如项目报告或甲方出具的证明文件等。</w:t>
            </w:r>
          </w:p>
          <w:p w14:paraId="549D9B72">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3、以上资料均要求提供盖章扫描件复印件，原件备查。</w:t>
            </w:r>
          </w:p>
        </w:tc>
      </w:tr>
      <w:tr w14:paraId="29C3A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34" w:hRule="atLeast"/>
          <w:jc w:val="center"/>
        </w:trPr>
        <w:tc>
          <w:tcPr>
            <w:tcW w:w="1000" w:type="dxa"/>
            <w:vMerge w:val="continue"/>
            <w:vAlign w:val="center"/>
          </w:tcPr>
          <w:p w14:paraId="6E527C7F">
            <w:pPr>
              <w:rPr>
                <w:rFonts w:ascii="仿宋_GB2312" w:eastAsia="仿宋_GB2312" w:cs="宋体" w:hAnsiTheme="minorEastAsia"/>
                <w:b/>
                <w:bCs/>
                <w:color w:val="0000FF"/>
                <w:sz w:val="32"/>
                <w:szCs w:val="32"/>
              </w:rPr>
            </w:pPr>
          </w:p>
        </w:tc>
        <w:tc>
          <w:tcPr>
            <w:tcW w:w="643" w:type="dxa"/>
            <w:vAlign w:val="center"/>
          </w:tcPr>
          <w:p w14:paraId="65C524F7">
            <w:pPr>
              <w:jc w:val="center"/>
              <w:rPr>
                <w:rFonts w:hint="eastAsia" w:ascii="仿宋_GB2312" w:eastAsia="仿宋_GB2312" w:hAnsiTheme="minorEastAsia"/>
                <w:sz w:val="32"/>
                <w:szCs w:val="32"/>
              </w:rPr>
            </w:pPr>
            <w:r>
              <w:rPr>
                <w:rFonts w:hint="eastAsia" w:ascii="仿宋_GB2312" w:eastAsia="仿宋_GB2312" w:hAnsiTheme="minorEastAsia"/>
                <w:sz w:val="32"/>
                <w:szCs w:val="32"/>
              </w:rPr>
              <w:t>2</w:t>
            </w:r>
          </w:p>
        </w:tc>
        <w:tc>
          <w:tcPr>
            <w:tcW w:w="1759" w:type="dxa"/>
            <w:vAlign w:val="center"/>
          </w:tcPr>
          <w:p w14:paraId="428ACDFE">
            <w:pPr>
              <w:spacing w:line="0" w:lineRule="atLeast"/>
              <w:rPr>
                <w:rFonts w:hint="eastAsia" w:ascii="仿宋_GB2312" w:eastAsia="仿宋_GB2312" w:cs="宋体" w:hAnsiTheme="minorEastAsia"/>
                <w:sz w:val="32"/>
                <w:szCs w:val="32"/>
              </w:rPr>
            </w:pPr>
            <w:r>
              <w:rPr>
                <w:rFonts w:hint="eastAsia" w:ascii="仿宋_GB2312" w:eastAsia="仿宋_GB2312" w:cs="宋体" w:hAnsiTheme="minorEastAsia"/>
                <w:sz w:val="32"/>
                <w:szCs w:val="32"/>
              </w:rPr>
              <w:t>项目履约及验收情况</w:t>
            </w:r>
          </w:p>
        </w:tc>
        <w:tc>
          <w:tcPr>
            <w:tcW w:w="993" w:type="dxa"/>
            <w:vAlign w:val="center"/>
          </w:tcPr>
          <w:p w14:paraId="6F26251C">
            <w:pPr>
              <w:jc w:val="center"/>
              <w:rPr>
                <w:rFonts w:hint="eastAsia" w:ascii="仿宋_GB2312" w:eastAsia="仿宋_GB2312" w:hAnsiTheme="minorEastAsia"/>
                <w:sz w:val="32"/>
                <w:szCs w:val="32"/>
              </w:rPr>
            </w:pPr>
            <w:r>
              <w:rPr>
                <w:rFonts w:hint="eastAsia" w:ascii="仿宋_GB2312" w:eastAsia="仿宋_GB2312" w:hAnsiTheme="minorEastAsia"/>
                <w:sz w:val="32"/>
                <w:szCs w:val="32"/>
              </w:rPr>
              <w:t>10</w:t>
            </w:r>
          </w:p>
        </w:tc>
        <w:tc>
          <w:tcPr>
            <w:tcW w:w="5109" w:type="dxa"/>
            <w:vAlign w:val="center"/>
          </w:tcPr>
          <w:p w14:paraId="12960C58">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（一）评分内容：</w:t>
            </w:r>
          </w:p>
          <w:p w14:paraId="5AFDED7C">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投标人提供应急安全相关领域宣传的项目的履约评价或者验收报告且结果为合格（或等同于合格的），每提供一个</w:t>
            </w:r>
            <w:r>
              <w:rPr>
                <w:rFonts w:hint="eastAsia" w:ascii="仿宋_GB2312" w:eastAsia="仿宋_GB2312" w:cs="宋体" w:hAnsiTheme="minorEastAsia"/>
                <w:sz w:val="32"/>
                <w:szCs w:val="32"/>
                <w:lang w:eastAsia="zh-CN"/>
              </w:rPr>
              <w:t>的，</w:t>
            </w:r>
            <w:r>
              <w:rPr>
                <w:rFonts w:hint="eastAsia" w:ascii="仿宋_GB2312" w:eastAsia="仿宋_GB2312" w:cs="宋体" w:hAnsiTheme="minorEastAsia"/>
                <w:sz w:val="32"/>
                <w:szCs w:val="32"/>
              </w:rPr>
              <w:t>得</w:t>
            </w:r>
            <w:r>
              <w:rPr>
                <w:rFonts w:hint="eastAsia" w:ascii="仿宋_GB2312" w:eastAsia="仿宋_GB2312" w:cs="宋体" w:hAnsiTheme="minorEastAsia"/>
                <w:sz w:val="32"/>
                <w:szCs w:val="32"/>
                <w:lang w:val="en-US" w:eastAsia="zh-CN"/>
              </w:rPr>
              <w:t>2.5</w:t>
            </w:r>
            <w:r>
              <w:rPr>
                <w:rFonts w:hint="eastAsia" w:ascii="仿宋_GB2312" w:eastAsia="仿宋_GB2312" w:cs="宋体" w:hAnsiTheme="minorEastAsia"/>
                <w:sz w:val="32"/>
                <w:szCs w:val="32"/>
              </w:rPr>
              <w:t>分，本项最高得</w:t>
            </w:r>
            <w:r>
              <w:rPr>
                <w:rFonts w:hint="eastAsia" w:ascii="仿宋_GB2312" w:eastAsia="仿宋_GB2312" w:cs="宋体" w:hAnsiTheme="minorEastAsia"/>
                <w:sz w:val="32"/>
                <w:szCs w:val="32"/>
                <w:lang w:val="en-US" w:eastAsia="zh-CN"/>
              </w:rPr>
              <w:t>10</w:t>
            </w:r>
            <w:r>
              <w:rPr>
                <w:rFonts w:hint="eastAsia" w:ascii="仿宋_GB2312" w:eastAsia="仿宋_GB2312" w:cs="宋体" w:hAnsiTheme="minorEastAsia"/>
                <w:sz w:val="32"/>
                <w:szCs w:val="32"/>
              </w:rPr>
              <w:t>分。</w:t>
            </w:r>
          </w:p>
          <w:p w14:paraId="1391D83C">
            <w:pPr>
              <w:spacing w:line="0" w:lineRule="atLeast"/>
              <w:ind w:firstLine="482"/>
              <w:rPr>
                <w:rFonts w:ascii="仿宋_GB2312" w:eastAsia="仿宋_GB2312" w:cs="宋体" w:hAnsiTheme="minorEastAsia"/>
                <w:b/>
                <w:bCs/>
                <w:sz w:val="32"/>
                <w:szCs w:val="32"/>
              </w:rPr>
            </w:pPr>
            <w:r>
              <w:rPr>
                <w:rFonts w:hint="eastAsia" w:ascii="仿宋_GB2312" w:eastAsia="仿宋_GB2312" w:cs="宋体" w:hAnsiTheme="minorEastAsia"/>
                <w:b/>
                <w:bCs/>
                <w:sz w:val="32"/>
                <w:szCs w:val="32"/>
              </w:rPr>
              <w:t>（二）评分依据：</w:t>
            </w:r>
          </w:p>
          <w:p w14:paraId="0E7E0651">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1、要求同时提供合同关键页面（合同关键页面包含但不限于合同首页、采购内容、签订时间、双方名称和双方企业公章）或中标通知书关键信息作为得分依据。</w:t>
            </w:r>
          </w:p>
          <w:p w14:paraId="2958B4C5">
            <w:pPr>
              <w:spacing w:line="0" w:lineRule="atLeast"/>
              <w:ind w:firstLine="482"/>
              <w:rPr>
                <w:rFonts w:ascii="仿宋_GB2312" w:eastAsia="仿宋_GB2312" w:cs="宋体" w:hAnsiTheme="minorEastAsia"/>
                <w:sz w:val="32"/>
                <w:szCs w:val="32"/>
              </w:rPr>
            </w:pPr>
            <w:r>
              <w:rPr>
                <w:rFonts w:hint="eastAsia" w:ascii="仿宋_GB2312" w:eastAsia="仿宋_GB2312" w:cs="宋体" w:hAnsiTheme="minorEastAsia"/>
                <w:sz w:val="32"/>
                <w:szCs w:val="32"/>
              </w:rPr>
              <w:t>2、通过合同或中标通知书关键信息无法判断是否得分的，也可以提供能证明得分的其它证明资料，如项目报告或甲方出具的证明文件等。</w:t>
            </w:r>
          </w:p>
          <w:p w14:paraId="5CDA782A">
            <w:pPr>
              <w:spacing w:line="0" w:lineRule="atLeast"/>
              <w:ind w:firstLine="482"/>
              <w:rPr>
                <w:rFonts w:hint="eastAsia" w:ascii="仿宋_GB2312" w:eastAsia="仿宋_GB2312" w:cs="宋体" w:hAnsiTheme="minorEastAsia"/>
                <w:b/>
                <w:bCs/>
                <w:sz w:val="32"/>
                <w:szCs w:val="32"/>
              </w:rPr>
            </w:pPr>
            <w:r>
              <w:rPr>
                <w:rFonts w:hint="eastAsia" w:ascii="仿宋_GB2312" w:eastAsia="仿宋_GB2312" w:cs="宋体" w:hAnsiTheme="minorEastAsia"/>
                <w:sz w:val="32"/>
                <w:szCs w:val="32"/>
              </w:rPr>
              <w:t>3、以上资料均要求提供盖章扫描件复印件，原件备查。</w:t>
            </w:r>
          </w:p>
        </w:tc>
      </w:tr>
      <w:tr w14:paraId="5F6D6B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20" w:type="dxa"/>
            <w:left w:w="108" w:type="dxa"/>
            <w:bottom w:w="20" w:type="dxa"/>
            <w:right w:w="108" w:type="dxa"/>
          </w:tblCellMar>
        </w:tblPrEx>
        <w:trPr>
          <w:trHeight w:val="134" w:hRule="atLeast"/>
          <w:jc w:val="center"/>
        </w:trPr>
        <w:tc>
          <w:tcPr>
            <w:tcW w:w="1000" w:type="dxa"/>
            <w:vMerge w:val="continue"/>
            <w:vAlign w:val="center"/>
          </w:tcPr>
          <w:p w14:paraId="026AD441">
            <w:pPr>
              <w:rPr>
                <w:rFonts w:ascii="仿宋_GB2312" w:eastAsia="仿宋_GB2312" w:cs="宋体" w:hAnsiTheme="minorEastAsia"/>
                <w:b/>
                <w:bCs/>
                <w:color w:val="0000FF"/>
                <w:sz w:val="32"/>
                <w:szCs w:val="32"/>
              </w:rPr>
            </w:pPr>
          </w:p>
        </w:tc>
        <w:tc>
          <w:tcPr>
            <w:tcW w:w="643" w:type="dxa"/>
            <w:vAlign w:val="center"/>
          </w:tcPr>
          <w:p w14:paraId="25C256DA">
            <w:pPr>
              <w:jc w:val="center"/>
              <w:rPr>
                <w:rFonts w:ascii="仿宋_GB2312" w:eastAsia="仿宋_GB2312" w:hAnsiTheme="minorEastAsia"/>
                <w:sz w:val="32"/>
                <w:szCs w:val="32"/>
              </w:rPr>
            </w:pPr>
            <w:r>
              <w:rPr>
                <w:rFonts w:hint="eastAsia" w:ascii="仿宋_GB2312" w:eastAsia="仿宋_GB2312" w:hAnsiTheme="minorEastAsia"/>
                <w:sz w:val="32"/>
                <w:szCs w:val="32"/>
              </w:rPr>
              <w:t>3</w:t>
            </w:r>
          </w:p>
        </w:tc>
        <w:tc>
          <w:tcPr>
            <w:tcW w:w="1759" w:type="dxa"/>
            <w:vAlign w:val="center"/>
          </w:tcPr>
          <w:p w14:paraId="34631300">
            <w:pPr>
              <w:rPr>
                <w:rFonts w:ascii="仿宋_GB2312" w:eastAsia="仿宋_GB2312" w:hAnsiTheme="minorEastAsia"/>
                <w:sz w:val="32"/>
                <w:szCs w:val="32"/>
              </w:rPr>
            </w:pPr>
            <w:r>
              <w:rPr>
                <w:rFonts w:hint="eastAsia" w:ascii="仿宋_GB2312" w:eastAsia="仿宋_GB2312" w:hAnsiTheme="minorEastAsia"/>
                <w:sz w:val="32"/>
                <w:szCs w:val="32"/>
              </w:rPr>
              <w:t>服务便利性</w:t>
            </w:r>
          </w:p>
        </w:tc>
        <w:tc>
          <w:tcPr>
            <w:tcW w:w="993" w:type="dxa"/>
            <w:vAlign w:val="center"/>
          </w:tcPr>
          <w:p w14:paraId="48216407">
            <w:pPr>
              <w:jc w:val="center"/>
              <w:rPr>
                <w:rFonts w:ascii="仿宋_GB2312" w:eastAsia="仿宋_GB2312" w:hAnsiTheme="minorEastAsia"/>
                <w:sz w:val="32"/>
                <w:szCs w:val="32"/>
              </w:rPr>
            </w:pPr>
            <w:r>
              <w:rPr>
                <w:rFonts w:hint="eastAsia" w:ascii="仿宋_GB2312" w:eastAsia="仿宋_GB2312" w:hAnsiTheme="minorEastAsia"/>
                <w:sz w:val="32"/>
                <w:szCs w:val="32"/>
              </w:rPr>
              <w:t>5</w:t>
            </w:r>
          </w:p>
        </w:tc>
        <w:tc>
          <w:tcPr>
            <w:tcW w:w="5109" w:type="dxa"/>
            <w:vAlign w:val="center"/>
          </w:tcPr>
          <w:p w14:paraId="182E045D">
            <w:pPr>
              <w:spacing w:line="0" w:lineRule="atLeast"/>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（一）评审内容：</w:t>
            </w:r>
          </w:p>
          <w:p w14:paraId="69A2DF15">
            <w:pPr>
              <w:spacing w:line="0" w:lineRule="atLeas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1.</w:t>
            </w:r>
            <w:r>
              <w:rPr>
                <w:rFonts w:hint="eastAsia" w:ascii="仿宋_GB2312" w:hAnsi="宋体" w:eastAsia="仿宋_GB2312" w:cs="宋体"/>
                <w:color w:val="000000"/>
                <w:sz w:val="32"/>
                <w:szCs w:val="32"/>
              </w:rPr>
              <w:t>投标人在深圳市南山区有办公场所</w:t>
            </w:r>
            <w:r>
              <w:rPr>
                <w:rFonts w:hint="eastAsia" w:ascii="仿宋_GB2312" w:hAnsi="宋体" w:eastAsia="仿宋_GB2312" w:cs="宋体"/>
                <w:color w:val="000000"/>
                <w:sz w:val="32"/>
                <w:szCs w:val="32"/>
                <w:lang w:eastAsia="zh-CN"/>
              </w:rPr>
              <w:t>的，</w:t>
            </w:r>
            <w:r>
              <w:rPr>
                <w:rFonts w:hint="eastAsia" w:ascii="仿宋_GB2312" w:hAnsi="宋体" w:eastAsia="仿宋_GB2312" w:cs="宋体"/>
                <w:color w:val="000000"/>
                <w:sz w:val="32"/>
                <w:szCs w:val="32"/>
              </w:rPr>
              <w:t>得</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分；</w:t>
            </w:r>
          </w:p>
          <w:p w14:paraId="0B599289">
            <w:pPr>
              <w:spacing w:line="0" w:lineRule="atLeast"/>
              <w:ind w:firstLine="640" w:firstLineChars="200"/>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lang w:val="en-US" w:eastAsia="zh-CN"/>
              </w:rPr>
              <w:t>2.</w:t>
            </w:r>
            <w:r>
              <w:rPr>
                <w:rFonts w:hint="eastAsia" w:ascii="仿宋_GB2312" w:hAnsi="宋体" w:eastAsia="仿宋_GB2312" w:cs="宋体"/>
                <w:color w:val="000000"/>
                <w:sz w:val="32"/>
                <w:szCs w:val="32"/>
              </w:rPr>
              <w:t>如投标人在上述地区暂无办公场所的，投标人承诺中标后2个月内在深圳市南山区设立办公场所的</w:t>
            </w:r>
            <w:r>
              <w:rPr>
                <w:rFonts w:hint="eastAsia" w:ascii="仿宋_GB2312" w:hAnsi="宋体" w:eastAsia="仿宋_GB2312" w:cs="宋体"/>
                <w:color w:val="000000"/>
                <w:sz w:val="32"/>
                <w:szCs w:val="32"/>
                <w:lang w:eastAsia="zh-CN"/>
              </w:rPr>
              <w:t>，</w:t>
            </w:r>
            <w:r>
              <w:rPr>
                <w:rFonts w:hint="eastAsia" w:ascii="仿宋_GB2312" w:hAnsi="宋体" w:eastAsia="仿宋_GB2312" w:cs="宋体"/>
                <w:color w:val="000000"/>
                <w:sz w:val="32"/>
                <w:szCs w:val="32"/>
              </w:rPr>
              <w:t>得</w:t>
            </w:r>
            <w:r>
              <w:rPr>
                <w:rFonts w:hint="eastAsia" w:ascii="仿宋_GB2312" w:hAnsi="宋体" w:eastAsia="仿宋_GB2312" w:cs="宋体"/>
                <w:color w:val="000000"/>
                <w:sz w:val="32"/>
                <w:szCs w:val="32"/>
                <w:lang w:val="en-US" w:eastAsia="zh-CN"/>
              </w:rPr>
              <w:t>3</w:t>
            </w:r>
            <w:r>
              <w:rPr>
                <w:rFonts w:hint="eastAsia" w:ascii="仿宋_GB2312" w:hAnsi="宋体" w:eastAsia="仿宋_GB2312" w:cs="宋体"/>
                <w:color w:val="000000"/>
                <w:sz w:val="32"/>
                <w:szCs w:val="32"/>
              </w:rPr>
              <w:t>分；</w:t>
            </w:r>
          </w:p>
          <w:p w14:paraId="4BBD7186">
            <w:pPr>
              <w:spacing w:line="0" w:lineRule="atLeast"/>
              <w:ind w:firstLine="640" w:firstLineChars="200"/>
              <w:rPr>
                <w:rFonts w:ascii="仿宋_GB2312" w:hAnsi="宋体" w:eastAsia="仿宋_GB2312" w:cs="宋体"/>
                <w:color w:val="000000"/>
                <w:sz w:val="32"/>
                <w:szCs w:val="32"/>
              </w:rPr>
            </w:pPr>
            <w:r>
              <w:rPr>
                <w:rFonts w:hint="eastAsia" w:ascii="仿宋_GB2312" w:hAnsi="宋体" w:eastAsia="仿宋_GB2312" w:cs="宋体"/>
                <w:color w:val="000000"/>
                <w:sz w:val="32"/>
                <w:szCs w:val="32"/>
              </w:rPr>
              <w:t>其它情况不得分，本项最高得</w:t>
            </w:r>
            <w:r>
              <w:rPr>
                <w:rFonts w:hint="eastAsia" w:ascii="仿宋_GB2312" w:hAnsi="宋体" w:eastAsia="仿宋_GB2312" w:cs="宋体"/>
                <w:color w:val="000000"/>
                <w:sz w:val="32"/>
                <w:szCs w:val="32"/>
                <w:lang w:val="en-US" w:eastAsia="zh-CN"/>
              </w:rPr>
              <w:t>5</w:t>
            </w:r>
            <w:r>
              <w:rPr>
                <w:rFonts w:hint="eastAsia" w:ascii="仿宋_GB2312" w:hAnsi="宋体" w:eastAsia="仿宋_GB2312" w:cs="宋体"/>
                <w:color w:val="000000"/>
                <w:sz w:val="32"/>
                <w:szCs w:val="32"/>
              </w:rPr>
              <w:t>分，且本项不可累积得分，以得分最优情况计分。</w:t>
            </w:r>
          </w:p>
          <w:p w14:paraId="0D8CD200">
            <w:pPr>
              <w:spacing w:line="0" w:lineRule="atLeast"/>
              <w:rPr>
                <w:rFonts w:ascii="仿宋_GB2312" w:hAnsi="宋体" w:eastAsia="仿宋_GB2312" w:cs="宋体"/>
                <w:b/>
                <w:color w:val="000000"/>
                <w:sz w:val="32"/>
                <w:szCs w:val="32"/>
              </w:rPr>
            </w:pPr>
            <w:r>
              <w:rPr>
                <w:rFonts w:hint="eastAsia" w:ascii="仿宋_GB2312" w:hAnsi="宋体" w:eastAsia="仿宋_GB2312" w:cs="宋体"/>
                <w:b/>
                <w:color w:val="000000"/>
                <w:sz w:val="32"/>
                <w:szCs w:val="32"/>
              </w:rPr>
              <w:t>（二）评分依据：</w:t>
            </w:r>
          </w:p>
          <w:p w14:paraId="18396325">
            <w:pPr>
              <w:spacing w:line="0" w:lineRule="atLeast"/>
              <w:ind w:firstLine="640" w:firstLineChars="200"/>
              <w:rPr>
                <w:rFonts w:ascii="仿宋_GB2312" w:eastAsia="仿宋_GB2312" w:hAnsiTheme="minorEastAsia"/>
                <w:sz w:val="32"/>
                <w:szCs w:val="32"/>
              </w:rPr>
            </w:pPr>
            <w:r>
              <w:rPr>
                <w:rFonts w:hint="eastAsia" w:ascii="仿宋_GB2312" w:hAnsi="宋体" w:eastAsia="仿宋_GB2312" w:cs="宋体"/>
                <w:color w:val="000000"/>
                <w:sz w:val="32"/>
                <w:szCs w:val="32"/>
              </w:rPr>
              <w:t>提供投标人房产证、有效房产买卖合同、有效租赁合同、房屋所有权人出具的有效房屋使用证明、营业执照或民办非企业单位登记证书或生效法律文书等能证明投标人在上述地区有办公场所的材料扫描件或承诺函（格式自拟），原件备查。</w:t>
            </w:r>
          </w:p>
        </w:tc>
      </w:tr>
    </w:tbl>
    <w:p w14:paraId="6C52A16C">
      <w:pPr>
        <w:pStyle w:val="3"/>
      </w:pPr>
      <w:r>
        <w:rPr>
          <w:rFonts w:hint="eastAsia"/>
        </w:rPr>
        <w:t>第一章</w:t>
      </w:r>
      <w:bookmarkStart w:id="0" w:name="_Hlk90041304"/>
      <w:r>
        <w:rPr>
          <w:rFonts w:hint="eastAsia"/>
        </w:rPr>
        <w:t>招标公告</w:t>
      </w:r>
    </w:p>
    <w:p w14:paraId="405F6C69">
      <w:pPr>
        <w:pStyle w:val="15"/>
        <w:numPr>
          <w:ilvl w:val="0"/>
          <w:numId w:val="1"/>
        </w:numPr>
        <w:shd w:val="clear" w:color="auto" w:fill="FFFFFF"/>
        <w:spacing w:before="0" w:beforeAutospacing="0" w:after="150" w:afterAutospacing="0" w:line="500" w:lineRule="exact"/>
        <w:ind w:firstLine="640"/>
        <w:rPr>
          <w:rFonts w:ascii="黑体" w:hAnsi="黑体" w:eastAsia="黑体" w:cs="黑体"/>
          <w:bCs/>
          <w:kern w:val="2"/>
          <w:sz w:val="32"/>
          <w:szCs w:val="32"/>
        </w:rPr>
      </w:pPr>
      <w:r>
        <w:rPr>
          <w:rFonts w:hint="eastAsia" w:ascii="黑体" w:hAnsi="黑体" w:eastAsia="黑体" w:cs="黑体"/>
          <w:bCs/>
          <w:kern w:val="2"/>
          <w:sz w:val="32"/>
          <w:szCs w:val="32"/>
        </w:rPr>
        <w:t>项目基本情况</w:t>
      </w:r>
    </w:p>
    <w:p w14:paraId="309FA5BA">
      <w:pPr>
        <w:spacing w:line="500" w:lineRule="exact"/>
        <w:ind w:firstLine="640" w:firstLineChars="200"/>
        <w:rPr>
          <w:rFonts w:ascii="仿宋_GB2312" w:eastAsia="仿宋_GB2312"/>
          <w:sz w:val="32"/>
          <w:szCs w:val="32"/>
        </w:rPr>
      </w:pPr>
      <w:r>
        <w:rPr>
          <w:rFonts w:hint="eastAsia" w:ascii="仿宋_GB2312" w:eastAsia="仿宋_GB2312"/>
          <w:sz w:val="32"/>
          <w:szCs w:val="32"/>
        </w:rPr>
        <w:t>项目编号：</w:t>
      </w:r>
      <w:r>
        <w:rPr>
          <w:rFonts w:ascii="仿宋_GB2312" w:eastAsia="仿宋_GB2312"/>
          <w:sz w:val="32"/>
          <w:szCs w:val="32"/>
        </w:rPr>
        <w:t>NSYJ202</w:t>
      </w:r>
      <w:r>
        <w:rPr>
          <w:rFonts w:hint="eastAsia" w:ascii="仿宋_GB2312" w:eastAsia="仿宋_GB2312"/>
          <w:sz w:val="32"/>
          <w:szCs w:val="32"/>
        </w:rPr>
        <w:t>2</w:t>
      </w:r>
      <w:r>
        <w:rPr>
          <w:rFonts w:ascii="仿宋_GB2312" w:eastAsia="仿宋_GB2312"/>
          <w:sz w:val="32"/>
          <w:szCs w:val="32"/>
        </w:rPr>
        <w:t>0</w:t>
      </w:r>
      <w:r>
        <w:rPr>
          <w:rFonts w:hint="eastAsia" w:ascii="仿宋_GB2312" w:eastAsia="仿宋_GB2312"/>
          <w:sz w:val="32"/>
          <w:szCs w:val="32"/>
        </w:rPr>
        <w:t>01</w:t>
      </w:r>
    </w:p>
    <w:p w14:paraId="75305CDF">
      <w:pPr>
        <w:spacing w:line="500" w:lineRule="exact"/>
        <w:ind w:firstLine="640" w:firstLineChars="200"/>
        <w:rPr>
          <w:rFonts w:ascii="仿宋_GB2312" w:hAnsi="宋体" w:eastAsia="仿宋_GB2312"/>
          <w:sz w:val="32"/>
          <w:szCs w:val="32"/>
        </w:rPr>
      </w:pPr>
      <w:r>
        <w:rPr>
          <w:rFonts w:hint="eastAsia" w:ascii="仿宋_GB2312" w:eastAsia="仿宋_GB2312"/>
          <w:sz w:val="32"/>
          <w:szCs w:val="32"/>
        </w:rPr>
        <w:t>项目名称：</w:t>
      </w:r>
      <w:r>
        <w:rPr>
          <w:rFonts w:hint="eastAsia" w:ascii="仿宋_GB2312" w:hAnsi="宋体" w:eastAsia="仿宋_GB2312"/>
          <w:sz w:val="32"/>
          <w:szCs w:val="32"/>
        </w:rPr>
        <w:t>深圳市南山区应急管理局2022年度线下公益广告宣传服务项目</w:t>
      </w:r>
    </w:p>
    <w:p w14:paraId="3BEFC07D">
      <w:pPr>
        <w:spacing w:line="500" w:lineRule="exact"/>
        <w:ind w:firstLine="640" w:firstLineChars="200"/>
        <w:rPr>
          <w:rFonts w:ascii="仿宋_GB2312" w:eastAsia="仿宋_GB2312"/>
          <w:sz w:val="32"/>
          <w:szCs w:val="32"/>
        </w:rPr>
      </w:pPr>
      <w:r>
        <w:rPr>
          <w:rFonts w:hint="eastAsia" w:ascii="仿宋_GB2312" w:eastAsia="仿宋_GB2312"/>
          <w:sz w:val="32"/>
          <w:szCs w:val="32"/>
        </w:rPr>
        <w:t>预算金额：</w:t>
      </w:r>
      <w:r>
        <w:rPr>
          <w:rFonts w:hint="default" w:ascii="仿宋_GB2312" w:hAnsi="宋体" w:eastAsia="仿宋_GB2312"/>
          <w:sz w:val="32"/>
          <w:szCs w:val="32"/>
          <w:lang w:val="en"/>
        </w:rPr>
        <w:t>95</w:t>
      </w:r>
      <w:r>
        <w:rPr>
          <w:rFonts w:hint="eastAsia" w:ascii="仿宋_GB2312" w:hAnsi="宋体" w:eastAsia="仿宋_GB2312"/>
          <w:sz w:val="32"/>
          <w:szCs w:val="32"/>
        </w:rPr>
        <w:t>万</w:t>
      </w:r>
      <w:r>
        <w:rPr>
          <w:rFonts w:hint="eastAsia" w:ascii="仿宋_GB2312" w:eastAsia="仿宋_GB2312"/>
          <w:sz w:val="32"/>
          <w:szCs w:val="32"/>
        </w:rPr>
        <w:t>元</w:t>
      </w:r>
    </w:p>
    <w:p w14:paraId="1CE8E214">
      <w:pPr>
        <w:spacing w:line="500" w:lineRule="exact"/>
        <w:ind w:firstLine="640" w:firstLineChars="200"/>
        <w:rPr>
          <w:rFonts w:ascii="仿宋_GB2312" w:eastAsia="仿宋_GB2312"/>
          <w:sz w:val="32"/>
          <w:szCs w:val="32"/>
        </w:rPr>
      </w:pPr>
      <w:r>
        <w:rPr>
          <w:rFonts w:hint="eastAsia" w:ascii="仿宋_GB2312" w:eastAsia="仿宋_GB2312"/>
          <w:sz w:val="32"/>
          <w:szCs w:val="32"/>
        </w:rPr>
        <w:t>项目需求：详见项目需求文件</w:t>
      </w:r>
    </w:p>
    <w:p w14:paraId="47081ACA">
      <w:pPr>
        <w:pStyle w:val="15"/>
        <w:numPr>
          <w:ilvl w:val="0"/>
          <w:numId w:val="1"/>
        </w:numPr>
        <w:shd w:val="clear" w:color="auto" w:fill="FFFFFF"/>
        <w:spacing w:before="0" w:beforeAutospacing="0" w:after="150" w:afterAutospacing="0" w:line="50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投标人资格要求</w:t>
      </w:r>
    </w:p>
    <w:p w14:paraId="46F334CF">
      <w:pPr>
        <w:spacing w:line="460" w:lineRule="exact"/>
        <w:ind w:firstLine="640" w:firstLineChars="200"/>
        <w:rPr>
          <w:rFonts w:ascii="仿宋_GB2312" w:eastAsia="仿宋_GB2312"/>
          <w:sz w:val="32"/>
          <w:szCs w:val="32"/>
        </w:rPr>
      </w:pPr>
      <w:r>
        <w:rPr>
          <w:rFonts w:hint="eastAsia" w:ascii="仿宋_GB2312" w:eastAsia="仿宋_GB2312"/>
          <w:sz w:val="32"/>
          <w:szCs w:val="32"/>
        </w:rPr>
        <w:t>（一）具有独立承担民事责任能力的在中华人民共和国境内登记注册的法人或其他组织营业执照（或单位登记证书等相关证明材料</w:t>
      </w:r>
      <w:r>
        <w:rPr>
          <w:rFonts w:hint="default" w:ascii="仿宋_GB2312" w:eastAsia="仿宋_GB2312"/>
          <w:sz w:val="32"/>
          <w:szCs w:val="32"/>
        </w:rPr>
        <w:t>）</w:t>
      </w:r>
      <w:r>
        <w:rPr>
          <w:rFonts w:hint="eastAsia" w:ascii="仿宋_GB2312" w:eastAsia="仿宋_GB2312"/>
          <w:sz w:val="32"/>
          <w:szCs w:val="32"/>
        </w:rPr>
        <w:t>；</w:t>
      </w:r>
    </w:p>
    <w:p w14:paraId="0C2252CC">
      <w:pPr>
        <w:spacing w:line="460" w:lineRule="exact"/>
        <w:ind w:firstLine="640" w:firstLineChars="200"/>
        <w:rPr>
          <w:rFonts w:ascii="仿宋_GB2312" w:eastAsia="仿宋_GB2312"/>
          <w:sz w:val="32"/>
          <w:szCs w:val="32"/>
        </w:rPr>
      </w:pPr>
      <w:r>
        <w:rPr>
          <w:rFonts w:hint="eastAsia" w:ascii="仿宋_GB2312" w:eastAsia="仿宋_GB2312"/>
          <w:sz w:val="32"/>
          <w:szCs w:val="32"/>
        </w:rPr>
        <w:t>（二）投标人具备《政府采购法》第二十二条规定的条件，即投标人在参与本项目投标前三年内，在经营活动中没有重大违法记录以及参与本项目政府采购活动时不存在被有关部门禁止参与政府采购活动且在有效期内的情况（提供国家企业信用信息公示系统</w:t>
      </w:r>
      <w:r>
        <w:rPr>
          <w:rFonts w:hint="default" w:ascii="仿宋_GB2312" w:eastAsia="仿宋_GB2312"/>
          <w:sz w:val="32"/>
          <w:szCs w:val="32"/>
        </w:rPr>
        <w:t>&lt;</w:t>
      </w:r>
      <w:r>
        <w:rPr>
          <w:rFonts w:hint="eastAsia" w:ascii="仿宋_GB2312" w:eastAsia="仿宋_GB2312"/>
          <w:sz w:val="32"/>
          <w:szCs w:val="32"/>
        </w:rPr>
        <w:t>www.gsxt.gov.cn</w:t>
      </w:r>
      <w:r>
        <w:rPr>
          <w:rFonts w:hint="default" w:ascii="仿宋_GB2312" w:eastAsia="仿宋_GB2312"/>
          <w:sz w:val="32"/>
          <w:szCs w:val="32"/>
        </w:rPr>
        <w:t>&gt;</w:t>
      </w:r>
      <w:r>
        <w:rPr>
          <w:rFonts w:hint="eastAsia" w:ascii="仿宋_GB2312" w:eastAsia="仿宋_GB2312"/>
          <w:sz w:val="32"/>
          <w:szCs w:val="32"/>
        </w:rPr>
        <w:t>显示的行政处罚信息、列入经营异常名录信息的截图；提供承诺函，承诺函格式详见招标文件“第三章投标文件格式、附件”)；</w:t>
      </w:r>
    </w:p>
    <w:p w14:paraId="017C7054">
      <w:pPr>
        <w:spacing w:line="460" w:lineRule="exact"/>
        <w:ind w:firstLine="640" w:firstLineChars="200"/>
        <w:rPr>
          <w:rFonts w:ascii="仿宋_GB2312" w:eastAsia="仿宋_GB2312"/>
          <w:b/>
          <w:sz w:val="32"/>
          <w:szCs w:val="32"/>
        </w:rPr>
      </w:pPr>
      <w:r>
        <w:rPr>
          <w:rFonts w:hint="eastAsia" w:ascii="仿宋_GB2312" w:eastAsia="仿宋_GB2312"/>
          <w:sz w:val="32"/>
          <w:szCs w:val="32"/>
        </w:rPr>
        <w:t>（三）本项目不接受联合体投标人。</w:t>
      </w:r>
    </w:p>
    <w:p w14:paraId="219DC2F5">
      <w:pPr>
        <w:pStyle w:val="15"/>
        <w:numPr>
          <w:ilvl w:val="0"/>
          <w:numId w:val="1"/>
        </w:numPr>
        <w:shd w:val="clear" w:color="auto" w:fill="FFFFFF"/>
        <w:spacing w:before="0" w:beforeAutospacing="0" w:after="150" w:afterAutospacing="0" w:line="50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投标报名方式、投标截止时间、开标时间及地点：</w:t>
      </w:r>
    </w:p>
    <w:p w14:paraId="218F0768">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（一）获取招标文件方式：网上下载。</w:t>
      </w:r>
    </w:p>
    <w:p w14:paraId="40B999F0">
      <w:pPr>
        <w:spacing w:line="460" w:lineRule="exact"/>
        <w:ind w:firstLine="640" w:firstLineChars="200"/>
        <w:rPr>
          <w:rFonts w:ascii="仿宋_GB2312" w:eastAsia="仿宋_GB2312"/>
          <w:sz w:val="32"/>
          <w:szCs w:val="32"/>
        </w:rPr>
      </w:pPr>
      <w:r>
        <w:rPr>
          <w:rFonts w:hint="eastAsia" w:ascii="仿宋_GB2312" w:eastAsia="仿宋_GB2312"/>
          <w:sz w:val="32"/>
          <w:szCs w:val="32"/>
        </w:rPr>
        <w:t>（二）投标文件递交截止时间：2022年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日下午17:00（北京时间），所有投标文件递交于深圳市南山区应急管理局。</w:t>
      </w:r>
    </w:p>
    <w:p w14:paraId="25E78D71">
      <w:pPr>
        <w:spacing w:line="460" w:lineRule="exact"/>
        <w:ind w:firstLine="640" w:firstLineChars="200"/>
        <w:rPr>
          <w:rFonts w:ascii="仿宋_GB2312" w:eastAsia="仿宋_GB2312"/>
          <w:sz w:val="32"/>
          <w:szCs w:val="32"/>
        </w:rPr>
      </w:pPr>
      <w:r>
        <w:rPr>
          <w:rFonts w:hint="eastAsia" w:ascii="仿宋_GB2312" w:eastAsia="仿宋_GB2312"/>
          <w:sz w:val="32"/>
          <w:szCs w:val="32"/>
        </w:rPr>
        <w:t>（三）报名方式：现场报名。供应商代表应携带营业执照复印件或扫描件、法定代表人授权委托书、企业法人代表身份证复印件、委托人身份证复印件至南山区应急管理局办理报名手续。</w:t>
      </w:r>
    </w:p>
    <w:p w14:paraId="4A9134AE">
      <w:pPr>
        <w:spacing w:line="460" w:lineRule="exact"/>
        <w:ind w:firstLine="640" w:firstLineChars="200"/>
        <w:rPr>
          <w:rFonts w:ascii="仿宋_GB2312" w:eastAsia="仿宋_GB2312"/>
          <w:sz w:val="32"/>
          <w:szCs w:val="32"/>
        </w:rPr>
      </w:pPr>
      <w:r>
        <w:rPr>
          <w:rFonts w:hint="eastAsia" w:ascii="仿宋_GB2312" w:eastAsia="仿宋_GB2312"/>
          <w:sz w:val="32"/>
          <w:szCs w:val="32"/>
        </w:rPr>
        <w:t>（四）开标地点：深圳市南山区应急管理局。</w:t>
      </w:r>
    </w:p>
    <w:p w14:paraId="7DF407A7">
      <w:pPr>
        <w:spacing w:line="460" w:lineRule="exact"/>
        <w:ind w:firstLine="640" w:firstLineChars="200"/>
        <w:rPr>
          <w:rFonts w:ascii="仿宋_GB2312" w:eastAsia="仿宋_GB2312"/>
          <w:sz w:val="32"/>
          <w:szCs w:val="32"/>
        </w:rPr>
      </w:pPr>
      <w:r>
        <w:rPr>
          <w:rFonts w:hint="eastAsia" w:ascii="仿宋_GB2312" w:eastAsia="仿宋_GB2312"/>
          <w:sz w:val="32"/>
          <w:szCs w:val="32"/>
        </w:rPr>
        <w:t>（五）开标时间：投标截止后5个工作日内，南山区应急管理局召开评标会议。</w:t>
      </w:r>
    </w:p>
    <w:p w14:paraId="6B688FB5">
      <w:pPr>
        <w:spacing w:line="460" w:lineRule="exact"/>
        <w:ind w:firstLine="640" w:firstLineChars="200"/>
        <w:rPr>
          <w:rFonts w:ascii="仿宋_GB2312" w:eastAsia="仿宋_GB2312"/>
          <w:sz w:val="32"/>
          <w:szCs w:val="32"/>
        </w:rPr>
      </w:pPr>
      <w:r>
        <w:rPr>
          <w:rFonts w:hint="eastAsia" w:ascii="仿宋_GB2312" w:eastAsia="仿宋_GB2312"/>
          <w:sz w:val="32"/>
          <w:szCs w:val="32"/>
        </w:rPr>
        <w:t>（六）投标人如果有特殊情况需撤标的，请在开标前一天以书面形式通知南山区应急管理局。</w:t>
      </w:r>
    </w:p>
    <w:p w14:paraId="1FCD9A17">
      <w:pPr>
        <w:pStyle w:val="15"/>
        <w:numPr>
          <w:ilvl w:val="0"/>
          <w:numId w:val="1"/>
        </w:numPr>
        <w:shd w:val="clear" w:color="auto" w:fill="FFFFFF"/>
        <w:spacing w:before="0" w:beforeAutospacing="0" w:after="150" w:afterAutospacing="0" w:line="50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公告期限及答疑事项：</w:t>
      </w:r>
    </w:p>
    <w:p w14:paraId="36E80C18">
      <w:pPr>
        <w:spacing w:line="460" w:lineRule="exact"/>
        <w:ind w:firstLine="640" w:firstLineChars="200"/>
        <w:rPr>
          <w:rFonts w:ascii="仿宋_GB2312" w:eastAsia="仿宋_GB2312"/>
          <w:sz w:val="32"/>
          <w:szCs w:val="32"/>
        </w:rPr>
      </w:pPr>
      <w:r>
        <w:rPr>
          <w:rFonts w:hint="eastAsia" w:ascii="仿宋_GB2312" w:eastAsia="仿宋_GB2312"/>
          <w:sz w:val="32"/>
          <w:szCs w:val="32"/>
        </w:rPr>
        <w:t>自2022年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日起至2022年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日止。2022年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9</w:t>
      </w:r>
      <w:r>
        <w:rPr>
          <w:rFonts w:hint="eastAsia" w:ascii="仿宋_GB2312" w:eastAsia="仿宋_GB2312"/>
          <w:sz w:val="32"/>
          <w:szCs w:val="32"/>
        </w:rPr>
        <w:t>日下午17:00前凡对招标文件的疑问以书面形式（包括认为招标文件的技术指标或参数存在排他性或歧视性条款）加盖单位公章送达南山区应急管理局，逾期不予受理。南山区应急管理局将通过官网公告的形式发布答疑事项。</w:t>
      </w:r>
    </w:p>
    <w:p w14:paraId="578330B9">
      <w:pPr>
        <w:pStyle w:val="15"/>
        <w:numPr>
          <w:ilvl w:val="0"/>
          <w:numId w:val="1"/>
        </w:numPr>
        <w:shd w:val="clear" w:color="auto" w:fill="FFFFFF"/>
        <w:spacing w:before="0" w:beforeAutospacing="0" w:after="150" w:afterAutospacing="0" w:line="50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采购人联系方式：</w:t>
      </w:r>
    </w:p>
    <w:p w14:paraId="40DC2029">
      <w:pPr>
        <w:spacing w:line="460" w:lineRule="exact"/>
        <w:ind w:firstLine="640" w:firstLineChars="200"/>
        <w:rPr>
          <w:rFonts w:ascii="仿宋_GB2312" w:eastAsia="仿宋_GB2312"/>
          <w:sz w:val="32"/>
          <w:szCs w:val="32"/>
        </w:rPr>
      </w:pPr>
      <w:r>
        <w:rPr>
          <w:rFonts w:hint="eastAsia" w:ascii="仿宋_GB2312" w:eastAsia="仿宋_GB2312"/>
          <w:sz w:val="32"/>
          <w:szCs w:val="32"/>
        </w:rPr>
        <w:t>采购人：深圳市南山区应急管理局</w:t>
      </w:r>
    </w:p>
    <w:p w14:paraId="4AFE180D">
      <w:pPr>
        <w:spacing w:line="460" w:lineRule="exact"/>
        <w:ind w:firstLine="640" w:firstLineChars="200"/>
        <w:rPr>
          <w:rFonts w:ascii="仿宋_GB2312" w:eastAsia="仿宋_GB2312"/>
          <w:sz w:val="32"/>
          <w:szCs w:val="32"/>
        </w:rPr>
      </w:pPr>
      <w:r>
        <w:rPr>
          <w:rFonts w:hint="eastAsia" w:ascii="仿宋_GB2312" w:eastAsia="仿宋_GB2312"/>
          <w:sz w:val="32"/>
          <w:szCs w:val="32"/>
        </w:rPr>
        <w:t>地址：深圳市南山区海德三道2050号</w:t>
      </w:r>
    </w:p>
    <w:p w14:paraId="488DA49E">
      <w:pPr>
        <w:spacing w:line="460" w:lineRule="exact"/>
        <w:ind w:firstLine="640" w:firstLineChars="200"/>
        <w:rPr>
          <w:rFonts w:hint="eastAsia" w:ascii="仿宋_GB2312" w:eastAsia="仿宋_GB2312"/>
          <w:sz w:val="32"/>
          <w:szCs w:val="32"/>
          <w:lang w:val="en" w:eastAsia="zh-CN"/>
        </w:rPr>
      </w:pPr>
      <w:r>
        <w:rPr>
          <w:rFonts w:hint="eastAsia" w:ascii="仿宋_GB2312" w:eastAsia="仿宋_GB2312"/>
          <w:sz w:val="32"/>
          <w:szCs w:val="32"/>
        </w:rPr>
        <w:t>联系人：</w:t>
      </w:r>
      <w:r>
        <w:rPr>
          <w:rFonts w:hint="eastAsia" w:ascii="仿宋_GB2312" w:eastAsia="仿宋_GB2312"/>
          <w:sz w:val="32"/>
          <w:szCs w:val="32"/>
          <w:lang w:eastAsia="zh-CN"/>
        </w:rPr>
        <w:t>卢婷</w:t>
      </w:r>
    </w:p>
    <w:p w14:paraId="5BB7D9FB">
      <w:pPr>
        <w:spacing w:line="4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联系方式：0755-</w:t>
      </w:r>
      <w:r>
        <w:t xml:space="preserve"> </w:t>
      </w:r>
      <w:r>
        <w:rPr>
          <w:rFonts w:ascii="仿宋_GB2312" w:eastAsia="仿宋_GB2312"/>
          <w:sz w:val="32"/>
          <w:szCs w:val="32"/>
        </w:rPr>
        <w:t>2657</w:t>
      </w:r>
      <w:r>
        <w:rPr>
          <w:rFonts w:hint="eastAsia" w:ascii="仿宋_GB2312" w:eastAsia="仿宋_GB2312"/>
          <w:sz w:val="32"/>
          <w:szCs w:val="32"/>
          <w:lang w:val="en-US" w:eastAsia="zh-CN"/>
        </w:rPr>
        <w:t>8050</w:t>
      </w:r>
    </w:p>
    <w:p w14:paraId="1536ADFB">
      <w:pPr>
        <w:pStyle w:val="15"/>
        <w:numPr>
          <w:ilvl w:val="0"/>
          <w:numId w:val="1"/>
        </w:numPr>
        <w:shd w:val="clear" w:color="auto" w:fill="FFFFFF"/>
        <w:spacing w:before="0" w:beforeAutospacing="0" w:after="150" w:afterAutospacing="0" w:line="500" w:lineRule="exact"/>
        <w:ind w:firstLine="640" w:firstLineChars="200"/>
        <w:rPr>
          <w:rFonts w:ascii="黑体" w:hAnsi="黑体" w:eastAsia="黑体" w:cs="黑体"/>
          <w:bCs/>
          <w:kern w:val="2"/>
          <w:sz w:val="32"/>
          <w:szCs w:val="32"/>
        </w:rPr>
      </w:pPr>
      <w:r>
        <w:rPr>
          <w:rFonts w:hint="eastAsia" w:ascii="黑体" w:hAnsi="黑体" w:eastAsia="黑体" w:cs="黑体"/>
          <w:bCs/>
          <w:kern w:val="2"/>
          <w:sz w:val="32"/>
          <w:szCs w:val="32"/>
        </w:rPr>
        <w:t>招标咨询机构联系方式：</w:t>
      </w:r>
    </w:p>
    <w:p w14:paraId="65CD8D74">
      <w:pPr>
        <w:spacing w:line="460" w:lineRule="exact"/>
        <w:ind w:firstLine="640" w:firstLineChars="200"/>
        <w:rPr>
          <w:rFonts w:ascii="仿宋_GB2312" w:eastAsia="仿宋_GB2312"/>
          <w:sz w:val="32"/>
          <w:szCs w:val="32"/>
        </w:rPr>
      </w:pPr>
      <w:r>
        <w:rPr>
          <w:rFonts w:hint="eastAsia" w:ascii="仿宋_GB2312" w:eastAsia="仿宋_GB2312"/>
          <w:sz w:val="32"/>
          <w:szCs w:val="32"/>
        </w:rPr>
        <w:t>咨询机构：深圳市祁诺招标咨询有限公司</w:t>
      </w:r>
    </w:p>
    <w:p w14:paraId="624FBE56">
      <w:pPr>
        <w:spacing w:line="460" w:lineRule="exact"/>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许</w:t>
      </w:r>
      <w:r>
        <w:rPr>
          <w:rFonts w:hint="eastAsia" w:ascii="仿宋_GB2312" w:eastAsia="仿宋_GB2312"/>
          <w:sz w:val="32"/>
          <w:szCs w:val="32"/>
        </w:rPr>
        <w:t>先生</w:t>
      </w:r>
    </w:p>
    <w:p w14:paraId="2DCD1F98">
      <w:pPr>
        <w:spacing w:line="4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联系电话：1</w:t>
      </w:r>
      <w:r>
        <w:rPr>
          <w:rFonts w:hint="eastAsia" w:ascii="仿宋_GB2312" w:eastAsia="仿宋_GB2312"/>
          <w:sz w:val="32"/>
          <w:szCs w:val="32"/>
          <w:lang w:val="en-US" w:eastAsia="zh-CN"/>
        </w:rPr>
        <w:t>3922819380</w:t>
      </w:r>
    </w:p>
    <w:p w14:paraId="474F3E0C">
      <w:pPr>
        <w:spacing w:line="460" w:lineRule="exact"/>
        <w:ind w:firstLine="640" w:firstLineChars="200"/>
        <w:jc w:val="right"/>
        <w:rPr>
          <w:rFonts w:ascii="仿宋_GB2312" w:eastAsia="仿宋_GB2312"/>
          <w:sz w:val="32"/>
          <w:szCs w:val="32"/>
        </w:rPr>
      </w:pPr>
    </w:p>
    <w:p w14:paraId="69E2FECF">
      <w:pPr>
        <w:spacing w:line="460" w:lineRule="exact"/>
        <w:ind w:firstLine="640" w:firstLineChars="200"/>
        <w:jc w:val="right"/>
        <w:rPr>
          <w:rFonts w:ascii="仿宋_GB2312" w:eastAsia="仿宋_GB2312"/>
          <w:sz w:val="32"/>
          <w:szCs w:val="32"/>
          <w:highlight w:val="none"/>
        </w:rPr>
      </w:pPr>
      <w:r>
        <w:rPr>
          <w:rFonts w:hint="eastAsia" w:ascii="仿宋_GB2312" w:eastAsia="仿宋_GB2312"/>
          <w:sz w:val="32"/>
          <w:szCs w:val="32"/>
        </w:rPr>
        <w:t>深圳</w:t>
      </w:r>
      <w:r>
        <w:rPr>
          <w:rFonts w:hint="eastAsia" w:ascii="仿宋_GB2312" w:eastAsia="仿宋_GB2312"/>
          <w:sz w:val="32"/>
          <w:szCs w:val="32"/>
          <w:highlight w:val="none"/>
        </w:rPr>
        <w:t>市南山区应急管理局</w:t>
      </w:r>
    </w:p>
    <w:p w14:paraId="7E577D8A">
      <w:pPr>
        <w:spacing w:line="460" w:lineRule="exact"/>
        <w:ind w:firstLine="640" w:firstLineChars="200"/>
        <w:jc w:val="right"/>
        <w:rPr>
          <w:rFonts w:ascii="仿宋_GB2312" w:eastAsia="仿宋_GB2312"/>
          <w:sz w:val="32"/>
          <w:szCs w:val="32"/>
          <w:highlight w:val="none"/>
        </w:rPr>
        <w:sectPr>
          <w:pgSz w:w="11906" w:h="16838"/>
          <w:pgMar w:top="1440" w:right="1800" w:bottom="1440" w:left="1800" w:header="851" w:footer="992" w:gutter="0"/>
          <w:cols w:space="425" w:num="1"/>
          <w:docGrid w:type="lines" w:linePitch="312" w:charSpace="0"/>
        </w:sectPr>
      </w:pPr>
      <w:r>
        <w:rPr>
          <w:rFonts w:hint="eastAsia" w:ascii="仿宋_GB2312" w:eastAsia="仿宋_GB2312"/>
          <w:sz w:val="32"/>
          <w:szCs w:val="32"/>
          <w:highlight w:val="none"/>
        </w:rPr>
        <w:t>2022年</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日</w:t>
      </w:r>
      <w:bookmarkEnd w:id="0"/>
    </w:p>
    <w:p w14:paraId="48498950">
      <w:pPr>
        <w:pStyle w:val="3"/>
      </w:pPr>
      <w:r>
        <w:rPr>
          <w:rFonts w:hint="eastAsia"/>
        </w:rPr>
        <w:t xml:space="preserve">第二章 </w:t>
      </w:r>
      <w:r>
        <w:t xml:space="preserve"> </w:t>
      </w:r>
      <w:r>
        <w:rPr>
          <w:rFonts w:hint="eastAsia"/>
        </w:rPr>
        <w:t>项目需求</w:t>
      </w:r>
    </w:p>
    <w:p w14:paraId="695584FB">
      <w:pPr>
        <w:pStyle w:val="2"/>
        <w:rPr>
          <w:rFonts w:ascii="仿宋" w:hAnsi="仿宋" w:eastAsia="仿宋"/>
        </w:rPr>
      </w:pPr>
      <w:r>
        <w:rPr>
          <w:rFonts w:hint="eastAsia" w:ascii="仿宋" w:hAnsi="仿宋" w:eastAsia="仿宋"/>
        </w:rPr>
        <w:t>一、项目概况</w:t>
      </w:r>
    </w:p>
    <w:p w14:paraId="5FA44D4A">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（一）项目名称：深圳市南山区应急管理局2022年度线下公益广告宣传服务项目</w:t>
      </w:r>
    </w:p>
    <w:p w14:paraId="0FA7304B">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（二）采购人：深圳市南山区应急管理局</w:t>
      </w:r>
    </w:p>
    <w:p w14:paraId="1F0944AA">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（三）采购方式：公开招标</w:t>
      </w:r>
    </w:p>
    <w:p w14:paraId="02AE39A8">
      <w:pPr>
        <w:widowControl/>
        <w:spacing w:line="560" w:lineRule="exact"/>
        <w:ind w:firstLine="640" w:firstLineChars="200"/>
        <w:rPr>
          <w:rFonts w:ascii="仿宋_GB2312" w:hAnsi="宋体" w:eastAsia="仿宋_GB2312"/>
          <w:sz w:val="32"/>
          <w:szCs w:val="32"/>
        </w:rPr>
      </w:pPr>
      <w:bookmarkStart w:id="1" w:name="_Hlk42181112"/>
      <w:r>
        <w:rPr>
          <w:rFonts w:hint="eastAsia" w:ascii="仿宋_GB2312" w:hAnsi="宋体" w:eastAsia="仿宋_GB2312"/>
          <w:sz w:val="32"/>
          <w:szCs w:val="32"/>
        </w:rPr>
        <w:t>（四）</w:t>
      </w:r>
      <w:bookmarkEnd w:id="1"/>
      <w:r>
        <w:rPr>
          <w:rFonts w:hint="eastAsia" w:ascii="仿宋_GB2312" w:hAnsi="宋体" w:eastAsia="仿宋_GB2312"/>
          <w:sz w:val="32"/>
          <w:szCs w:val="32"/>
        </w:rPr>
        <w:t>财政限额：9</w:t>
      </w:r>
      <w:r>
        <w:rPr>
          <w:rFonts w:hint="eastAsia" w:ascii="仿宋_GB2312" w:hAnsi="宋体" w:eastAsia="仿宋_GB2312"/>
          <w:sz w:val="32"/>
          <w:szCs w:val="32"/>
          <w:lang w:val="en-US" w:eastAsia="zh-CN"/>
        </w:rPr>
        <w:t>5</w:t>
      </w:r>
      <w:r>
        <w:rPr>
          <w:rFonts w:hint="eastAsia" w:ascii="仿宋_GB2312" w:hAnsi="宋体" w:eastAsia="仿宋_GB2312"/>
          <w:sz w:val="32"/>
          <w:szCs w:val="32"/>
        </w:rPr>
        <w:t>万</w:t>
      </w:r>
      <w:r>
        <w:rPr>
          <w:rFonts w:hint="eastAsia" w:ascii="仿宋_GB2312" w:eastAsia="仿宋_GB2312"/>
          <w:sz w:val="32"/>
          <w:szCs w:val="32"/>
        </w:rPr>
        <w:t>元</w:t>
      </w:r>
    </w:p>
    <w:p w14:paraId="69E6BAA5">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（五）项目背景：</w:t>
      </w:r>
    </w:p>
    <w:p w14:paraId="03133B2F">
      <w:pPr>
        <w:widowControl/>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通过安全教育宣传增强市民群众的安全防范意识，降低安全事故的发生率，增强市民群众面对突发情况的应急能力，确保市民群众的生命安全，我局现向社会公开采购一家服务单位提供2022年度线下公益广告宣传服务。</w:t>
      </w:r>
    </w:p>
    <w:p w14:paraId="7591A498">
      <w:pPr>
        <w:pStyle w:val="14"/>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（六）项目服务期限：</w:t>
      </w:r>
    </w:p>
    <w:p w14:paraId="6946FB97">
      <w:pPr>
        <w:pStyle w:val="14"/>
        <w:spacing w:line="560" w:lineRule="exact"/>
        <w:ind w:firstLine="640" w:firstLineChars="200"/>
        <w:sectPr>
          <w:pgSz w:w="11906" w:h="16838"/>
          <w:pgMar w:top="1440" w:right="1800" w:bottom="1440" w:left="1800" w:header="851" w:footer="992" w:gutter="0"/>
          <w:cols w:space="425" w:num="1"/>
          <w:docGrid w:type="lines" w:linePitch="312" w:charSpace="0"/>
        </w:sectPr>
      </w:pPr>
      <w:r>
        <w:rPr>
          <w:rFonts w:hint="eastAsia" w:ascii="仿宋_GB2312" w:hAnsi="宋体" w:eastAsia="仿宋_GB2312"/>
          <w:sz w:val="32"/>
          <w:szCs w:val="32"/>
        </w:rPr>
        <w:t>本项目为长期服务项目，服务期为自合同签订之日起自合同签订之日起至1年或12个月。合同期满后可根据投标人履约情况，根据双方协商可续签合同，最长不超过三年</w:t>
      </w:r>
      <w:r>
        <w:rPr>
          <w:rFonts w:hint="eastAsia"/>
        </w:rPr>
        <w:t>。</w:t>
      </w:r>
    </w:p>
    <w:p w14:paraId="40D0F257">
      <w:pPr>
        <w:pStyle w:val="2"/>
        <w:ind w:firstLine="643" w:firstLineChars="200"/>
      </w:pPr>
      <w:r>
        <w:rPr>
          <w:rFonts w:hint="eastAsia"/>
        </w:rPr>
        <w:t>二、服务目标</w:t>
      </w:r>
    </w:p>
    <w:p w14:paraId="74C17673">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在传播科普居家消防、交通安全、森林防火、极端天气</w:t>
      </w:r>
      <w:r>
        <w:rPr>
          <w:rFonts w:hint="eastAsia" w:ascii="仿宋_GB2312" w:eastAsia="仿宋_GB2312"/>
          <w:sz w:val="32"/>
          <w:szCs w:val="32"/>
        </w:rPr>
        <w:t>、建筑施工等</w:t>
      </w:r>
      <w:r>
        <w:rPr>
          <w:rFonts w:ascii="仿宋_GB2312" w:eastAsia="仿宋_GB2312"/>
          <w:sz w:val="32"/>
          <w:szCs w:val="32"/>
        </w:rPr>
        <w:t>安全知识</w:t>
      </w:r>
      <w:r>
        <w:rPr>
          <w:rFonts w:hint="eastAsia" w:ascii="仿宋_GB2312" w:eastAsia="仿宋_GB2312"/>
          <w:sz w:val="32"/>
          <w:szCs w:val="32"/>
        </w:rPr>
        <w:t>和宣传有关法律法规</w:t>
      </w:r>
      <w:r>
        <w:rPr>
          <w:rFonts w:ascii="仿宋_GB2312" w:eastAsia="仿宋_GB2312"/>
          <w:sz w:val="32"/>
          <w:szCs w:val="32"/>
        </w:rPr>
        <w:t>的基础上，深化安全教育，让市民</w:t>
      </w:r>
      <w:r>
        <w:rPr>
          <w:rFonts w:hint="eastAsia" w:ascii="仿宋_GB2312" w:eastAsia="仿宋_GB2312"/>
          <w:sz w:val="32"/>
          <w:szCs w:val="32"/>
        </w:rPr>
        <w:t>群众和生产经营单位</w:t>
      </w:r>
      <w:r>
        <w:rPr>
          <w:rFonts w:ascii="仿宋_GB2312" w:eastAsia="仿宋_GB2312"/>
          <w:sz w:val="32"/>
          <w:szCs w:val="32"/>
        </w:rPr>
        <w:t>从被动接收应急安全教育</w:t>
      </w:r>
      <w:r>
        <w:rPr>
          <w:rFonts w:hint="eastAsia" w:ascii="仿宋_GB2312" w:eastAsia="仿宋_GB2312"/>
          <w:sz w:val="32"/>
          <w:szCs w:val="32"/>
        </w:rPr>
        <w:t>知识</w:t>
      </w:r>
      <w:r>
        <w:rPr>
          <w:rFonts w:ascii="仿宋_GB2312" w:eastAsia="仿宋_GB2312"/>
          <w:sz w:val="32"/>
          <w:szCs w:val="32"/>
        </w:rPr>
        <w:t>，向自觉提高安全意识转变，</w:t>
      </w:r>
      <w:r>
        <w:rPr>
          <w:rFonts w:hint="eastAsia" w:ascii="仿宋_GB2312" w:eastAsia="仿宋_GB2312"/>
          <w:sz w:val="32"/>
          <w:szCs w:val="32"/>
        </w:rPr>
        <w:t>提升</w:t>
      </w:r>
      <w:r>
        <w:rPr>
          <w:rFonts w:ascii="仿宋_GB2312" w:eastAsia="仿宋_GB2312"/>
          <w:sz w:val="32"/>
          <w:szCs w:val="32"/>
        </w:rPr>
        <w:t>日常应急安全</w:t>
      </w:r>
      <w:r>
        <w:rPr>
          <w:rFonts w:hint="eastAsia" w:ascii="仿宋_GB2312" w:eastAsia="仿宋_GB2312"/>
          <w:sz w:val="32"/>
          <w:szCs w:val="32"/>
        </w:rPr>
        <w:t>应对能力</w:t>
      </w:r>
      <w:r>
        <w:rPr>
          <w:rFonts w:ascii="仿宋_GB2312" w:eastAsia="仿宋_GB2312"/>
          <w:sz w:val="32"/>
          <w:szCs w:val="32"/>
        </w:rPr>
        <w:t>。让市民</w:t>
      </w:r>
      <w:r>
        <w:rPr>
          <w:rFonts w:hint="eastAsia" w:ascii="仿宋_GB2312" w:eastAsia="仿宋_GB2312"/>
          <w:sz w:val="32"/>
          <w:szCs w:val="32"/>
        </w:rPr>
        <w:t>群众在</w:t>
      </w:r>
      <w:r>
        <w:rPr>
          <w:rFonts w:ascii="仿宋_GB2312" w:eastAsia="仿宋_GB2312"/>
          <w:sz w:val="32"/>
          <w:szCs w:val="32"/>
        </w:rPr>
        <w:t>面对突发情况时，由“</w:t>
      </w:r>
      <w:r>
        <w:rPr>
          <w:rFonts w:hint="eastAsia" w:ascii="仿宋_GB2312" w:eastAsia="仿宋_GB2312"/>
          <w:sz w:val="32"/>
          <w:szCs w:val="32"/>
        </w:rPr>
        <w:t>模棱</w:t>
      </w:r>
      <w:r>
        <w:rPr>
          <w:rFonts w:ascii="仿宋_GB2312" w:eastAsia="仿宋_GB2312"/>
          <w:sz w:val="32"/>
          <w:szCs w:val="32"/>
        </w:rPr>
        <w:t>两可”提升到“明确如何</w:t>
      </w:r>
      <w:r>
        <w:rPr>
          <w:rFonts w:hint="eastAsia" w:ascii="仿宋_GB2312" w:eastAsia="仿宋_GB2312"/>
          <w:sz w:val="32"/>
          <w:szCs w:val="32"/>
        </w:rPr>
        <w:t>采用</w:t>
      </w:r>
      <w:r>
        <w:rPr>
          <w:rFonts w:ascii="仿宋_GB2312" w:eastAsia="仿宋_GB2312"/>
          <w:sz w:val="32"/>
          <w:szCs w:val="32"/>
        </w:rPr>
        <w:t>科学的方法处理</w:t>
      </w:r>
      <w:r>
        <w:rPr>
          <w:rFonts w:hint="eastAsia" w:ascii="仿宋_GB2312" w:eastAsia="仿宋_GB2312"/>
          <w:sz w:val="32"/>
          <w:szCs w:val="32"/>
        </w:rPr>
        <w:t>紧急</w:t>
      </w:r>
      <w:r>
        <w:rPr>
          <w:rFonts w:ascii="仿宋_GB2312" w:eastAsia="仿宋_GB2312"/>
          <w:sz w:val="32"/>
          <w:szCs w:val="32"/>
        </w:rPr>
        <w:t>情况”</w:t>
      </w:r>
      <w:r>
        <w:rPr>
          <w:rFonts w:hint="eastAsia" w:ascii="仿宋_GB2312" w:eastAsia="仿宋_GB2312"/>
          <w:sz w:val="32"/>
          <w:szCs w:val="32"/>
        </w:rPr>
        <w:t>，避免安全事故的发生等。</w:t>
      </w:r>
    </w:p>
    <w:p w14:paraId="01E9A1DD">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根据主流媒体的特点，策划多种形式宣传，由单向传播向双向互动转变，</w:t>
      </w:r>
      <w:r>
        <w:rPr>
          <w:rFonts w:hint="eastAsia" w:ascii="仿宋_GB2312" w:eastAsia="仿宋_GB2312"/>
          <w:sz w:val="32"/>
          <w:szCs w:val="32"/>
        </w:rPr>
        <w:t>一方面提升</w:t>
      </w:r>
      <w:r>
        <w:rPr>
          <w:rFonts w:ascii="仿宋_GB2312" w:eastAsia="仿宋_GB2312"/>
          <w:sz w:val="32"/>
          <w:szCs w:val="32"/>
        </w:rPr>
        <w:t>宣传教育效果，另一方面，调动市民的积极性，让宣传教育工作落到实处。</w:t>
      </w:r>
    </w:p>
    <w:p w14:paraId="107F3435">
      <w:pPr>
        <w:pStyle w:val="2"/>
      </w:pPr>
      <w:r>
        <w:rPr>
          <w:rFonts w:hint="eastAsia"/>
        </w:rPr>
        <w:t>三、宣传对象</w:t>
      </w:r>
    </w:p>
    <w:p w14:paraId="40CE64C8">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宣传对象：</w:t>
      </w:r>
    </w:p>
    <w:p w14:paraId="68CB5EB2">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辖区市民群众、生产经营</w:t>
      </w:r>
      <w:r>
        <w:rPr>
          <w:rFonts w:ascii="仿宋_GB2312" w:eastAsia="仿宋_GB2312"/>
          <w:sz w:val="32"/>
          <w:szCs w:val="32"/>
        </w:rPr>
        <w:t>单位</w:t>
      </w:r>
      <w:r>
        <w:rPr>
          <w:rFonts w:hint="eastAsia" w:ascii="仿宋_GB2312" w:eastAsia="仿宋_GB2312"/>
          <w:sz w:val="32"/>
          <w:szCs w:val="32"/>
        </w:rPr>
        <w:t>。</w:t>
      </w:r>
    </w:p>
    <w:p w14:paraId="00DC5F93">
      <w:pPr>
        <w:pStyle w:val="2"/>
      </w:pPr>
      <w:r>
        <w:rPr>
          <w:rFonts w:hint="eastAsia"/>
        </w:rPr>
        <w:t>四、服务内容</w:t>
      </w:r>
    </w:p>
    <w:p w14:paraId="52FA882B">
      <w:pPr>
        <w:widowControl/>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中标供应商须提供以下服务，服务内容可由采购单位进行调整，包括但不限于以下内容：</w:t>
      </w:r>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5012"/>
      </w:tblGrid>
      <w:tr w14:paraId="377E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14:paraId="0900BC5A">
            <w:pPr>
              <w:pStyle w:val="2"/>
              <w:jc w:val="center"/>
              <w:rPr>
                <w:b w:val="0"/>
              </w:rPr>
            </w:pPr>
            <w:r>
              <w:rPr>
                <w:rFonts w:hint="eastAsia" w:ascii="仿宋_GB2312" w:hAnsi="宋体" w:cs="宋体"/>
                <w:b w:val="0"/>
                <w:szCs w:val="32"/>
              </w:rPr>
              <w:t>宣传内容</w:t>
            </w:r>
          </w:p>
        </w:tc>
        <w:tc>
          <w:tcPr>
            <w:tcW w:w="5012" w:type="dxa"/>
            <w:vAlign w:val="center"/>
          </w:tcPr>
          <w:p w14:paraId="073338CE">
            <w:pPr>
              <w:pStyle w:val="2"/>
              <w:jc w:val="center"/>
              <w:rPr>
                <w:b w:val="0"/>
              </w:rPr>
            </w:pPr>
            <w:r>
              <w:rPr>
                <w:rFonts w:hint="eastAsia" w:ascii="仿宋_GB2312" w:hAnsi="宋体" w:cs="宋体"/>
                <w:b w:val="0"/>
                <w:szCs w:val="32"/>
              </w:rPr>
              <w:t>宣传形式</w:t>
            </w:r>
          </w:p>
        </w:tc>
      </w:tr>
      <w:tr w14:paraId="73F7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10" w:type="dxa"/>
            <w:vAlign w:val="center"/>
          </w:tcPr>
          <w:p w14:paraId="77A31F4E">
            <w:pPr>
              <w:pStyle w:val="2"/>
              <w:rPr>
                <w:b w:val="0"/>
              </w:rPr>
            </w:pPr>
            <w:r>
              <w:rPr>
                <w:rFonts w:hint="eastAsia" w:ascii="仿宋_GB2312" w:hAnsi="宋体" w:cs="宋体"/>
                <w:b w:val="0"/>
                <w:szCs w:val="32"/>
              </w:rPr>
              <w:t>交通安全、消防安全、安全生产万里行、暑期安全、“三防”、森林防火、建筑施工、疫情防控等</w:t>
            </w:r>
          </w:p>
        </w:tc>
        <w:tc>
          <w:tcPr>
            <w:tcW w:w="5012" w:type="dxa"/>
            <w:vAlign w:val="center"/>
          </w:tcPr>
          <w:p w14:paraId="46CF1AD5">
            <w:pPr>
              <w:spacing w:line="20" w:lineRule="atLeast"/>
              <w:jc w:val="left"/>
              <w:rPr>
                <w:rFonts w:ascii="仿宋_GB2312" w:hAnsi="宋体" w:eastAsia="仿宋_GB2312" w:cs="宋体"/>
                <w:sz w:val="32"/>
                <w:szCs w:val="32"/>
              </w:rPr>
            </w:pPr>
            <w:r>
              <w:rPr>
                <w:rFonts w:hint="eastAsia" w:ascii="仿宋_GB2312" w:hAnsi="宋体" w:eastAsia="仿宋_GB2312" w:cs="宋体"/>
                <w:sz w:val="32"/>
                <w:szCs w:val="32"/>
              </w:rPr>
              <w:t>包括但不限于以下形式：</w:t>
            </w:r>
          </w:p>
          <w:p w14:paraId="33B68652">
            <w:pPr>
              <w:spacing w:line="20" w:lineRule="atLeast"/>
              <w:jc w:val="left"/>
              <w:rPr>
                <w:rFonts w:ascii="仿宋_GB2312" w:hAnsi="宋体" w:eastAsia="仿宋_GB2312" w:cs="宋体"/>
                <w:sz w:val="32"/>
                <w:szCs w:val="32"/>
              </w:rPr>
            </w:pPr>
            <w:r>
              <w:rPr>
                <w:rFonts w:hint="eastAsia" w:ascii="仿宋_GB2312" w:hAnsi="宋体" w:eastAsia="仿宋_GB2312" w:cs="宋体"/>
                <w:sz w:val="32"/>
                <w:szCs w:val="32"/>
              </w:rPr>
              <w:t>1、楼宇广告-电梯海报广告投放；</w:t>
            </w:r>
          </w:p>
          <w:p w14:paraId="40382E38">
            <w:pPr>
              <w:spacing w:line="20" w:lineRule="atLeast"/>
              <w:jc w:val="left"/>
              <w:rPr>
                <w:rFonts w:ascii="仿宋_GB2312" w:hAnsi="宋体" w:eastAsia="仿宋_GB2312" w:cs="宋体"/>
                <w:sz w:val="32"/>
                <w:szCs w:val="32"/>
              </w:rPr>
            </w:pPr>
            <w:r>
              <w:rPr>
                <w:rFonts w:hint="eastAsia" w:ascii="仿宋_GB2312" w:eastAsia="仿宋_GB2312"/>
                <w:sz w:val="32"/>
                <w:szCs w:val="32"/>
              </w:rPr>
              <w:t>2、</w:t>
            </w:r>
            <w:r>
              <w:rPr>
                <w:rFonts w:ascii="仿宋_GB2312" w:eastAsia="仿宋_GB2312"/>
                <w:sz w:val="32"/>
                <w:szCs w:val="32"/>
              </w:rPr>
              <w:t>公交站台广告</w:t>
            </w:r>
            <w:r>
              <w:rPr>
                <w:rFonts w:ascii="仿宋_GB2312" w:hAnsi="宋体" w:eastAsia="仿宋_GB2312" w:cs="宋体"/>
                <w:sz w:val="32"/>
                <w:szCs w:val="32"/>
              </w:rPr>
              <w:t>投放</w:t>
            </w:r>
            <w:r>
              <w:rPr>
                <w:rFonts w:hint="eastAsia" w:ascii="仿宋_GB2312" w:hAnsi="宋体" w:eastAsia="仿宋_GB2312" w:cs="宋体"/>
                <w:sz w:val="32"/>
                <w:szCs w:val="32"/>
              </w:rPr>
              <w:t>；</w:t>
            </w:r>
          </w:p>
          <w:p w14:paraId="18BD83E6">
            <w:pPr>
              <w:spacing w:line="20" w:lineRule="atLeast"/>
              <w:jc w:val="left"/>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地铁线</w:t>
            </w:r>
            <w:r>
              <w:rPr>
                <w:rFonts w:hint="eastAsia" w:ascii="仿宋_GB2312" w:eastAsia="仿宋_GB2312"/>
                <w:sz w:val="32"/>
                <w:szCs w:val="32"/>
              </w:rPr>
              <w:t>路</w:t>
            </w:r>
            <w:r>
              <w:rPr>
                <w:rFonts w:ascii="仿宋_GB2312" w:eastAsia="仿宋_GB2312"/>
                <w:sz w:val="32"/>
                <w:szCs w:val="32"/>
              </w:rPr>
              <w:t>列车广告投放</w:t>
            </w:r>
            <w:r>
              <w:rPr>
                <w:rFonts w:hint="eastAsia" w:ascii="仿宋_GB2312" w:eastAsia="仿宋_GB2312"/>
                <w:sz w:val="32"/>
                <w:szCs w:val="32"/>
              </w:rPr>
              <w:t>。</w:t>
            </w:r>
          </w:p>
        </w:tc>
      </w:tr>
    </w:tbl>
    <w:p w14:paraId="12CF297C">
      <w:pPr>
        <w:pStyle w:val="34"/>
      </w:pPr>
    </w:p>
    <w:p w14:paraId="4E2225AE">
      <w:pPr>
        <w:widowControl/>
        <w:spacing w:line="240" w:lineRule="auto"/>
        <w:jc w:val="left"/>
        <w:rPr>
          <w:rFonts w:eastAsia="仿宋_GB2312"/>
          <w:b/>
          <w:sz w:val="32"/>
        </w:rPr>
      </w:pPr>
    </w:p>
    <w:p w14:paraId="1746E084">
      <w:pPr>
        <w:pStyle w:val="2"/>
        <w:sectPr>
          <w:pgSz w:w="11906" w:h="16838"/>
          <w:pgMar w:top="1440" w:right="1800" w:bottom="1440" w:left="1800" w:header="851" w:footer="992" w:gutter="0"/>
          <w:cols w:space="425" w:num="1"/>
          <w:docGrid w:type="lines" w:linePitch="312" w:charSpace="0"/>
        </w:sectPr>
      </w:pPr>
    </w:p>
    <w:p w14:paraId="37E664F4">
      <w:pPr>
        <w:pStyle w:val="2"/>
      </w:pPr>
      <w:r>
        <w:rPr>
          <w:rFonts w:hint="eastAsia"/>
        </w:rPr>
        <w:t>五、投放数量要求</w:t>
      </w:r>
    </w:p>
    <w:p w14:paraId="289A894B">
      <w:pPr>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rPr>
        <w:t>以下仅为预估数量，采购单位有权根据实际情况，调整广告类型和投放量。</w:t>
      </w:r>
    </w:p>
    <w:tbl>
      <w:tblPr>
        <w:tblStyle w:val="19"/>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2693"/>
        <w:gridCol w:w="2274"/>
        <w:gridCol w:w="1733"/>
      </w:tblGrid>
      <w:tr w14:paraId="17427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14:paraId="32230CFB">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媒体类型</w:t>
            </w:r>
          </w:p>
        </w:tc>
        <w:tc>
          <w:tcPr>
            <w:tcW w:w="2693" w:type="dxa"/>
            <w:vAlign w:val="center"/>
          </w:tcPr>
          <w:p w14:paraId="0DA122FC">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电梯海报广告</w:t>
            </w:r>
          </w:p>
        </w:tc>
        <w:tc>
          <w:tcPr>
            <w:tcW w:w="2274" w:type="dxa"/>
            <w:vAlign w:val="center"/>
          </w:tcPr>
          <w:p w14:paraId="186F56BB">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公交站台广告</w:t>
            </w:r>
          </w:p>
        </w:tc>
        <w:tc>
          <w:tcPr>
            <w:tcW w:w="1733" w:type="dxa"/>
            <w:vAlign w:val="center"/>
          </w:tcPr>
          <w:p w14:paraId="50B0F7A7">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地铁线品牌列车</w:t>
            </w:r>
          </w:p>
        </w:tc>
      </w:tr>
      <w:tr w14:paraId="060E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14:paraId="625CA928">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全年各类型投放总量（单位：块、列）</w:t>
            </w:r>
          </w:p>
        </w:tc>
        <w:tc>
          <w:tcPr>
            <w:tcW w:w="2693" w:type="dxa"/>
            <w:vAlign w:val="center"/>
          </w:tcPr>
          <w:p w14:paraId="6C67743A">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lang w:val="en-US"/>
              </w:rPr>
              <w:t>至少500</w:t>
            </w:r>
            <w:r>
              <w:rPr>
                <w:rFonts w:hint="eastAsia" w:ascii="仿宋_GB2312" w:eastAsia="仿宋_GB2312"/>
                <w:spacing w:val="-20"/>
                <w:sz w:val="32"/>
                <w:szCs w:val="32"/>
              </w:rPr>
              <w:t>块</w:t>
            </w:r>
          </w:p>
        </w:tc>
        <w:tc>
          <w:tcPr>
            <w:tcW w:w="2274" w:type="dxa"/>
            <w:vAlign w:val="center"/>
          </w:tcPr>
          <w:p w14:paraId="7D341FBB">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lang w:val="en-US"/>
              </w:rPr>
              <w:t>至少55</w:t>
            </w:r>
            <w:r>
              <w:rPr>
                <w:rFonts w:hint="eastAsia" w:ascii="仿宋_GB2312" w:eastAsia="仿宋_GB2312"/>
                <w:spacing w:val="-20"/>
                <w:sz w:val="32"/>
                <w:szCs w:val="32"/>
              </w:rPr>
              <w:t>块</w:t>
            </w:r>
          </w:p>
        </w:tc>
        <w:tc>
          <w:tcPr>
            <w:tcW w:w="1733" w:type="dxa"/>
            <w:vAlign w:val="center"/>
          </w:tcPr>
          <w:p w14:paraId="2EE25418">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lang w:val="en-US"/>
              </w:rPr>
              <w:t>至少1</w:t>
            </w:r>
            <w:r>
              <w:rPr>
                <w:rFonts w:hint="eastAsia" w:ascii="仿宋_GB2312" w:eastAsia="仿宋_GB2312"/>
                <w:spacing w:val="-20"/>
                <w:sz w:val="32"/>
                <w:szCs w:val="32"/>
              </w:rPr>
              <w:t>列（</w:t>
            </w:r>
            <w:r>
              <w:rPr>
                <w:rFonts w:hint="eastAsia" w:ascii="仿宋_GB2312" w:eastAsia="仿宋_GB2312"/>
                <w:spacing w:val="-20"/>
                <w:sz w:val="32"/>
                <w:szCs w:val="32"/>
                <w:lang w:val="en-US"/>
              </w:rPr>
              <w:t>5号线</w:t>
            </w:r>
            <w:r>
              <w:rPr>
                <w:rFonts w:hint="eastAsia" w:ascii="仿宋_GB2312" w:eastAsia="仿宋_GB2312"/>
                <w:spacing w:val="-20"/>
                <w:sz w:val="32"/>
                <w:szCs w:val="32"/>
              </w:rPr>
              <w:t>）</w:t>
            </w:r>
          </w:p>
        </w:tc>
      </w:tr>
      <w:tr w14:paraId="35E0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14:paraId="0A7B2362">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每次投放数量</w:t>
            </w:r>
          </w:p>
        </w:tc>
        <w:tc>
          <w:tcPr>
            <w:tcW w:w="2693" w:type="dxa"/>
            <w:vAlign w:val="center"/>
          </w:tcPr>
          <w:p w14:paraId="4D69166C">
            <w:pPr>
              <w:pStyle w:val="9"/>
              <w:spacing w:line="480" w:lineRule="exact"/>
              <w:rPr>
                <w:rFonts w:ascii="仿宋_GB2312" w:eastAsia="仿宋_GB2312"/>
                <w:spacing w:val="-20"/>
                <w:sz w:val="32"/>
                <w:szCs w:val="32"/>
              </w:rPr>
            </w:pPr>
            <w:r>
              <w:rPr>
                <w:rFonts w:hint="eastAsia" w:ascii="仿宋_GB2312" w:eastAsia="仿宋_GB2312"/>
                <w:spacing w:val="-20"/>
                <w:sz w:val="32"/>
                <w:szCs w:val="32"/>
              </w:rPr>
              <w:t>按照实际工作开展安排具体投放量</w:t>
            </w:r>
          </w:p>
        </w:tc>
        <w:tc>
          <w:tcPr>
            <w:tcW w:w="2274" w:type="dxa"/>
            <w:vAlign w:val="center"/>
          </w:tcPr>
          <w:p w14:paraId="2D5BF82F">
            <w:pPr>
              <w:pStyle w:val="9"/>
              <w:spacing w:line="480" w:lineRule="exact"/>
              <w:rPr>
                <w:rFonts w:ascii="仿宋_GB2312" w:eastAsia="仿宋_GB2312"/>
                <w:spacing w:val="-20"/>
                <w:sz w:val="32"/>
                <w:szCs w:val="32"/>
              </w:rPr>
            </w:pPr>
            <w:r>
              <w:rPr>
                <w:rFonts w:hint="eastAsia" w:ascii="仿宋_GB2312" w:eastAsia="仿宋_GB2312"/>
                <w:spacing w:val="-20"/>
                <w:sz w:val="32"/>
                <w:szCs w:val="32"/>
              </w:rPr>
              <w:t>按照实际工作开展安排具体投放量</w:t>
            </w:r>
          </w:p>
        </w:tc>
        <w:tc>
          <w:tcPr>
            <w:tcW w:w="1733" w:type="dxa"/>
            <w:vAlign w:val="center"/>
          </w:tcPr>
          <w:p w14:paraId="770A4848">
            <w:pPr>
              <w:pStyle w:val="9"/>
              <w:spacing w:line="480" w:lineRule="exact"/>
              <w:rPr>
                <w:rFonts w:ascii="仿宋_GB2312" w:eastAsia="仿宋_GB2312"/>
                <w:spacing w:val="-20"/>
                <w:sz w:val="32"/>
                <w:szCs w:val="32"/>
              </w:rPr>
            </w:pPr>
            <w:r>
              <w:rPr>
                <w:rFonts w:hint="eastAsia" w:ascii="仿宋_GB2312" w:eastAsia="仿宋_GB2312"/>
                <w:spacing w:val="-20"/>
                <w:sz w:val="32"/>
                <w:szCs w:val="32"/>
              </w:rPr>
              <w:t>按照实际工作开展安排具体投放量</w:t>
            </w:r>
          </w:p>
        </w:tc>
      </w:tr>
      <w:tr w14:paraId="13B2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14:paraId="528EDE49">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投放时长（每次）</w:t>
            </w:r>
          </w:p>
        </w:tc>
        <w:tc>
          <w:tcPr>
            <w:tcW w:w="2693" w:type="dxa"/>
            <w:vAlign w:val="center"/>
          </w:tcPr>
          <w:p w14:paraId="7D39A9B3">
            <w:pPr>
              <w:pStyle w:val="9"/>
              <w:spacing w:line="480" w:lineRule="exact"/>
              <w:rPr>
                <w:rFonts w:ascii="仿宋_GB2312" w:eastAsia="仿宋_GB2312"/>
                <w:spacing w:val="-20"/>
                <w:sz w:val="32"/>
                <w:szCs w:val="32"/>
              </w:rPr>
            </w:pPr>
            <w:r>
              <w:rPr>
                <w:rFonts w:hint="eastAsia" w:ascii="仿宋_GB2312" w:eastAsia="仿宋_GB2312"/>
                <w:spacing w:val="-20"/>
                <w:sz w:val="32"/>
                <w:szCs w:val="32"/>
              </w:rPr>
              <w:t>每次一周（投放点位可视情调整一次）</w:t>
            </w:r>
          </w:p>
        </w:tc>
        <w:tc>
          <w:tcPr>
            <w:tcW w:w="2274" w:type="dxa"/>
            <w:vAlign w:val="center"/>
          </w:tcPr>
          <w:p w14:paraId="7C1448A8">
            <w:pPr>
              <w:pStyle w:val="9"/>
              <w:spacing w:line="480" w:lineRule="exact"/>
              <w:rPr>
                <w:rFonts w:ascii="仿宋_GB2312" w:eastAsia="仿宋_GB2312"/>
                <w:spacing w:val="-20"/>
                <w:sz w:val="32"/>
                <w:szCs w:val="32"/>
              </w:rPr>
            </w:pPr>
            <w:r>
              <w:rPr>
                <w:rFonts w:hint="eastAsia" w:ascii="仿宋_GB2312" w:eastAsia="仿宋_GB2312"/>
                <w:spacing w:val="-20"/>
                <w:sz w:val="32"/>
                <w:szCs w:val="32"/>
              </w:rPr>
              <w:t>每次四周</w:t>
            </w:r>
          </w:p>
        </w:tc>
        <w:tc>
          <w:tcPr>
            <w:tcW w:w="1733" w:type="dxa"/>
            <w:vAlign w:val="center"/>
          </w:tcPr>
          <w:p w14:paraId="753C3DCB">
            <w:pPr>
              <w:pStyle w:val="9"/>
              <w:spacing w:line="480" w:lineRule="exact"/>
              <w:rPr>
                <w:rFonts w:ascii="仿宋_GB2312" w:eastAsia="仿宋_GB2312"/>
                <w:spacing w:val="-20"/>
                <w:sz w:val="32"/>
                <w:szCs w:val="32"/>
              </w:rPr>
            </w:pPr>
            <w:r>
              <w:rPr>
                <w:rFonts w:hint="eastAsia" w:ascii="仿宋_GB2312" w:eastAsia="仿宋_GB2312"/>
                <w:spacing w:val="-20"/>
                <w:sz w:val="32"/>
                <w:szCs w:val="32"/>
              </w:rPr>
              <w:t>每次四周</w:t>
            </w:r>
          </w:p>
        </w:tc>
      </w:tr>
      <w:tr w14:paraId="6DE13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8" w:type="dxa"/>
            <w:vAlign w:val="center"/>
          </w:tcPr>
          <w:p w14:paraId="025B1E11">
            <w:pPr>
              <w:pStyle w:val="9"/>
              <w:spacing w:line="480" w:lineRule="exact"/>
              <w:jc w:val="center"/>
              <w:rPr>
                <w:rFonts w:ascii="仿宋_GB2312" w:eastAsia="仿宋_GB2312"/>
                <w:spacing w:val="-20"/>
                <w:sz w:val="32"/>
                <w:szCs w:val="32"/>
              </w:rPr>
            </w:pPr>
            <w:r>
              <w:rPr>
                <w:rFonts w:hint="eastAsia" w:ascii="仿宋_GB2312" w:eastAsia="仿宋_GB2312"/>
                <w:spacing w:val="-20"/>
                <w:sz w:val="32"/>
                <w:szCs w:val="32"/>
              </w:rPr>
              <w:t>规格</w:t>
            </w:r>
          </w:p>
        </w:tc>
        <w:tc>
          <w:tcPr>
            <w:tcW w:w="2693" w:type="dxa"/>
            <w:vAlign w:val="center"/>
          </w:tcPr>
          <w:p w14:paraId="08E68F7F">
            <w:pPr>
              <w:pStyle w:val="9"/>
              <w:spacing w:line="480" w:lineRule="exact"/>
              <w:rPr>
                <w:rFonts w:ascii="仿宋_GB2312" w:eastAsia="仿宋_GB2312"/>
                <w:spacing w:val="-20"/>
                <w:sz w:val="32"/>
                <w:szCs w:val="32"/>
              </w:rPr>
            </w:pPr>
            <w:r>
              <w:rPr>
                <w:rFonts w:hint="eastAsia" w:ascii="仿宋_GB2312" w:eastAsia="仿宋_GB2312"/>
                <w:spacing w:val="-20"/>
                <w:sz w:val="32"/>
                <w:szCs w:val="32"/>
              </w:rPr>
              <w:t>电梯海报广告的展示位置为住宅区的电梯间内展板，广告展示海报是纸质喷画，海报材质是157克以上的铜版纸，喷绘所用材料为“PP”胶片；海报印刷尺寸约为57cm*42cm，不同楼盘规格不同，以点位实际规格为准；</w:t>
            </w:r>
          </w:p>
        </w:tc>
        <w:tc>
          <w:tcPr>
            <w:tcW w:w="2274" w:type="dxa"/>
            <w:vAlign w:val="center"/>
          </w:tcPr>
          <w:p w14:paraId="05B4892B">
            <w:pPr>
              <w:pStyle w:val="9"/>
              <w:spacing w:line="480" w:lineRule="exact"/>
              <w:rPr>
                <w:rFonts w:ascii="仿宋_GB2312" w:eastAsia="仿宋_GB2312"/>
                <w:spacing w:val="-20"/>
                <w:sz w:val="32"/>
                <w:szCs w:val="32"/>
              </w:rPr>
            </w:pPr>
            <w:r>
              <w:rPr>
                <w:rFonts w:hint="eastAsia" w:ascii="仿宋_GB2312" w:eastAsia="仿宋_GB2312"/>
                <w:spacing w:val="-20"/>
                <w:sz w:val="32"/>
                <w:szCs w:val="32"/>
              </w:rPr>
              <w:t>公交站台为双面展示，海报规格为3.5m*1.5m，海报材质为数码丝印pp纸；</w:t>
            </w:r>
          </w:p>
          <w:p w14:paraId="532A5DCF">
            <w:pPr>
              <w:pStyle w:val="9"/>
              <w:spacing w:line="480" w:lineRule="exact"/>
              <w:rPr>
                <w:rFonts w:ascii="仿宋_GB2312" w:eastAsia="仿宋_GB2312"/>
                <w:spacing w:val="-20"/>
                <w:sz w:val="32"/>
                <w:szCs w:val="32"/>
              </w:rPr>
            </w:pPr>
          </w:p>
        </w:tc>
        <w:tc>
          <w:tcPr>
            <w:tcW w:w="1733" w:type="dxa"/>
            <w:vAlign w:val="center"/>
          </w:tcPr>
          <w:p w14:paraId="477AFD16">
            <w:pPr>
              <w:pStyle w:val="9"/>
              <w:spacing w:line="480" w:lineRule="exact"/>
              <w:rPr>
                <w:rFonts w:ascii="仿宋_GB2312" w:eastAsia="仿宋_GB2312"/>
                <w:spacing w:val="-20"/>
                <w:sz w:val="32"/>
                <w:szCs w:val="32"/>
              </w:rPr>
            </w:pPr>
            <w:r>
              <w:rPr>
                <w:rFonts w:hint="eastAsia" w:ascii="仿宋_GB2312" w:eastAsia="仿宋_GB2312"/>
                <w:spacing w:val="-20"/>
                <w:sz w:val="32"/>
                <w:szCs w:val="32"/>
              </w:rPr>
              <w:t>车门贴、车厢看板、车椅贴、车窗贴等；</w:t>
            </w:r>
          </w:p>
        </w:tc>
      </w:tr>
    </w:tbl>
    <w:p w14:paraId="5EBFB3A6">
      <w:pPr>
        <w:pStyle w:val="9"/>
        <w:tabs>
          <w:tab w:val="left" w:pos="1080"/>
        </w:tabs>
        <w:spacing w:line="560" w:lineRule="exact"/>
        <w:rPr>
          <w:rFonts w:ascii="仿宋_GB2312" w:eastAsia="仿宋_GB2312"/>
          <w:sz w:val="32"/>
          <w:szCs w:val="32"/>
        </w:rPr>
        <w:sectPr>
          <w:pgSz w:w="11906" w:h="16838"/>
          <w:pgMar w:top="1440" w:right="1797" w:bottom="1440" w:left="1797" w:header="851" w:footer="992" w:gutter="0"/>
          <w:cols w:space="425" w:num="1"/>
          <w:docGrid w:type="linesAndChars" w:linePitch="312" w:charSpace="0"/>
        </w:sectPr>
      </w:pPr>
    </w:p>
    <w:p w14:paraId="2CD575A5">
      <w:pPr>
        <w:pStyle w:val="2"/>
        <w:spacing w:before="240" w:after="240"/>
      </w:pPr>
      <w:r>
        <w:rPr>
          <w:rFonts w:hint="eastAsia"/>
        </w:rPr>
        <w:t>六、服务要求</w:t>
      </w:r>
    </w:p>
    <w:p w14:paraId="32FDA360">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1、中标单位须按照采购单位要求提供相应主题的宣传服务。</w:t>
      </w:r>
    </w:p>
    <w:p w14:paraId="31612C5F">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2、按照以下流程完成宣传服务：</w:t>
      </w:r>
    </w:p>
    <w:p w14:paraId="1D296CDC">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（1）采购单位下达宣传主题。</w:t>
      </w:r>
    </w:p>
    <w:p w14:paraId="4AF6440F">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（2）中标单位根据宣传主题设计宣传内容，选取宣传形式向采购单位提供宣传方案，方案需</w:t>
      </w:r>
      <w:r>
        <w:rPr>
          <w:rFonts w:hint="eastAsia" w:ascii="仿宋_GB2312" w:hAnsi="Calibri" w:eastAsia="仿宋_GB2312"/>
          <w:sz w:val="32"/>
        </w:rPr>
        <w:t>按每次线下公益广告投放内容并结合采购单位工作安排，选择合适的线下公益广告投放形式及合适的线下公益广告投放点位，及合适投放数量，保证投放形式多样化，并实现南山区线下公益广告投放全覆盖</w:t>
      </w:r>
      <w:r>
        <w:rPr>
          <w:rFonts w:hint="eastAsia" w:ascii="仿宋_GB2312" w:eastAsia="仿宋_GB2312"/>
          <w:sz w:val="32"/>
          <w:szCs w:val="32"/>
        </w:rPr>
        <w:t>。</w:t>
      </w:r>
    </w:p>
    <w:p w14:paraId="5ADF3848">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（3）中标单位根据相应宣传主题，设计有关宣传海报，每次</w:t>
      </w:r>
      <w:r>
        <w:rPr>
          <w:rFonts w:hint="eastAsia" w:ascii="仿宋_GB2312" w:eastAsia="仿宋_GB2312" w:hAnsiTheme="minorEastAsia"/>
          <w:sz w:val="32"/>
          <w:szCs w:val="32"/>
        </w:rPr>
        <w:t>主题项目宣传海报设计不少于</w:t>
      </w:r>
      <w:r>
        <w:rPr>
          <w:rFonts w:hint="eastAsia" w:ascii="仿宋_GB2312" w:eastAsia="仿宋_GB2312" w:hAnsiTheme="minorEastAsia"/>
          <w:sz w:val="32"/>
          <w:szCs w:val="32"/>
          <w:lang w:val="en-US"/>
        </w:rPr>
        <w:t>3款，</w:t>
      </w:r>
      <w:r>
        <w:rPr>
          <w:rFonts w:hint="eastAsia" w:ascii="仿宋_GB2312" w:eastAsia="仿宋_GB2312" w:hAnsiTheme="minorEastAsia"/>
          <w:sz w:val="32"/>
          <w:szCs w:val="32"/>
        </w:rPr>
        <w:t>设计表达形式及内容需贴合主题并符合采购单位要求</w:t>
      </w:r>
      <w:r>
        <w:rPr>
          <w:rFonts w:hint="eastAsia" w:ascii="仿宋_GB2312" w:eastAsia="仿宋_GB2312"/>
          <w:sz w:val="32"/>
          <w:szCs w:val="32"/>
        </w:rPr>
        <w:t>。</w:t>
      </w:r>
    </w:p>
    <w:p w14:paraId="32D80DC2">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（4）中标单位确认宣传方案后，报送采购单位审核，根据最终确认宣传方案，制作宣传海报，开展宣传工作。</w:t>
      </w:r>
    </w:p>
    <w:p w14:paraId="3DF38809">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（5）</w:t>
      </w:r>
      <w:r>
        <w:rPr>
          <w:rFonts w:hint="eastAsia" w:ascii="仿宋_GB2312" w:hAnsi="Calibri" w:eastAsia="仿宋_GB2312"/>
          <w:sz w:val="32"/>
        </w:rPr>
        <w:t>每次线下广告投放工作完成后，中标单位需</w:t>
      </w:r>
      <w:r>
        <w:rPr>
          <w:rFonts w:hint="eastAsia" w:ascii="仿宋_GB2312" w:eastAsia="仿宋_GB2312"/>
          <w:sz w:val="32"/>
          <w:szCs w:val="32"/>
        </w:rPr>
        <w:t>按照采购单位要求配合完成宣传任务验收工作，</w:t>
      </w:r>
      <w:r>
        <w:rPr>
          <w:rFonts w:hint="eastAsia" w:ascii="仿宋_GB2312" w:hAnsi="Calibri" w:eastAsia="仿宋_GB2312"/>
          <w:sz w:val="32"/>
        </w:rPr>
        <w:t>做好文件资料的整理，收集线下广告投放有关资料（上下刊报告、监测报告、服务总结、设计稿件源文件等）供采购单位存档</w:t>
      </w:r>
      <w:r>
        <w:rPr>
          <w:rFonts w:hint="eastAsia" w:ascii="仿宋_GB2312" w:eastAsia="仿宋_GB2312"/>
          <w:sz w:val="32"/>
          <w:szCs w:val="32"/>
        </w:rPr>
        <w:t>。</w:t>
      </w:r>
    </w:p>
    <w:p w14:paraId="0A1B20FE">
      <w:pPr>
        <w:pStyle w:val="9"/>
        <w:tabs>
          <w:tab w:val="left" w:pos="1080"/>
        </w:tabs>
        <w:spacing w:line="560" w:lineRule="exact"/>
        <w:ind w:firstLine="640" w:firstLineChars="200"/>
        <w:rPr>
          <w:rFonts w:ascii="仿宋_GB2312" w:hAnsi="Calibri" w:eastAsia="仿宋_GB2312"/>
          <w:sz w:val="32"/>
        </w:rPr>
      </w:pPr>
      <w:r>
        <w:rPr>
          <w:rFonts w:hint="eastAsia" w:ascii="仿宋_GB2312" w:eastAsia="仿宋_GB2312"/>
          <w:sz w:val="32"/>
          <w:szCs w:val="32"/>
        </w:rPr>
        <w:t>3、</w:t>
      </w:r>
      <w:r>
        <w:rPr>
          <w:rFonts w:hint="eastAsia" w:ascii="仿宋_GB2312" w:hAnsi="Calibri" w:eastAsia="仿宋_GB2312"/>
          <w:sz w:val="32"/>
        </w:rPr>
        <w:t>每次开展线下公益广告投放时，中标单位需仔细审核广告设计、内容安排，保证有关文案内容、稿件表达形式和画面设计的合法性、常识性、正确性等。</w:t>
      </w:r>
    </w:p>
    <w:p w14:paraId="13EE4B6D">
      <w:pPr>
        <w:pStyle w:val="9"/>
        <w:tabs>
          <w:tab w:val="left" w:pos="1080"/>
        </w:tabs>
        <w:spacing w:line="560" w:lineRule="exact"/>
        <w:ind w:firstLine="640" w:firstLineChars="200"/>
        <w:rPr>
          <w:rFonts w:ascii="仿宋_GB2312" w:hAnsi="Calibri" w:eastAsia="仿宋_GB2312"/>
          <w:sz w:val="32"/>
        </w:rPr>
      </w:pPr>
      <w:r>
        <w:rPr>
          <w:rFonts w:hint="eastAsia" w:ascii="仿宋_GB2312" w:hAnsi="Calibri" w:eastAsia="仿宋_GB2312"/>
          <w:sz w:val="32"/>
        </w:rPr>
        <w:t>4、中标单位需对每次线下公益广告进行监测，保证各点位广告投放时长（每次四周）和有效在刊（无损毁等），以供采购单位随时对各点位在刊情况进行抽检。</w:t>
      </w:r>
    </w:p>
    <w:p w14:paraId="0732652E">
      <w:pPr>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5、完成不少于招标文件关于投放数量要求的服务量。</w:t>
      </w:r>
    </w:p>
    <w:p w14:paraId="5DC9A8C1">
      <w:pPr>
        <w:pStyle w:val="9"/>
        <w:tabs>
          <w:tab w:val="left" w:pos="1080"/>
        </w:tabs>
        <w:spacing w:line="560" w:lineRule="exact"/>
        <w:ind w:firstLine="640" w:firstLineChars="200"/>
        <w:rPr>
          <w:rFonts w:ascii="仿宋_GB2312" w:eastAsia="仿宋_GB2312"/>
          <w:sz w:val="32"/>
          <w:szCs w:val="32"/>
        </w:rPr>
      </w:pPr>
      <w:r>
        <w:rPr>
          <w:rFonts w:hint="eastAsia" w:ascii="仿宋_GB2312" w:eastAsia="仿宋_GB2312"/>
          <w:sz w:val="32"/>
          <w:szCs w:val="32"/>
        </w:rPr>
        <w:t>6、中标单位须按照采购单位要求，</w:t>
      </w:r>
      <w:r>
        <w:rPr>
          <w:rFonts w:hint="eastAsia" w:ascii="仿宋_GB2312" w:hAnsi="Calibri" w:eastAsia="仿宋_GB2312"/>
          <w:sz w:val="32"/>
        </w:rPr>
        <w:t>配置充足服务团队人员，及时</w:t>
      </w:r>
      <w:r>
        <w:rPr>
          <w:rFonts w:hint="eastAsia" w:ascii="仿宋_GB2312" w:eastAsia="仿宋_GB2312"/>
          <w:sz w:val="32"/>
          <w:szCs w:val="32"/>
        </w:rPr>
        <w:t>响应采购单位有关宣传工作安排，完成服务内容。</w:t>
      </w:r>
    </w:p>
    <w:p w14:paraId="05F915D5">
      <w:pPr>
        <w:pStyle w:val="2"/>
        <w:spacing w:before="240" w:after="240"/>
      </w:pPr>
      <w:r>
        <w:rPr>
          <w:rFonts w:hint="eastAsia"/>
        </w:rPr>
        <w:t>七、服务团队要求</w:t>
      </w:r>
    </w:p>
    <w:p w14:paraId="4B445CAB">
      <w:pPr>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服务团队中须包含项目负责人，文案编辑人员、稿件设计人员、财务（会计专业）人员等。</w:t>
      </w:r>
    </w:p>
    <w:p w14:paraId="4C3EF688">
      <w:pPr>
        <w:pStyle w:val="2"/>
        <w:spacing w:before="240" w:after="240"/>
      </w:pPr>
      <w:bookmarkStart w:id="2" w:name="_Hlk89868969"/>
      <w:r>
        <w:rPr>
          <w:rFonts w:hint="eastAsia"/>
        </w:rPr>
        <w:t>八、投标报价要求</w:t>
      </w:r>
    </w:p>
    <w:p w14:paraId="29225450">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w:t>
      </w:r>
      <w:r>
        <w:rPr>
          <w:rFonts w:ascii="仿宋_GB2312" w:eastAsia="仿宋_GB2312"/>
          <w:sz w:val="32"/>
          <w:szCs w:val="32"/>
        </w:rPr>
        <w:t>本项目服务费采用包干制，应包括服务成本、法定税费和企业的利润。由企业根据招标文件所提供的资料自行测算投标报价；一经中标，投标报价总价作为中标单位与采购单位签定的合同金额，合同期限内不做调整。</w:t>
      </w:r>
    </w:p>
    <w:p w14:paraId="16F66206">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投标人应根据本企业的成本自行决定报价，但不得以低于其企业成本的报价投标。</w:t>
      </w:r>
    </w:p>
    <w:p w14:paraId="7091DF34">
      <w:pPr>
        <w:spacing w:line="540" w:lineRule="exact"/>
        <w:ind w:firstLine="640" w:firstLineChars="200"/>
        <w:rPr>
          <w:rFonts w:ascii="仿宋_GB2312" w:eastAsia="仿宋_GB2312"/>
          <w:sz w:val="32"/>
          <w:szCs w:val="32"/>
        </w:rPr>
      </w:pPr>
      <w:r>
        <w:rPr>
          <w:rFonts w:ascii="仿宋_GB2312" w:eastAsia="仿宋_GB2312"/>
          <w:sz w:val="32"/>
          <w:szCs w:val="32"/>
        </w:rPr>
        <w:t>3、本项目财政控制金额为人民币</w:t>
      </w:r>
      <w:r>
        <w:rPr>
          <w:rFonts w:hint="eastAsia" w:ascii="仿宋_GB2312" w:eastAsia="仿宋_GB2312"/>
          <w:sz w:val="32"/>
          <w:szCs w:val="32"/>
        </w:rPr>
        <w:t>9</w:t>
      </w:r>
      <w:r>
        <w:rPr>
          <w:rFonts w:hint="eastAsia" w:ascii="仿宋_GB2312" w:eastAsia="仿宋_GB2312"/>
          <w:sz w:val="32"/>
          <w:szCs w:val="32"/>
          <w:lang w:val="en-US" w:eastAsia="zh-CN"/>
        </w:rPr>
        <w:t>5</w:t>
      </w:r>
      <w:r>
        <w:rPr>
          <w:rFonts w:hint="eastAsia" w:ascii="仿宋_GB2312" w:eastAsia="仿宋_GB2312"/>
          <w:sz w:val="32"/>
          <w:szCs w:val="32"/>
        </w:rPr>
        <w:t>万</w:t>
      </w:r>
      <w:r>
        <w:rPr>
          <w:rFonts w:ascii="仿宋_GB2312" w:eastAsia="仿宋_GB2312"/>
          <w:sz w:val="32"/>
          <w:szCs w:val="32"/>
        </w:rPr>
        <w:t>元，投标人的投标报价高于财政控制金额为无效投标。</w:t>
      </w:r>
    </w:p>
    <w:bookmarkEnd w:id="2"/>
    <w:p w14:paraId="4D769560"/>
    <w:p w14:paraId="15B9D317">
      <w:pPr>
        <w:pStyle w:val="2"/>
      </w:pPr>
      <w:r>
        <w:rPr>
          <w:rFonts w:hint="eastAsia"/>
        </w:rPr>
        <w:t>九、评标方法和中标数量</w:t>
      </w:r>
    </w:p>
    <w:p w14:paraId="2FC47772">
      <w:pPr>
        <w:widowControl/>
        <w:spacing w:line="560" w:lineRule="exact"/>
        <w:ind w:firstLine="640" w:firstLineChars="200"/>
        <w:jc w:val="left"/>
        <w:rPr>
          <w:rFonts w:ascii="仿宋_GB2312" w:hAnsi="仿宋" w:eastAsia="仿宋_GB2312" w:cs="宋体"/>
          <w:kern w:val="0"/>
          <w:sz w:val="32"/>
          <w:szCs w:val="32"/>
        </w:rPr>
      </w:pPr>
      <w:r>
        <w:rPr>
          <w:rFonts w:hint="eastAsia" w:ascii="仿宋_GB2312" w:hAnsi="仿宋" w:eastAsia="仿宋_GB2312" w:cs="宋体"/>
          <w:kern w:val="0"/>
          <w:sz w:val="32"/>
          <w:szCs w:val="32"/>
        </w:rPr>
        <w:t>（一）本项目采用评定结合方法进行评定标，评审方法为：综合评分法。</w:t>
      </w:r>
    </w:p>
    <w:p w14:paraId="0D26599F">
      <w:pPr>
        <w:widowControl/>
        <w:spacing w:line="560" w:lineRule="exact"/>
        <w:ind w:firstLine="640" w:firstLineChars="200"/>
        <w:jc w:val="left"/>
        <w:rPr>
          <w:rFonts w:hint="eastAsia" w:ascii="仿宋_GB2312" w:hAnsi="仿宋" w:eastAsia="仿宋_GB2312" w:cs="宋体"/>
          <w:kern w:val="0"/>
          <w:sz w:val="32"/>
          <w:szCs w:val="32"/>
          <w:lang w:eastAsia="zh-CN"/>
        </w:rPr>
        <w:sectPr>
          <w:pgSz w:w="11906" w:h="16838"/>
          <w:pgMar w:top="1440" w:right="1797" w:bottom="1440" w:left="1797" w:header="851" w:footer="992" w:gutter="0"/>
          <w:cols w:space="425" w:num="1"/>
          <w:docGrid w:linePitch="312" w:charSpace="0"/>
        </w:sectPr>
      </w:pPr>
      <w:r>
        <w:rPr>
          <w:rFonts w:hint="eastAsia" w:ascii="仿宋_GB2312" w:hAnsi="仿宋" w:eastAsia="仿宋_GB2312" w:cs="宋体"/>
          <w:kern w:val="0"/>
          <w:sz w:val="32"/>
          <w:szCs w:val="32"/>
        </w:rPr>
        <w:t>（二）综合评分法。按照投标文件要求进行评审，综合得分从高到低进行排序，排名前N+2名的投标人，作为候选中标供应商。若通过资格性及符合性审查的供应商少于3家，则本项目</w:t>
      </w:r>
      <w:r>
        <w:rPr>
          <w:rFonts w:hint="eastAsia" w:ascii="仿宋_GB2312" w:hAnsi="仿宋" w:eastAsia="仿宋_GB2312" w:cs="宋体"/>
          <w:kern w:val="0"/>
          <w:sz w:val="32"/>
          <w:szCs w:val="32"/>
          <w:lang w:eastAsia="zh-CN"/>
        </w:rPr>
        <w:t>失败。</w:t>
      </w:r>
    </w:p>
    <w:p w14:paraId="1570BDC1">
      <w:pPr>
        <w:pStyle w:val="3"/>
      </w:pPr>
      <w:r>
        <w:rPr>
          <w:rFonts w:hint="eastAsia"/>
        </w:rPr>
        <w:t xml:space="preserve">第三章 </w:t>
      </w:r>
      <w:r>
        <w:t xml:space="preserve"> </w:t>
      </w:r>
      <w:r>
        <w:rPr>
          <w:rFonts w:hint="eastAsia"/>
        </w:rPr>
        <w:t>投标文件格式、附件</w:t>
      </w:r>
    </w:p>
    <w:p w14:paraId="0FE8326A">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人需提交密封的投标文件，内含一式五份，其中正本一份（附电子文档一份）和副本四份，投标文件的副本可采用正本的复印件。每套投标文件须清楚地标明“正本”、“副本”。若副本与正本不符，以正本为准。</w:t>
      </w:r>
    </w:p>
    <w:p w14:paraId="50E3819C">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特别提醒：投标文件需按照投标文件组成进行编制，需包含目录指引、页码。</w:t>
      </w:r>
    </w:p>
    <w:p w14:paraId="54B2DE3D">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投标文件组成：</w:t>
      </w:r>
    </w:p>
    <w:p w14:paraId="4CD88376">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（1）法定代表人证明书</w:t>
      </w:r>
    </w:p>
    <w:p w14:paraId="52C53ECD">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（2）法定代表人授权委托书</w:t>
      </w:r>
    </w:p>
    <w:p w14:paraId="61E88C6C">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（3）投标函</w:t>
      </w:r>
    </w:p>
    <w:p w14:paraId="4D0B3B40">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（4）承诺函</w:t>
      </w:r>
    </w:p>
    <w:p w14:paraId="316DC4C6">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（5）投标人资质条件要求</w:t>
      </w:r>
    </w:p>
    <w:p w14:paraId="6AAC2B08">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（6）技术部分</w:t>
      </w:r>
    </w:p>
    <w:p w14:paraId="3B069DAF">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（7）综合实力部分</w:t>
      </w:r>
    </w:p>
    <w:p w14:paraId="5A0E49A3">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（8）分项报价表</w:t>
      </w:r>
    </w:p>
    <w:p w14:paraId="27D0C572">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（9）投标人认为其他需要证明的材料</w:t>
      </w:r>
    </w:p>
    <w:p w14:paraId="690B0602">
      <w:pPr>
        <w:widowControl/>
        <w:spacing w:line="240" w:lineRule="auto"/>
        <w:jc w:val="left"/>
      </w:pPr>
      <w:r>
        <w:br w:type="page"/>
      </w:r>
    </w:p>
    <w:p w14:paraId="76AED8DE">
      <w:pPr>
        <w:pStyle w:val="2"/>
        <w:rPr>
          <w:b w:val="0"/>
        </w:rPr>
      </w:pPr>
      <w:r>
        <w:rPr>
          <w:rFonts w:hint="eastAsia"/>
        </w:rPr>
        <w:t>一、</w:t>
      </w:r>
      <w:r>
        <w:t>法定代表人证明书</w:t>
      </w:r>
    </w:p>
    <w:p w14:paraId="1F5068D4">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同志，现任我单位职务，为法定代表人</w:t>
      </w:r>
      <w:r>
        <w:rPr>
          <w:rFonts w:hint="eastAsia" w:ascii="仿宋_GB2312" w:hAnsi="仿宋_GB2312" w:eastAsia="仿宋_GB2312"/>
          <w:sz w:val="32"/>
          <w:szCs w:val="32"/>
        </w:rPr>
        <w:t>(</w:t>
      </w:r>
      <w:r>
        <w:rPr>
          <w:rFonts w:ascii="仿宋_GB2312" w:hAnsi="仿宋_GB2312" w:eastAsia="仿宋_GB2312"/>
          <w:sz w:val="32"/>
          <w:szCs w:val="32"/>
        </w:rPr>
        <w:t>负责人)，特此证明。</w:t>
      </w:r>
    </w:p>
    <w:p w14:paraId="1D64452A">
      <w:pPr>
        <w:spacing w:line="540" w:lineRule="exact"/>
        <w:ind w:firstLine="640" w:firstLineChars="200"/>
        <w:rPr>
          <w:rFonts w:ascii="仿宋_GB2312" w:hAnsi="仿宋_GB2312" w:eastAsia="仿宋_GB2312"/>
          <w:sz w:val="32"/>
          <w:szCs w:val="32"/>
        </w:rPr>
      </w:pPr>
    </w:p>
    <w:p w14:paraId="152C7766">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有效日期：         签发日期：         单位盖章：</w:t>
      </w:r>
    </w:p>
    <w:p w14:paraId="03343C47">
      <w:pPr>
        <w:spacing w:line="540" w:lineRule="exact"/>
        <w:ind w:firstLine="640" w:firstLineChars="200"/>
        <w:rPr>
          <w:rFonts w:ascii="仿宋_GB2312" w:hAnsi="仿宋_GB2312" w:eastAsia="仿宋_GB2312"/>
          <w:sz w:val="32"/>
          <w:szCs w:val="32"/>
        </w:rPr>
      </w:pPr>
    </w:p>
    <w:p w14:paraId="2E488181">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附：</w:t>
      </w:r>
    </w:p>
    <w:p w14:paraId="4F210DCC">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营业执照号码：                 经济性质：</w:t>
      </w:r>
    </w:p>
    <w:p w14:paraId="6D9C8EDE">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主营：</w:t>
      </w:r>
    </w:p>
    <w:p w14:paraId="240E11AB">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兼营：</w:t>
      </w:r>
    </w:p>
    <w:p w14:paraId="5CD72931">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说明：</w:t>
      </w:r>
    </w:p>
    <w:p w14:paraId="1634D1BE">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1、法定代表人（负责人）为企业事业单位、国家机关、社会团体的主要行政负责人。</w:t>
      </w:r>
    </w:p>
    <w:p w14:paraId="1D1CA6E5">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mc:AlternateContent>
          <mc:Choice Requires="wps">
            <w:drawing>
              <wp:anchor distT="0" distB="0" distL="0" distR="0" simplePos="0" relativeHeight="251659264" behindDoc="0" locked="0" layoutInCell="1" allowOverlap="1">
                <wp:simplePos x="0" y="0"/>
                <wp:positionH relativeFrom="column">
                  <wp:posOffset>926465</wp:posOffset>
                </wp:positionH>
                <wp:positionV relativeFrom="paragraph">
                  <wp:posOffset>991235</wp:posOffset>
                </wp:positionV>
                <wp:extent cx="3237865" cy="1795780"/>
                <wp:effectExtent l="0" t="0" r="19685" b="13970"/>
                <wp:wrapNone/>
                <wp:docPr id="1026" name="圆角矩形 1"/>
                <wp:cNvGraphicFramePr/>
                <a:graphic xmlns:a="http://schemas.openxmlformats.org/drawingml/2006/main">
                  <a:graphicData uri="http://schemas.microsoft.com/office/word/2010/wordprocessingShape">
                    <wps:wsp>
                      <wps:cNvSpPr/>
                      <wps:spPr>
                        <a:xfrm>
                          <a:off x="0" y="0"/>
                          <a:ext cx="3237865" cy="1795779"/>
                        </a:xfrm>
                        <a:prstGeom prst="roundRect">
                          <a:avLst>
                            <a:gd name="adj" fmla="val 16667"/>
                          </a:avLst>
                        </a:prstGeom>
                        <a:solidFill>
                          <a:srgbClr val="FFFFFF"/>
                        </a:solidFill>
                        <a:ln w="9525" cap="rnd" cmpd="sng">
                          <a:solidFill>
                            <a:srgbClr val="000000"/>
                          </a:solidFill>
                          <a:prstDash val="sysDot"/>
                          <a:round/>
                          <a:headEnd type="none" w="med" len="med"/>
                          <a:tailEnd type="none" w="med" len="med"/>
                        </a:ln>
                      </wps:spPr>
                      <wps:txbx>
                        <w:txbxContent>
                          <w:p w14:paraId="0393DC6E"/>
                          <w:p w14:paraId="6BB39DEC"/>
                          <w:p w14:paraId="771DFAA1"/>
                          <w:p w14:paraId="43A13568"/>
                          <w:p w14:paraId="7FD340B3">
                            <w:pPr>
                              <w:jc w:val="center"/>
                            </w:pPr>
                            <w:r>
                              <w:rPr>
                                <w:rFonts w:hint="eastAsia"/>
                              </w:rPr>
                              <w:t>附：法定代表人身份证扫描件</w:t>
                            </w:r>
                          </w:p>
                        </w:txbxContent>
                      </wps:txbx>
                      <wps:bodyPr upright="1"/>
                    </wps:wsp>
                  </a:graphicData>
                </a:graphic>
              </wp:anchor>
            </w:drawing>
          </mc:Choice>
          <mc:Fallback>
            <w:pict>
              <v:roundrect id="圆角矩形 1" o:spid="_x0000_s1026" o:spt="2" style="position:absolute;left:0pt;margin-left:72.95pt;margin-top:78.05pt;height:141.4pt;width:254.95pt;z-index:251659264;mso-width-relative:page;mso-height-relative:page;" fillcolor="#FFFFFF" filled="t" stroked="t" coordsize="21600,21600" arcsize="0.166666666666667" o:gfxdata="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8mFV42gAAAAsBAAAPAAAAAAAAAAEAIAAAACIAAABkcnMvZG93bnJldi54bWxQSwEC&#10;FAAUAAAACACHTuJAM8T60ysCAABkBAAADgAAAAAAAAABACAAAAApAQAAZHJzL2Uyb0RvYy54bWxQ&#10;SwUGAAAAAAYABgBZAQAAxgUAAAAA&#10;">
                <v:fill on="t" focussize="0,0"/>
                <v:stroke color="#000000" joinstyle="round" dashstyle="1 1" endcap="round"/>
                <v:imagedata o:title=""/>
                <o:lock v:ext="edit" aspectratio="f"/>
                <v:textbox>
                  <w:txbxContent>
                    <w:p w14:paraId="0393DC6E"/>
                    <w:p w14:paraId="6BB39DEC"/>
                    <w:p w14:paraId="771DFAA1"/>
                    <w:p w14:paraId="43A13568"/>
                    <w:p w14:paraId="7FD340B3">
                      <w:pPr>
                        <w:jc w:val="center"/>
                      </w:pPr>
                      <w:r>
                        <w:rPr>
                          <w:rFonts w:hint="eastAsia"/>
                        </w:rPr>
                        <w:t>附：法定代表人身份证扫描件</w:t>
                      </w:r>
                    </w:p>
                  </w:txbxContent>
                </v:textbox>
              </v:roundrect>
            </w:pict>
          </mc:Fallback>
        </mc:AlternateContent>
      </w:r>
      <w:r>
        <w:rPr>
          <w:rFonts w:ascii="仿宋_GB2312" w:hAnsi="仿宋_GB2312" w:eastAsia="仿宋_GB2312"/>
          <w:sz w:val="32"/>
          <w:szCs w:val="32"/>
        </w:rPr>
        <w:t>2、内容必须填</w:t>
      </w:r>
      <w:r>
        <w:rPr>
          <w:rFonts w:hint="eastAsia" w:ascii="仿宋_GB2312" w:hAnsi="仿宋_GB2312" w:eastAsia="仿宋_GB2312"/>
          <w:sz w:val="32"/>
          <w:szCs w:val="32"/>
        </w:rPr>
        <w:t>写真实、清楚，涂改无效，不得转让、买卖。</w:t>
      </w:r>
    </w:p>
    <w:p w14:paraId="46B865A6">
      <w:pPr>
        <w:widowControl/>
        <w:spacing w:line="540" w:lineRule="exact"/>
        <w:jc w:val="left"/>
        <w:rPr>
          <w:rFonts w:ascii="仿宋_GB2312" w:hAnsi="仿宋_GB2312" w:eastAsia="仿宋_GB2312"/>
          <w:sz w:val="32"/>
          <w:szCs w:val="32"/>
        </w:rPr>
      </w:pPr>
      <w:r>
        <w:rPr>
          <w:rFonts w:ascii="仿宋_GB2312" w:hAnsi="仿宋_GB2312" w:eastAsia="仿宋_GB2312"/>
          <w:sz w:val="32"/>
          <w:szCs w:val="32"/>
        </w:rPr>
        <w:br w:type="page"/>
      </w:r>
    </w:p>
    <w:p w14:paraId="19E0A20A">
      <w:pPr>
        <w:pStyle w:val="2"/>
        <w:rPr>
          <w:b w:val="0"/>
        </w:rPr>
      </w:pPr>
      <w:r>
        <w:t>二、</w:t>
      </w:r>
      <w:r>
        <w:rPr>
          <w:rFonts w:hint="eastAsia"/>
        </w:rPr>
        <w:t>法定代表人</w:t>
      </w:r>
      <w:r>
        <w:t>授权委托书</w:t>
      </w:r>
    </w:p>
    <w:p w14:paraId="60B85E4E">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本授权委托书声明：我（姓名）系（投标人名称）的法定代表人（负责人），现授权委托（单位名称）的（姓名）为我公司签署本项目已递交的投标文件的法定代表人（负责人）的授权委托代理人，代理人全权代表我所签署的本项目已递交的投标文件内容我均承认。</w:t>
      </w:r>
    </w:p>
    <w:p w14:paraId="619FA623">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代理人无转委托权，特此委托。</w:t>
      </w:r>
    </w:p>
    <w:p w14:paraId="6A7ABC5E">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代理人：</w:t>
      </w:r>
    </w:p>
    <w:p w14:paraId="2B167483">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职务：</w:t>
      </w:r>
    </w:p>
    <w:p w14:paraId="24E69543">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详细通讯地址：</w:t>
      </w:r>
    </w:p>
    <w:p w14:paraId="7AAEC7DD">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邮政编码：</w:t>
      </w:r>
    </w:p>
    <w:p w14:paraId="77D3730A">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电话：</w:t>
      </w:r>
    </w:p>
    <w:p w14:paraId="577B0004">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移动电话：</w:t>
      </w:r>
    </w:p>
    <w:p w14:paraId="6227EADA">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传真：</w:t>
      </w:r>
    </w:p>
    <w:p w14:paraId="20BF535B">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投标人：</w:t>
      </w:r>
    </w:p>
    <w:p w14:paraId="443E14B8">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法定代表人（负责人）：</w:t>
      </w:r>
    </w:p>
    <w:p w14:paraId="7CABD37F">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授权委托日期：         年     月       日</w:t>
      </w:r>
      <w:r>
        <w:rPr>
          <w:rFonts w:ascii="仿宋_GB2312" w:hAnsi="仿宋_GB2312" w:eastAsia="仿宋_GB2312"/>
          <w:sz w:val="32"/>
          <w:szCs w:val="32"/>
        </w:rPr>
        <mc:AlternateContent>
          <mc:Choice Requires="wps">
            <w:drawing>
              <wp:anchor distT="0" distB="0" distL="0" distR="0" simplePos="0" relativeHeight="251660288" behindDoc="0" locked="0" layoutInCell="1" allowOverlap="1">
                <wp:simplePos x="0" y="0"/>
                <wp:positionH relativeFrom="column">
                  <wp:posOffset>979170</wp:posOffset>
                </wp:positionH>
                <wp:positionV relativeFrom="paragraph">
                  <wp:posOffset>708660</wp:posOffset>
                </wp:positionV>
                <wp:extent cx="3237865" cy="1795780"/>
                <wp:effectExtent l="0" t="0" r="19685" b="13970"/>
                <wp:wrapNone/>
                <wp:docPr id="1027" name="圆角矩形 4"/>
                <wp:cNvGraphicFramePr/>
                <a:graphic xmlns:a="http://schemas.openxmlformats.org/drawingml/2006/main">
                  <a:graphicData uri="http://schemas.microsoft.com/office/word/2010/wordprocessingShape">
                    <wps:wsp>
                      <wps:cNvSpPr/>
                      <wps:spPr>
                        <a:xfrm>
                          <a:off x="0" y="0"/>
                          <a:ext cx="3237864" cy="1795779"/>
                        </a:xfrm>
                        <a:prstGeom prst="roundRect">
                          <a:avLst>
                            <a:gd name="adj" fmla="val 16667"/>
                          </a:avLst>
                        </a:prstGeom>
                        <a:solidFill>
                          <a:srgbClr val="FFFFFF"/>
                        </a:solidFill>
                        <a:ln w="9525" cap="rnd" cmpd="sng">
                          <a:solidFill>
                            <a:srgbClr val="000000"/>
                          </a:solidFill>
                          <a:prstDash val="sysDot"/>
                          <a:round/>
                          <a:headEnd type="none" w="med" len="med"/>
                          <a:tailEnd type="none" w="med" len="med"/>
                        </a:ln>
                      </wps:spPr>
                      <wps:txbx>
                        <w:txbxContent>
                          <w:p w14:paraId="667E11B9"/>
                          <w:p w14:paraId="58351CA0"/>
                          <w:p w14:paraId="685515EE"/>
                          <w:p w14:paraId="15D2FDB5"/>
                          <w:p w14:paraId="21142112">
                            <w:pPr>
                              <w:jc w:val="center"/>
                            </w:pPr>
                            <w:r>
                              <w:rPr>
                                <w:rFonts w:hint="eastAsia"/>
                              </w:rPr>
                              <w:t>附：代理人身份证扫描件</w:t>
                            </w:r>
                          </w:p>
                        </w:txbxContent>
                      </wps:txbx>
                      <wps:bodyPr upright="1"/>
                    </wps:wsp>
                  </a:graphicData>
                </a:graphic>
              </wp:anchor>
            </w:drawing>
          </mc:Choice>
          <mc:Fallback>
            <w:pict>
              <v:roundrect id="圆角矩形 4" o:spid="_x0000_s1026" o:spt="2" style="position:absolute;left:0pt;margin-left:77.1pt;margin-top:55.8pt;height:141.4pt;width:254.95pt;z-index:251660288;mso-width-relative:page;mso-height-relative:page;" fillcolor="#FFFFFF" filled="t" stroked="t" coordsize="21600,21600" arcsize="0.166666666666667" o:gfxdata="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s0YTNkAAAALAQAADwAAAAAAAAABACAAAAAiAAAAZHJzL2Rvd25yZXYueG1sUEsB&#10;AhQAFAAAAAgAh07iQMw2PUstAgAAZAQAAA4AAAAAAAAAAQAgAAAAKAEAAGRycy9lMm9Eb2MueG1s&#10;UEsFBgAAAAAGAAYAWQEAAMcFAAAAAA==&#10;">
                <v:fill on="t" focussize="0,0"/>
                <v:stroke color="#000000" joinstyle="round" dashstyle="1 1" endcap="round"/>
                <v:imagedata o:title=""/>
                <o:lock v:ext="edit" aspectratio="f"/>
                <v:textbox>
                  <w:txbxContent>
                    <w:p w14:paraId="667E11B9"/>
                    <w:p w14:paraId="58351CA0"/>
                    <w:p w14:paraId="685515EE"/>
                    <w:p w14:paraId="15D2FDB5"/>
                    <w:p w14:paraId="21142112">
                      <w:pPr>
                        <w:jc w:val="center"/>
                      </w:pPr>
                      <w:r>
                        <w:rPr>
                          <w:rFonts w:hint="eastAsia"/>
                        </w:rPr>
                        <w:t>附：代理人身份证扫描件</w:t>
                      </w:r>
                    </w:p>
                  </w:txbxContent>
                </v:textbox>
              </v:roundrect>
            </w:pict>
          </mc:Fallback>
        </mc:AlternateContent>
      </w:r>
    </w:p>
    <w:p w14:paraId="3FA97C78">
      <w:pPr>
        <w:spacing w:line="540" w:lineRule="exact"/>
        <w:ind w:firstLine="640" w:firstLineChars="200"/>
        <w:rPr>
          <w:rFonts w:ascii="仿宋_GB2312" w:hAnsi="仿宋_GB2312" w:eastAsia="仿宋_GB2312"/>
          <w:sz w:val="32"/>
          <w:szCs w:val="32"/>
        </w:rPr>
      </w:pPr>
    </w:p>
    <w:p w14:paraId="73CC5C4E">
      <w:pPr>
        <w:widowControl/>
        <w:spacing w:line="540" w:lineRule="exact"/>
        <w:jc w:val="left"/>
        <w:rPr>
          <w:rFonts w:ascii="仿宋_GB2312" w:hAnsi="仿宋_GB2312" w:eastAsia="仿宋_GB2312"/>
          <w:sz w:val="32"/>
          <w:szCs w:val="32"/>
        </w:rPr>
      </w:pPr>
      <w:r>
        <w:rPr>
          <w:rFonts w:ascii="仿宋_GB2312" w:hAnsi="仿宋_GB2312" w:eastAsia="仿宋_GB2312"/>
          <w:sz w:val="32"/>
          <w:szCs w:val="32"/>
        </w:rPr>
        <w:br w:type="page"/>
      </w:r>
    </w:p>
    <w:p w14:paraId="01B5065A">
      <w:pPr>
        <w:pStyle w:val="2"/>
        <w:rPr>
          <w:b w:val="0"/>
        </w:rPr>
      </w:pPr>
      <w:r>
        <w:rPr>
          <w:rFonts w:hint="eastAsia"/>
        </w:rPr>
        <w:t>三、</w:t>
      </w:r>
      <w:r>
        <w:t>投标函</w:t>
      </w:r>
    </w:p>
    <w:p w14:paraId="74AC3058">
      <w:pPr>
        <w:spacing w:line="540" w:lineRule="exact"/>
        <w:ind w:firstLine="640" w:firstLineChars="200"/>
        <w:rPr>
          <w:rFonts w:ascii="仿宋_GB2312" w:hAnsi="仿宋_GB2312" w:eastAsia="仿宋_GB2312"/>
          <w:sz w:val="32"/>
          <w:szCs w:val="32"/>
        </w:rPr>
      </w:pPr>
      <w:r>
        <w:rPr>
          <w:rFonts w:ascii="仿宋_GB2312" w:hAnsi="仿宋_GB2312" w:eastAsia="仿宋_GB2312"/>
          <w:sz w:val="32"/>
          <w:szCs w:val="32"/>
        </w:rPr>
        <w:t>致：</w:t>
      </w:r>
      <w:r>
        <w:rPr>
          <w:rFonts w:hint="eastAsia" w:ascii="仿宋_GB2312" w:hAnsi="仿宋_GB2312" w:eastAsia="仿宋_GB2312"/>
          <w:sz w:val="32"/>
          <w:szCs w:val="32"/>
        </w:rPr>
        <w:t>深圳市南山区</w:t>
      </w:r>
      <w:r>
        <w:rPr>
          <w:rFonts w:hint="eastAsia" w:ascii="仿宋_GB2312" w:hAnsi="宋体" w:eastAsia="仿宋_GB2312"/>
          <w:sz w:val="32"/>
          <w:szCs w:val="32"/>
        </w:rPr>
        <w:t>应急管理局</w:t>
      </w:r>
    </w:p>
    <w:p w14:paraId="1EA2DBCD">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1、根据已收到贵方的</w:t>
      </w:r>
      <w:r>
        <w:rPr>
          <w:rFonts w:hint="eastAsia" w:ascii="仿宋_GB2312" w:hAnsi="仿宋_GB2312" w:eastAsia="仿宋_GB2312"/>
          <w:color w:val="000000"/>
          <w:sz w:val="32"/>
          <w:szCs w:val="32"/>
        </w:rPr>
        <w:t>项目名称</w:t>
      </w:r>
      <w:r>
        <w:rPr>
          <w:rFonts w:ascii="仿宋_GB2312" w:hAnsi="仿宋_GB2312" w:eastAsia="仿宋_GB2312"/>
          <w:color w:val="000000"/>
          <w:sz w:val="32"/>
          <w:szCs w:val="32"/>
        </w:rPr>
        <w:t>为</w:t>
      </w:r>
      <w:r>
        <w:rPr>
          <w:rFonts w:hint="eastAsia" w:ascii="仿宋_GB2312" w:hAnsi="仿宋_GB2312" w:eastAsia="仿宋_GB2312"/>
          <w:sz w:val="32"/>
          <w:szCs w:val="32"/>
          <w:u w:val="single"/>
        </w:rPr>
        <w:t xml:space="preserve">               </w:t>
      </w:r>
      <w:r>
        <w:rPr>
          <w:rFonts w:ascii="仿宋_GB2312" w:hAnsi="仿宋_GB2312" w:eastAsia="仿宋_GB2312"/>
          <w:color w:val="000000"/>
          <w:sz w:val="32"/>
          <w:szCs w:val="32"/>
        </w:rPr>
        <w:t>的采购文件，遵照</w:t>
      </w:r>
      <w:r>
        <w:rPr>
          <w:rFonts w:ascii="仿宋_GB2312" w:hAnsi="仿宋_GB2312" w:eastAsia="仿宋_GB2312"/>
          <w:color w:val="000000"/>
          <w:kern w:val="0"/>
          <w:sz w:val="32"/>
          <w:szCs w:val="32"/>
        </w:rPr>
        <w:t>《中华人民共和国政府采购法》</w:t>
      </w:r>
      <w:r>
        <w:rPr>
          <w:rFonts w:hint="eastAsia" w:ascii="仿宋_GB2312" w:hAnsi="仿宋_GB2312" w:eastAsia="仿宋_GB2312"/>
          <w:color w:val="000000"/>
          <w:kern w:val="0"/>
          <w:sz w:val="32"/>
          <w:szCs w:val="32"/>
        </w:rPr>
        <w:t>、</w:t>
      </w:r>
      <w:r>
        <w:rPr>
          <w:rFonts w:ascii="仿宋_GB2312" w:hAnsi="仿宋_GB2312" w:eastAsia="仿宋_GB2312"/>
          <w:color w:val="000000"/>
          <w:kern w:val="0"/>
          <w:sz w:val="32"/>
          <w:szCs w:val="32"/>
        </w:rPr>
        <w:t>《</w:t>
      </w:r>
      <w:r>
        <w:rPr>
          <w:rFonts w:hint="eastAsia" w:ascii="仿宋_GB2312" w:hAnsi="仿宋_GB2312" w:eastAsia="仿宋_GB2312"/>
          <w:color w:val="000000"/>
          <w:kern w:val="0"/>
          <w:sz w:val="32"/>
          <w:szCs w:val="32"/>
        </w:rPr>
        <w:t>深圳经济特区政府采购条例</w:t>
      </w:r>
      <w:r>
        <w:rPr>
          <w:rFonts w:ascii="仿宋_GB2312" w:hAnsi="仿宋_GB2312" w:eastAsia="仿宋_GB2312"/>
          <w:color w:val="000000"/>
          <w:kern w:val="0"/>
          <w:sz w:val="32"/>
          <w:szCs w:val="32"/>
        </w:rPr>
        <w:t>》</w:t>
      </w:r>
      <w:r>
        <w:rPr>
          <w:rFonts w:hint="eastAsia" w:ascii="仿宋_GB2312" w:hAnsi="仿宋_GB2312" w:eastAsia="仿宋_GB2312"/>
          <w:color w:val="000000"/>
          <w:kern w:val="0"/>
          <w:sz w:val="32"/>
          <w:szCs w:val="32"/>
        </w:rPr>
        <w:t>、《深圳经济特区政府采购条例实施细则》</w:t>
      </w:r>
      <w:r>
        <w:rPr>
          <w:rFonts w:ascii="仿宋_GB2312" w:hAnsi="仿宋_GB2312" w:eastAsia="仿宋_GB2312"/>
          <w:color w:val="000000"/>
          <w:kern w:val="0"/>
          <w:sz w:val="32"/>
          <w:szCs w:val="32"/>
        </w:rPr>
        <w:t>和有关规定，我单位经研究上述采购文件的专用条款及通用条款后，我方愿</w:t>
      </w:r>
      <w:r>
        <w:rPr>
          <w:rFonts w:ascii="仿宋_GB2312" w:hAnsi="仿宋_GB2312" w:eastAsia="仿宋_GB2312"/>
          <w:color w:val="000000"/>
          <w:sz w:val="32"/>
          <w:szCs w:val="32"/>
        </w:rPr>
        <w:t>以投标文件编制《开标一览表》中填写的投标报价并按采购文件要求承包上述项目并修补其任何缺陷。</w:t>
      </w:r>
    </w:p>
    <w:p w14:paraId="63EB2FF0">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w:t>
      </w:r>
      <w:r>
        <w:rPr>
          <w:rFonts w:ascii="仿宋_GB2312" w:hAnsi="仿宋_GB2312" w:eastAsia="仿宋_GB2312"/>
          <w:sz w:val="32"/>
          <w:szCs w:val="32"/>
        </w:rPr>
        <w:t>、除非另外达成协议并生效，贵方的中标通知书和本投标文件将构成约束我们双方的合同。</w:t>
      </w:r>
    </w:p>
    <w:p w14:paraId="4EA87C80">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w:t>
      </w:r>
      <w:r>
        <w:rPr>
          <w:rFonts w:ascii="仿宋_GB2312" w:hAnsi="仿宋_GB2312" w:eastAsia="仿宋_GB2312"/>
          <w:sz w:val="32"/>
          <w:szCs w:val="32"/>
        </w:rPr>
        <w:t>、我方理解贵方将不受必须接受你们所收到的最低标价或其它任何投标文件的约束。</w:t>
      </w:r>
    </w:p>
    <w:p w14:paraId="60661AC2">
      <w:pPr>
        <w:spacing w:line="540" w:lineRule="exact"/>
        <w:rPr>
          <w:rFonts w:ascii="仿宋_GB2312" w:hAnsi="仿宋_GB2312" w:eastAsia="仿宋_GB2312"/>
          <w:sz w:val="32"/>
          <w:szCs w:val="32"/>
        </w:rPr>
      </w:pPr>
    </w:p>
    <w:p w14:paraId="730B7B16">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投标人：    单位地址：</w:t>
      </w:r>
    </w:p>
    <w:p w14:paraId="55D74ECC">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法定代表人或其委托代理人：</w:t>
      </w:r>
    </w:p>
    <w:p w14:paraId="0AC8F9E3">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邮政编码：  电话：  传真：</w:t>
      </w:r>
    </w:p>
    <w:p w14:paraId="4131D4D5">
      <w:pPr>
        <w:spacing w:line="540" w:lineRule="exact"/>
        <w:ind w:left="617" w:leftChars="257"/>
        <w:rPr>
          <w:rFonts w:ascii="仿宋_GB2312" w:hAnsi="仿宋_GB2312" w:eastAsia="仿宋_GB2312"/>
          <w:sz w:val="32"/>
          <w:szCs w:val="32"/>
        </w:rPr>
      </w:pPr>
      <w:r>
        <w:rPr>
          <w:rFonts w:ascii="仿宋_GB2312" w:hAnsi="仿宋_GB2312" w:eastAsia="仿宋_GB2312"/>
          <w:sz w:val="32"/>
          <w:szCs w:val="32"/>
        </w:rPr>
        <w:t>开户银行名称：</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rPr>
        <w:tab/>
      </w:r>
      <w:r>
        <w:rPr>
          <w:rFonts w:ascii="仿宋_GB2312" w:hAnsi="仿宋_GB2312" w:eastAsia="仿宋_GB2312"/>
          <w:sz w:val="32"/>
          <w:szCs w:val="32"/>
        </w:rPr>
        <w:t>开户银行</w:t>
      </w:r>
      <w:r>
        <w:rPr>
          <w:rFonts w:hint="eastAsia" w:ascii="仿宋_GB2312" w:hAnsi="仿宋_GB2312" w:eastAsia="仿宋_GB2312"/>
          <w:sz w:val="32"/>
          <w:szCs w:val="32"/>
          <w:lang w:val="en-US" w:eastAsia="zh-CN"/>
        </w:rPr>
        <w:t>账</w:t>
      </w:r>
      <w:bookmarkStart w:id="3" w:name="_GoBack"/>
      <w:bookmarkEnd w:id="3"/>
      <w:r>
        <w:rPr>
          <w:rFonts w:ascii="仿宋_GB2312" w:hAnsi="仿宋_GB2312" w:eastAsia="仿宋_GB2312"/>
          <w:sz w:val="32"/>
          <w:szCs w:val="32"/>
        </w:rPr>
        <w:t>号：</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p>
    <w:p w14:paraId="2657C0DD">
      <w:pPr>
        <w:spacing w:line="540" w:lineRule="exact"/>
        <w:ind w:left="617" w:leftChars="257"/>
        <w:rPr>
          <w:rFonts w:ascii="仿宋_GB2312" w:hAnsi="仿宋_GB2312" w:eastAsia="仿宋_GB2312"/>
          <w:sz w:val="32"/>
          <w:szCs w:val="32"/>
          <w:u w:val="single"/>
        </w:rPr>
      </w:pPr>
      <w:r>
        <w:rPr>
          <w:rFonts w:ascii="仿宋_GB2312" w:hAnsi="仿宋_GB2312" w:eastAsia="仿宋_GB2312"/>
          <w:sz w:val="32"/>
          <w:szCs w:val="32"/>
        </w:rPr>
        <w:t>开户银行地址：</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rPr>
        <w:tab/>
      </w:r>
      <w:r>
        <w:rPr>
          <w:rFonts w:ascii="仿宋_GB2312" w:hAnsi="仿宋_GB2312" w:eastAsia="仿宋_GB2312"/>
          <w:sz w:val="32"/>
          <w:szCs w:val="32"/>
        </w:rPr>
        <w:t>开户银行电话：</w:t>
      </w:r>
      <w:r>
        <w:rPr>
          <w:rFonts w:ascii="仿宋_GB2312" w:hAnsi="仿宋_GB2312" w:eastAsia="仿宋_GB2312"/>
          <w:sz w:val="32"/>
          <w:szCs w:val="32"/>
          <w:u w:val="single"/>
        </w:rPr>
        <w:tab/>
      </w:r>
      <w:r>
        <w:rPr>
          <w:rFonts w:ascii="仿宋_GB2312" w:hAnsi="仿宋_GB2312" w:eastAsia="仿宋_GB2312"/>
          <w:sz w:val="32"/>
          <w:szCs w:val="32"/>
          <w:u w:val="single"/>
        </w:rPr>
        <w:tab/>
      </w:r>
      <w:r>
        <w:rPr>
          <w:rFonts w:ascii="仿宋_GB2312" w:hAnsi="仿宋_GB2312" w:eastAsia="仿宋_GB2312"/>
          <w:sz w:val="32"/>
          <w:szCs w:val="32"/>
          <w:u w:val="single"/>
        </w:rPr>
        <w:tab/>
      </w:r>
    </w:p>
    <w:p w14:paraId="4B4ED1CC">
      <w:pPr>
        <w:spacing w:line="540" w:lineRule="exact"/>
        <w:ind w:left="617" w:leftChars="257" w:firstLine="4800" w:firstLineChars="1500"/>
        <w:rPr>
          <w:rFonts w:ascii="仿宋_GB2312" w:hAnsi="仿宋_GB2312" w:eastAsia="仿宋_GB2312"/>
          <w:sz w:val="32"/>
          <w:szCs w:val="32"/>
        </w:rPr>
      </w:pPr>
      <w:r>
        <w:rPr>
          <w:rFonts w:ascii="仿宋_GB2312" w:hAnsi="仿宋_GB2312" w:eastAsia="仿宋_GB2312"/>
          <w:sz w:val="32"/>
          <w:szCs w:val="32"/>
        </w:rPr>
        <w:t>日期：</w:t>
      </w:r>
      <w:r>
        <w:rPr>
          <w:rFonts w:hint="eastAsia" w:ascii="仿宋_GB2312" w:hAnsi="仿宋_GB2312" w:eastAsia="仿宋_GB2312"/>
          <w:sz w:val="32"/>
          <w:szCs w:val="32"/>
        </w:rPr>
        <w:t xml:space="preserve"> </w:t>
      </w:r>
      <w:r>
        <w:rPr>
          <w:rFonts w:ascii="仿宋_GB2312" w:hAnsi="仿宋_GB2312" w:eastAsia="仿宋_GB2312"/>
          <w:sz w:val="32"/>
          <w:szCs w:val="32"/>
        </w:rPr>
        <w:t>年</w:t>
      </w:r>
      <w:r>
        <w:rPr>
          <w:rFonts w:hint="eastAsia" w:ascii="仿宋_GB2312" w:hAnsi="仿宋_GB2312" w:eastAsia="仿宋_GB2312"/>
          <w:sz w:val="32"/>
          <w:szCs w:val="32"/>
        </w:rPr>
        <w:t xml:space="preserve"> </w:t>
      </w:r>
      <w:r>
        <w:rPr>
          <w:rFonts w:ascii="仿宋_GB2312" w:hAnsi="仿宋_GB2312" w:eastAsia="仿宋_GB2312"/>
          <w:sz w:val="32"/>
          <w:szCs w:val="32"/>
        </w:rPr>
        <w:t>月</w:t>
      </w:r>
      <w:r>
        <w:rPr>
          <w:rFonts w:hint="eastAsia" w:ascii="仿宋_GB2312" w:hAnsi="仿宋_GB2312" w:eastAsia="仿宋_GB2312"/>
          <w:sz w:val="32"/>
          <w:szCs w:val="32"/>
        </w:rPr>
        <w:t xml:space="preserve">  </w:t>
      </w:r>
      <w:r>
        <w:rPr>
          <w:rFonts w:ascii="仿宋_GB2312" w:hAnsi="仿宋_GB2312" w:eastAsia="仿宋_GB2312"/>
          <w:sz w:val="32"/>
          <w:szCs w:val="32"/>
        </w:rPr>
        <w:t>日</w:t>
      </w:r>
    </w:p>
    <w:p w14:paraId="3162D7DF">
      <w:pPr>
        <w:ind w:firstLine="480" w:firstLineChars="200"/>
      </w:pPr>
    </w:p>
    <w:p w14:paraId="305511B1">
      <w:pPr>
        <w:pStyle w:val="2"/>
        <w:rPr>
          <w:b w:val="0"/>
        </w:rPr>
      </w:pPr>
      <w:r>
        <w:br w:type="page"/>
      </w:r>
      <w:r>
        <w:rPr>
          <w:rFonts w:hint="eastAsia"/>
        </w:rPr>
        <w:t>四、承诺函</w:t>
      </w:r>
    </w:p>
    <w:p w14:paraId="4D884D8A">
      <w:pPr>
        <w:spacing w:line="540" w:lineRule="exact"/>
        <w:rPr>
          <w:rFonts w:ascii="仿宋_GB2312" w:hAnsi="仿宋_GB2312" w:eastAsia="仿宋_GB2312"/>
          <w:sz w:val="32"/>
          <w:szCs w:val="32"/>
        </w:rPr>
      </w:pPr>
      <w:r>
        <w:rPr>
          <w:rFonts w:hint="eastAsia" w:ascii="仿宋_GB2312" w:hAnsi="仿宋_GB2312" w:eastAsia="仿宋_GB2312"/>
          <w:color w:val="000000"/>
          <w:sz w:val="32"/>
          <w:szCs w:val="32"/>
        </w:rPr>
        <w:t>致：</w:t>
      </w:r>
      <w:r>
        <w:rPr>
          <w:rFonts w:hint="eastAsia" w:ascii="仿宋_GB2312" w:hAnsi="仿宋_GB2312" w:eastAsia="仿宋_GB2312"/>
          <w:sz w:val="32"/>
          <w:szCs w:val="32"/>
        </w:rPr>
        <w:t>深圳市南山区</w:t>
      </w:r>
      <w:r>
        <w:rPr>
          <w:rFonts w:hint="eastAsia" w:ascii="仿宋_GB2312" w:hAnsi="宋体" w:eastAsia="仿宋_GB2312"/>
          <w:sz w:val="32"/>
          <w:szCs w:val="32"/>
        </w:rPr>
        <w:t>应急管理局</w:t>
      </w:r>
    </w:p>
    <w:p w14:paraId="0FEEC86F">
      <w:pPr>
        <w:spacing w:line="540" w:lineRule="exact"/>
        <w:rPr>
          <w:rFonts w:ascii="仿宋_GB2312" w:hAnsi="仿宋_GB2312" w:eastAsia="仿宋_GB2312"/>
          <w:color w:val="000000"/>
          <w:sz w:val="32"/>
          <w:szCs w:val="32"/>
        </w:rPr>
      </w:pPr>
      <w:r>
        <w:rPr>
          <w:rFonts w:hint="eastAsia" w:ascii="仿宋_GB2312" w:hAnsi="仿宋_GB2312" w:eastAsia="仿宋_GB2312"/>
          <w:color w:val="000000"/>
          <w:sz w:val="32"/>
          <w:szCs w:val="32"/>
        </w:rPr>
        <w:t>我公司承诺：</w:t>
      </w:r>
    </w:p>
    <w:p w14:paraId="17D03209">
      <w:pPr>
        <w:spacing w:line="54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1.我公司依法缴纳税收和社会保障资金。</w:t>
      </w:r>
    </w:p>
    <w:p w14:paraId="232E5E9D">
      <w:pPr>
        <w:spacing w:line="54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2.我公司具备合同所必需的设备和专业技术能力。</w:t>
      </w:r>
    </w:p>
    <w:p w14:paraId="0989E076">
      <w:pPr>
        <w:spacing w:line="54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3. 我公司承诺在参与本项目投标前三年内，在经营活动中没有重大违法记录，以及参与本项目政府采购活动时不存在被有关部门禁止参与政府采购活动且在有效期内的情况。</w:t>
      </w:r>
    </w:p>
    <w:p w14:paraId="569088F1">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4.</w:t>
      </w:r>
      <w:r>
        <w:rPr>
          <w:rFonts w:hint="eastAsia" w:ascii="仿宋_GB2312" w:hAnsi="仿宋_GB2312" w:eastAsia="仿宋_GB2312"/>
          <w:color w:val="000000"/>
          <w:sz w:val="32"/>
          <w:szCs w:val="32"/>
        </w:rPr>
        <w:t>我公司具备《中华人民共和国政府采购法》第二十二条第一款规定的六项条件。</w:t>
      </w:r>
    </w:p>
    <w:p w14:paraId="502334DF">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5</w:t>
      </w:r>
      <w:r>
        <w:rPr>
          <w:rFonts w:hint="eastAsia" w:ascii="仿宋_GB2312" w:hAnsi="仿宋_GB2312" w:eastAsia="仿宋_GB2312"/>
          <w:color w:val="000000"/>
          <w:sz w:val="32"/>
          <w:szCs w:val="32"/>
        </w:rPr>
        <w:t>.我公司对本招标项目所提供的货物、工程或服务未侵犯知识产权。</w:t>
      </w:r>
    </w:p>
    <w:p w14:paraId="3C4D3E25">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6</w:t>
      </w:r>
      <w:r>
        <w:rPr>
          <w:rFonts w:hint="eastAsia" w:ascii="仿宋_GB2312" w:hAnsi="仿宋_GB2312" w:eastAsia="仿宋_GB2312"/>
          <w:color w:val="000000"/>
          <w:sz w:val="32"/>
          <w:szCs w:val="32"/>
        </w:rPr>
        <w:t>.如我公司在投标文件中提供了专利证书的，我公司保证所投对应产品具有该项专利。</w:t>
      </w:r>
    </w:p>
    <w:p w14:paraId="41008175">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7</w:t>
      </w:r>
      <w:r>
        <w:rPr>
          <w:rFonts w:hint="eastAsia" w:ascii="仿宋_GB2312" w:hAnsi="仿宋_GB2312" w:eastAsia="仿宋_GB2312"/>
          <w:color w:val="000000"/>
          <w:sz w:val="32"/>
          <w:szCs w:val="32"/>
        </w:rPr>
        <w:t>.我公司保证采购人拥有所投产品完整的所有权，不以保护知识产权或技术保密的名义对所有权和使用权进行任何限制。</w:t>
      </w:r>
    </w:p>
    <w:p w14:paraId="18CE1B8E">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8</w:t>
      </w:r>
      <w:r>
        <w:rPr>
          <w:rFonts w:hint="eastAsia" w:ascii="仿宋_GB2312" w:hAnsi="仿宋_GB2312" w:eastAsia="仿宋_GB2312"/>
          <w:color w:val="000000"/>
          <w:sz w:val="32"/>
          <w:szCs w:val="32"/>
        </w:rPr>
        <w:t>.我公司参与该项目投标，严格遵守政府采购相关法律，投标做到诚实，不造假，不围标、串标、陪标。我公司已清楚，如违反上述要求，所投标将作废，被没收投标保证金，被列入不良记录名单并在网上曝光，同时将被提请政府采购主管部门给予一定年限内禁止参与政府采购活动或其他处罚。</w:t>
      </w:r>
    </w:p>
    <w:p w14:paraId="0AF3D9C6">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9</w:t>
      </w:r>
      <w:r>
        <w:rPr>
          <w:rFonts w:hint="eastAsia" w:ascii="仿宋_GB2312" w:hAnsi="仿宋_GB2312" w:eastAsia="仿宋_GB2312"/>
          <w:color w:val="000000"/>
          <w:sz w:val="32"/>
          <w:szCs w:val="32"/>
        </w:rPr>
        <w:t>.如果我公司中标，将依照本项目招标文件需求、投标承诺及采购合同，做到诚信履约，不偷工减料，项目验收达到合格，力争优良。</w:t>
      </w:r>
    </w:p>
    <w:p w14:paraId="453FD43C">
      <w:pPr>
        <w:spacing w:line="540" w:lineRule="exact"/>
        <w:ind w:firstLine="640" w:firstLineChars="200"/>
        <w:rPr>
          <w:rFonts w:ascii="仿宋_GB2312" w:hAnsi="仿宋_GB2312" w:eastAsia="仿宋_GB2312"/>
          <w:color w:val="000000"/>
          <w:sz w:val="32"/>
          <w:szCs w:val="32"/>
        </w:rPr>
      </w:pPr>
      <w:r>
        <w:rPr>
          <w:rFonts w:ascii="仿宋_GB2312" w:hAnsi="仿宋_GB2312" w:eastAsia="仿宋_GB2312"/>
          <w:color w:val="000000"/>
          <w:sz w:val="32"/>
          <w:szCs w:val="32"/>
        </w:rPr>
        <w:t>10</w:t>
      </w:r>
      <w:r>
        <w:rPr>
          <w:rFonts w:hint="eastAsia" w:ascii="仿宋_GB2312" w:hAnsi="仿宋_GB2312" w:eastAsia="仿宋_GB2312"/>
          <w:color w:val="000000"/>
          <w:sz w:val="32"/>
          <w:szCs w:val="32"/>
        </w:rPr>
        <w:t>.我公司保证不违法分包转包。</w:t>
      </w:r>
    </w:p>
    <w:p w14:paraId="05070EC6">
      <w:pPr>
        <w:spacing w:line="54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1</w:t>
      </w:r>
      <w:r>
        <w:rPr>
          <w:rFonts w:ascii="仿宋_GB2312" w:hAnsi="仿宋_GB2312" w:eastAsia="仿宋_GB2312"/>
          <w:color w:val="000000"/>
          <w:sz w:val="32"/>
          <w:szCs w:val="32"/>
        </w:rPr>
        <w:t>1</w:t>
      </w:r>
      <w:r>
        <w:rPr>
          <w:rFonts w:hint="eastAsia" w:ascii="仿宋_GB2312" w:hAnsi="仿宋_GB2312" w:eastAsia="仿宋_GB2312"/>
          <w:color w:val="000000"/>
          <w:sz w:val="32"/>
          <w:szCs w:val="32"/>
        </w:rPr>
        <w:t>.</w:t>
      </w:r>
      <w:r>
        <w:rPr>
          <w:rFonts w:hint="eastAsia" w:ascii="仿宋_GB2312" w:eastAsia="仿宋_GB2312"/>
          <w:bCs/>
          <w:sz w:val="32"/>
          <w:szCs w:val="32"/>
        </w:rPr>
        <w:t>根据项目招标需求，我公司中标后，必须满足招标文件中规定的配置人员要求。</w:t>
      </w:r>
    </w:p>
    <w:p w14:paraId="7F9F9C0E">
      <w:pPr>
        <w:spacing w:line="540" w:lineRule="exact"/>
        <w:ind w:firstLine="640" w:firstLineChars="200"/>
        <w:rPr>
          <w:rFonts w:ascii="仿宋_GB2312" w:hAnsi="仿宋_GB2312" w:eastAsia="仿宋_GB2312"/>
          <w:color w:val="000000"/>
          <w:sz w:val="32"/>
          <w:szCs w:val="32"/>
        </w:rPr>
      </w:pPr>
      <w:r>
        <w:rPr>
          <w:rFonts w:hint="eastAsia" w:ascii="仿宋_GB2312" w:hAnsi="仿宋_GB2312" w:eastAsia="仿宋_GB2312"/>
          <w:color w:val="000000"/>
          <w:sz w:val="32"/>
          <w:szCs w:val="32"/>
        </w:rPr>
        <w:t>以上承诺，如有违反，愿依照国家相关法律处理，并承担由此给采购人带来的损失。</w:t>
      </w:r>
    </w:p>
    <w:p w14:paraId="18A52F7C">
      <w:pPr>
        <w:spacing w:line="540" w:lineRule="exact"/>
        <w:ind w:firstLine="645"/>
        <w:rPr>
          <w:rFonts w:ascii="仿宋_GB2312" w:hAnsi="仿宋_GB2312" w:eastAsia="仿宋_GB2312"/>
          <w:color w:val="000000"/>
          <w:sz w:val="32"/>
          <w:szCs w:val="32"/>
        </w:rPr>
      </w:pPr>
    </w:p>
    <w:p w14:paraId="3772C3AC">
      <w:pPr>
        <w:spacing w:line="540" w:lineRule="exact"/>
        <w:ind w:right="480" w:firstLine="2880" w:firstLineChars="900"/>
        <w:rPr>
          <w:rFonts w:ascii="仿宋_GB2312" w:hAnsi="仿宋_GB2312" w:eastAsia="仿宋_GB2312"/>
          <w:color w:val="000000"/>
          <w:sz w:val="32"/>
          <w:szCs w:val="32"/>
        </w:rPr>
      </w:pPr>
      <w:r>
        <w:rPr>
          <w:rFonts w:hint="eastAsia" w:ascii="仿宋_GB2312" w:hAnsi="仿宋_GB2312" w:eastAsia="仿宋_GB2312"/>
          <w:color w:val="000000"/>
          <w:sz w:val="32"/>
          <w:szCs w:val="32"/>
        </w:rPr>
        <w:t>投标单位名称：</w:t>
      </w:r>
    </w:p>
    <w:p w14:paraId="02E6DBBE">
      <w:pPr>
        <w:spacing w:line="540" w:lineRule="exact"/>
        <w:ind w:firstLine="6080" w:firstLineChars="1900"/>
        <w:rPr>
          <w:rFonts w:ascii="仿宋_GB2312" w:hAnsi="仿宋_GB2312" w:eastAsia="仿宋_GB2312"/>
          <w:sz w:val="32"/>
          <w:szCs w:val="32"/>
        </w:rPr>
      </w:pPr>
      <w:r>
        <w:rPr>
          <w:rFonts w:hint="eastAsia" w:ascii="仿宋_GB2312" w:hAnsi="仿宋_GB2312" w:eastAsia="仿宋_GB2312"/>
          <w:sz w:val="32"/>
          <w:szCs w:val="32"/>
        </w:rPr>
        <w:t>年   月    日</w:t>
      </w:r>
    </w:p>
    <w:p w14:paraId="7379329D">
      <w:pPr>
        <w:spacing w:line="540" w:lineRule="exact"/>
        <w:rPr>
          <w:rFonts w:ascii="仿宋_GB2312" w:hAnsi="仿宋_GB2312" w:eastAsia="仿宋_GB2312"/>
          <w:b/>
          <w:color w:val="000000"/>
          <w:sz w:val="32"/>
          <w:szCs w:val="32"/>
        </w:rPr>
      </w:pPr>
      <w:r>
        <w:rPr>
          <w:rFonts w:hint="eastAsia" w:ascii="仿宋_GB2312" w:hAnsi="仿宋_GB2312" w:eastAsia="仿宋_GB2312"/>
          <w:b/>
          <w:color w:val="000000"/>
          <w:sz w:val="32"/>
          <w:szCs w:val="32"/>
        </w:rPr>
        <w:t>注意事项：投标人必须严格按照上述格式及内容提供承诺函，否则视为没有实质性满足招标文件要求。</w:t>
      </w:r>
    </w:p>
    <w:p w14:paraId="4A4ED46E">
      <w:pPr>
        <w:widowControl/>
        <w:spacing w:line="240" w:lineRule="auto"/>
        <w:jc w:val="left"/>
      </w:pPr>
    </w:p>
    <w:p w14:paraId="007AD7D3">
      <w:pPr>
        <w:widowControl/>
        <w:spacing w:line="240" w:lineRule="auto"/>
        <w:jc w:val="left"/>
        <w:rPr>
          <w:rFonts w:ascii="仿宋_GB2312" w:hAnsi="仿宋_GB2312" w:eastAsia="仿宋_GB2312"/>
          <w:b/>
          <w:bCs/>
          <w:sz w:val="32"/>
          <w:szCs w:val="32"/>
        </w:rPr>
      </w:pPr>
      <w:r>
        <w:rPr>
          <w:rFonts w:ascii="仿宋_GB2312" w:hAnsi="仿宋_GB2312" w:eastAsia="仿宋_GB2312"/>
          <w:b/>
          <w:bCs/>
          <w:sz w:val="32"/>
          <w:szCs w:val="32"/>
        </w:rPr>
        <w:br w:type="page"/>
      </w:r>
    </w:p>
    <w:p w14:paraId="357500C9">
      <w:pPr>
        <w:pStyle w:val="2"/>
      </w:pPr>
      <w:r>
        <w:rPr>
          <w:rFonts w:hint="eastAsia"/>
        </w:rPr>
        <w:t>五、投标人资质条件要求</w:t>
      </w:r>
    </w:p>
    <w:p w14:paraId="7A39A042">
      <w:pPr>
        <w:widowControl/>
        <w:spacing w:line="240" w:lineRule="auto"/>
        <w:ind w:firstLine="640" w:firstLineChars="200"/>
        <w:jc w:val="left"/>
      </w:pPr>
      <w:r>
        <w:rPr>
          <w:rFonts w:hint="eastAsia" w:ascii="仿宋_GB2312" w:hAnsi="仿宋_GB2312" w:eastAsia="仿宋_GB2312"/>
          <w:sz w:val="32"/>
          <w:szCs w:val="32"/>
        </w:rPr>
        <w:t>（投标人资质要求的证明材料）</w:t>
      </w:r>
    </w:p>
    <w:p w14:paraId="028B0AEC">
      <w:pPr>
        <w:pStyle w:val="2"/>
        <w:rPr>
          <w:b w:val="0"/>
        </w:rPr>
      </w:pPr>
      <w:r>
        <w:rPr>
          <w:rFonts w:hint="eastAsia"/>
        </w:rPr>
        <w:t>六、技术部分</w:t>
      </w:r>
    </w:p>
    <w:p w14:paraId="3CF5321C">
      <w:pPr>
        <w:pStyle w:val="4"/>
        <w:spacing w:before="120" w:after="120"/>
        <w:ind w:firstLine="640"/>
      </w:pPr>
      <w:r>
        <w:rPr>
          <w:rFonts w:hint="eastAsia"/>
        </w:rPr>
        <w:t>（一）服务方案</w:t>
      </w:r>
    </w:p>
    <w:p w14:paraId="19E5BB15">
      <w:pPr>
        <w:pStyle w:val="4"/>
        <w:spacing w:before="120" w:after="120"/>
        <w:ind w:firstLine="640"/>
        <w:rPr>
          <w:rFonts w:hint="eastAsia"/>
        </w:rPr>
      </w:pPr>
      <w:r>
        <w:rPr>
          <w:rFonts w:hint="eastAsia"/>
        </w:rPr>
        <w:t>（二）质量保障措施及重难点分析</w:t>
      </w:r>
    </w:p>
    <w:p w14:paraId="3D3AE000">
      <w:pPr>
        <w:pStyle w:val="4"/>
        <w:spacing w:before="120" w:after="120"/>
        <w:ind w:firstLine="640"/>
        <w:rPr>
          <w:rFonts w:hint="eastAsia"/>
        </w:rPr>
      </w:pPr>
      <w:r>
        <w:rPr>
          <w:rFonts w:hint="eastAsia"/>
        </w:rPr>
        <w:t>（三）应急服务方案</w:t>
      </w:r>
    </w:p>
    <w:p w14:paraId="39FA00AF">
      <w:pPr>
        <w:pStyle w:val="4"/>
        <w:spacing w:before="120" w:after="120"/>
        <w:ind w:left="0" w:leftChars="0" w:firstLine="640" w:firstLineChars="200"/>
        <w:rPr>
          <w:rFonts w:hint="default" w:eastAsia="宋体"/>
          <w:lang w:val="en-US" w:eastAsia="zh-CN"/>
        </w:rPr>
      </w:pPr>
      <w:r>
        <w:rPr>
          <w:rFonts w:hint="eastAsia"/>
          <w:lang w:val="en-US" w:eastAsia="zh-CN"/>
        </w:rPr>
        <w:t>（四）</w:t>
      </w:r>
      <w:r>
        <w:rPr>
          <w:rFonts w:hint="eastAsia"/>
        </w:rPr>
        <w:t>项目负责人</w:t>
      </w:r>
    </w:p>
    <w:p w14:paraId="4B3A6735">
      <w:pPr>
        <w:pStyle w:val="2"/>
      </w:pPr>
      <w:r>
        <w:rPr>
          <w:rFonts w:hint="eastAsia"/>
        </w:rPr>
        <w:t>七、综合实力部分</w:t>
      </w:r>
    </w:p>
    <w:p w14:paraId="2F6C9ACA">
      <w:pPr>
        <w:pStyle w:val="4"/>
        <w:spacing w:before="120" w:after="120"/>
        <w:ind w:firstLine="640"/>
      </w:pPr>
      <w:r>
        <w:rPr>
          <w:rFonts w:hint="eastAsia"/>
        </w:rPr>
        <w:t>（一）投标人同类项目业绩情况</w:t>
      </w:r>
    </w:p>
    <w:tbl>
      <w:tblPr>
        <w:tblStyle w:val="18"/>
        <w:tblW w:w="875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852"/>
        <w:gridCol w:w="2546"/>
        <w:gridCol w:w="1842"/>
        <w:gridCol w:w="1843"/>
        <w:gridCol w:w="1134"/>
      </w:tblGrid>
      <w:tr w14:paraId="27863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2B48A54E">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序号</w:t>
            </w:r>
          </w:p>
        </w:tc>
        <w:tc>
          <w:tcPr>
            <w:tcW w:w="852" w:type="dxa"/>
            <w:vAlign w:val="center"/>
          </w:tcPr>
          <w:p w14:paraId="35C2831E">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采购单位</w:t>
            </w:r>
          </w:p>
        </w:tc>
        <w:tc>
          <w:tcPr>
            <w:tcW w:w="2546" w:type="dxa"/>
            <w:vAlign w:val="center"/>
          </w:tcPr>
          <w:p w14:paraId="793D5D79">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项目名称</w:t>
            </w:r>
          </w:p>
        </w:tc>
        <w:tc>
          <w:tcPr>
            <w:tcW w:w="1842" w:type="dxa"/>
            <w:vAlign w:val="center"/>
          </w:tcPr>
          <w:p w14:paraId="61B3081D">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项目规模</w:t>
            </w:r>
          </w:p>
          <w:p w14:paraId="521A5698">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（合同金额）</w:t>
            </w:r>
          </w:p>
        </w:tc>
        <w:tc>
          <w:tcPr>
            <w:tcW w:w="1843" w:type="dxa"/>
            <w:vAlign w:val="center"/>
          </w:tcPr>
          <w:p w14:paraId="45B12BE7">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合同签订时间</w:t>
            </w:r>
          </w:p>
        </w:tc>
        <w:tc>
          <w:tcPr>
            <w:tcW w:w="1134" w:type="dxa"/>
            <w:vAlign w:val="center"/>
          </w:tcPr>
          <w:p w14:paraId="087BCABA">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备注</w:t>
            </w:r>
          </w:p>
        </w:tc>
      </w:tr>
      <w:tr w14:paraId="181B24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56DAF5EB">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1</w:t>
            </w:r>
          </w:p>
        </w:tc>
        <w:tc>
          <w:tcPr>
            <w:tcW w:w="852" w:type="dxa"/>
            <w:vAlign w:val="center"/>
          </w:tcPr>
          <w:p w14:paraId="35BF262C">
            <w:pPr>
              <w:spacing w:line="540" w:lineRule="exact"/>
              <w:rPr>
                <w:rFonts w:ascii="仿宋_GB2312" w:hAnsi="仿宋_GB2312" w:eastAsia="仿宋_GB2312"/>
                <w:color w:val="000000"/>
                <w:sz w:val="32"/>
                <w:szCs w:val="32"/>
              </w:rPr>
            </w:pPr>
          </w:p>
        </w:tc>
        <w:tc>
          <w:tcPr>
            <w:tcW w:w="2546" w:type="dxa"/>
            <w:vAlign w:val="center"/>
          </w:tcPr>
          <w:p w14:paraId="400DC708">
            <w:pPr>
              <w:spacing w:line="540" w:lineRule="exact"/>
              <w:rPr>
                <w:rFonts w:ascii="仿宋_GB2312" w:hAnsi="仿宋_GB2312" w:eastAsia="仿宋_GB2312"/>
                <w:color w:val="000000"/>
                <w:sz w:val="32"/>
                <w:szCs w:val="32"/>
              </w:rPr>
            </w:pPr>
          </w:p>
        </w:tc>
        <w:tc>
          <w:tcPr>
            <w:tcW w:w="1842" w:type="dxa"/>
            <w:vAlign w:val="center"/>
          </w:tcPr>
          <w:p w14:paraId="3A64278D">
            <w:pPr>
              <w:spacing w:line="540" w:lineRule="exact"/>
              <w:rPr>
                <w:rFonts w:ascii="仿宋_GB2312" w:hAnsi="仿宋_GB2312" w:eastAsia="仿宋_GB2312"/>
                <w:color w:val="000000"/>
                <w:sz w:val="32"/>
                <w:szCs w:val="32"/>
              </w:rPr>
            </w:pPr>
          </w:p>
        </w:tc>
        <w:tc>
          <w:tcPr>
            <w:tcW w:w="1843" w:type="dxa"/>
            <w:vAlign w:val="center"/>
          </w:tcPr>
          <w:p w14:paraId="0E762B79">
            <w:pPr>
              <w:spacing w:line="540" w:lineRule="exact"/>
              <w:rPr>
                <w:rFonts w:ascii="仿宋_GB2312" w:hAnsi="仿宋_GB2312" w:eastAsia="仿宋_GB2312"/>
                <w:color w:val="000000"/>
                <w:sz w:val="32"/>
                <w:szCs w:val="32"/>
              </w:rPr>
            </w:pPr>
          </w:p>
        </w:tc>
        <w:tc>
          <w:tcPr>
            <w:tcW w:w="1134" w:type="dxa"/>
            <w:vAlign w:val="center"/>
          </w:tcPr>
          <w:p w14:paraId="318F1B59">
            <w:pPr>
              <w:spacing w:line="540" w:lineRule="exact"/>
              <w:rPr>
                <w:rFonts w:ascii="仿宋_GB2312" w:hAnsi="仿宋_GB2312" w:eastAsia="仿宋_GB2312"/>
                <w:color w:val="000000"/>
                <w:sz w:val="32"/>
                <w:szCs w:val="32"/>
              </w:rPr>
            </w:pPr>
          </w:p>
        </w:tc>
      </w:tr>
      <w:tr w14:paraId="01A283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452E133A">
            <w:pPr>
              <w:spacing w:line="540" w:lineRule="exact"/>
              <w:jc w:val="center"/>
              <w:rPr>
                <w:rFonts w:ascii="仿宋_GB2312" w:hAnsi="仿宋_GB2312" w:eastAsia="仿宋_GB2312"/>
                <w:color w:val="000000"/>
                <w:sz w:val="32"/>
                <w:szCs w:val="32"/>
              </w:rPr>
            </w:pPr>
            <w:r>
              <w:rPr>
                <w:rFonts w:hint="eastAsia" w:ascii="仿宋_GB2312" w:hAnsi="仿宋_GB2312" w:eastAsia="仿宋_GB2312"/>
                <w:color w:val="000000"/>
                <w:sz w:val="32"/>
                <w:szCs w:val="32"/>
              </w:rPr>
              <w:t>2</w:t>
            </w:r>
          </w:p>
        </w:tc>
        <w:tc>
          <w:tcPr>
            <w:tcW w:w="852" w:type="dxa"/>
            <w:vAlign w:val="center"/>
          </w:tcPr>
          <w:p w14:paraId="1F9524C6">
            <w:pPr>
              <w:spacing w:line="540" w:lineRule="exact"/>
              <w:rPr>
                <w:rFonts w:ascii="仿宋_GB2312" w:hAnsi="仿宋_GB2312" w:eastAsia="仿宋_GB2312"/>
                <w:color w:val="000000"/>
                <w:sz w:val="32"/>
                <w:szCs w:val="32"/>
              </w:rPr>
            </w:pPr>
          </w:p>
        </w:tc>
        <w:tc>
          <w:tcPr>
            <w:tcW w:w="2546" w:type="dxa"/>
            <w:vAlign w:val="center"/>
          </w:tcPr>
          <w:p w14:paraId="4B3E1756">
            <w:pPr>
              <w:spacing w:line="540" w:lineRule="exact"/>
              <w:rPr>
                <w:rFonts w:ascii="仿宋_GB2312" w:hAnsi="仿宋_GB2312" w:eastAsia="仿宋_GB2312"/>
                <w:color w:val="000000"/>
                <w:sz w:val="32"/>
                <w:szCs w:val="32"/>
              </w:rPr>
            </w:pPr>
          </w:p>
        </w:tc>
        <w:tc>
          <w:tcPr>
            <w:tcW w:w="1842" w:type="dxa"/>
            <w:vAlign w:val="center"/>
          </w:tcPr>
          <w:p w14:paraId="5FB17BA4">
            <w:pPr>
              <w:spacing w:line="540" w:lineRule="exact"/>
              <w:rPr>
                <w:rFonts w:ascii="仿宋_GB2312" w:hAnsi="仿宋_GB2312" w:eastAsia="仿宋_GB2312"/>
                <w:color w:val="000000"/>
                <w:sz w:val="32"/>
                <w:szCs w:val="32"/>
              </w:rPr>
            </w:pPr>
          </w:p>
        </w:tc>
        <w:tc>
          <w:tcPr>
            <w:tcW w:w="1843" w:type="dxa"/>
            <w:vAlign w:val="center"/>
          </w:tcPr>
          <w:p w14:paraId="73378645">
            <w:pPr>
              <w:spacing w:line="540" w:lineRule="exact"/>
              <w:rPr>
                <w:rFonts w:ascii="仿宋_GB2312" w:hAnsi="仿宋_GB2312" w:eastAsia="仿宋_GB2312"/>
                <w:color w:val="000000"/>
                <w:sz w:val="32"/>
                <w:szCs w:val="32"/>
              </w:rPr>
            </w:pPr>
          </w:p>
        </w:tc>
        <w:tc>
          <w:tcPr>
            <w:tcW w:w="1134" w:type="dxa"/>
            <w:vAlign w:val="center"/>
          </w:tcPr>
          <w:p w14:paraId="42C5CFE2">
            <w:pPr>
              <w:spacing w:line="540" w:lineRule="exact"/>
              <w:rPr>
                <w:rFonts w:ascii="仿宋_GB2312" w:hAnsi="仿宋_GB2312" w:eastAsia="仿宋_GB2312"/>
                <w:color w:val="000000"/>
                <w:sz w:val="32"/>
                <w:szCs w:val="32"/>
              </w:rPr>
            </w:pPr>
          </w:p>
        </w:tc>
      </w:tr>
    </w:tbl>
    <w:p w14:paraId="29A29EE0">
      <w:pPr>
        <w:pStyle w:val="4"/>
        <w:spacing w:before="120" w:after="120"/>
        <w:ind w:firstLine="640"/>
      </w:pPr>
      <w:r>
        <w:rPr>
          <w:rFonts w:hint="eastAsia"/>
        </w:rPr>
        <w:t>（二）项目履约及验收情况</w:t>
      </w:r>
    </w:p>
    <w:p w14:paraId="1CFB83F4">
      <w:pPr>
        <w:pStyle w:val="4"/>
        <w:spacing w:before="120" w:after="120"/>
        <w:ind w:firstLine="640"/>
      </w:pPr>
      <w:r>
        <w:rPr>
          <w:rFonts w:hint="eastAsia"/>
        </w:rPr>
        <w:t>（三）服务便利性</w:t>
      </w:r>
    </w:p>
    <w:p w14:paraId="4EBAE9BA">
      <w:pPr>
        <w:pStyle w:val="2"/>
      </w:pPr>
      <w:r>
        <w:rPr>
          <w:rFonts w:hint="eastAsia"/>
        </w:rPr>
        <w:t>八、分项报价表</w:t>
      </w:r>
    </w:p>
    <w:p w14:paraId="091E8C32">
      <w:pPr>
        <w:pStyle w:val="2"/>
        <w:rPr>
          <w:b w:val="0"/>
        </w:rPr>
      </w:pPr>
      <w:r>
        <w:rPr>
          <w:rFonts w:hint="eastAsia"/>
        </w:rPr>
        <w:t>九、投标人认为其他需要证明的材料</w:t>
      </w:r>
    </w:p>
    <w:p w14:paraId="11C0C8C9">
      <w:pPr>
        <w:widowControl/>
        <w:spacing w:line="240" w:lineRule="auto"/>
        <w:jc w:val="left"/>
      </w:pPr>
      <w:r>
        <w:br w:type="page"/>
      </w:r>
    </w:p>
    <w:p w14:paraId="1AFCE229">
      <w:pPr>
        <w:pStyle w:val="3"/>
      </w:pPr>
      <w:r>
        <w:rPr>
          <w:rFonts w:hint="eastAsia"/>
        </w:rPr>
        <w:t xml:space="preserve">第四章 </w:t>
      </w:r>
      <w:r>
        <w:t xml:space="preserve"> </w:t>
      </w:r>
      <w:r>
        <w:rPr>
          <w:rFonts w:hint="eastAsia"/>
        </w:rPr>
        <w:t>开标一览表</w:t>
      </w:r>
    </w:p>
    <w:p w14:paraId="509CE7CF">
      <w:pPr>
        <w:ind w:right="840"/>
        <w:rPr>
          <w:szCs w:val="21"/>
        </w:rPr>
      </w:pPr>
    </w:p>
    <w:p w14:paraId="058661A7">
      <w:pPr>
        <w:jc w:val="center"/>
        <w:rPr>
          <w:rFonts w:ascii="仿宋_GB2312" w:hAnsi="仿宋_GB2312" w:eastAsia="仿宋_GB2312"/>
          <w:b/>
          <w:sz w:val="32"/>
          <w:szCs w:val="32"/>
        </w:rPr>
      </w:pPr>
      <w:r>
        <w:rPr>
          <w:rFonts w:ascii="仿宋_GB2312" w:hAnsi="仿宋_GB2312" w:eastAsia="仿宋_GB2312"/>
          <w:b/>
          <w:sz w:val="32"/>
          <w:szCs w:val="32"/>
        </w:rPr>
        <w:t>开标一览表</w:t>
      </w:r>
    </w:p>
    <w:p w14:paraId="3713CAE1">
      <w:pPr>
        <w:ind w:right="840"/>
      </w:pPr>
    </w:p>
    <w:p w14:paraId="6F5F04A3">
      <w:pPr>
        <w:spacing w:line="540" w:lineRule="exact"/>
        <w:rPr>
          <w:rFonts w:ascii="仿宋_GB2312" w:hAnsi="仿宋_GB2312" w:eastAsia="仿宋_GB2312"/>
          <w:sz w:val="32"/>
          <w:szCs w:val="32"/>
        </w:rPr>
      </w:pPr>
      <w:r>
        <w:rPr>
          <w:rFonts w:ascii="仿宋_GB2312" w:hAnsi="仿宋_GB2312" w:eastAsia="仿宋_GB2312"/>
          <w:sz w:val="32"/>
          <w:szCs w:val="32"/>
        </w:rPr>
        <w:t xml:space="preserve">投标人名称： </w:t>
      </w:r>
    </w:p>
    <w:p w14:paraId="54591B24">
      <w:pPr>
        <w:spacing w:line="540" w:lineRule="exact"/>
        <w:rPr>
          <w:rFonts w:ascii="仿宋_GB2312" w:hAnsi="仿宋_GB2312" w:eastAsia="仿宋_GB2312"/>
          <w:sz w:val="32"/>
          <w:szCs w:val="32"/>
        </w:rPr>
      </w:pPr>
    </w:p>
    <w:tbl>
      <w:tblPr>
        <w:tblStyle w:val="18"/>
        <w:tblW w:w="8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2066"/>
        <w:gridCol w:w="1616"/>
        <w:gridCol w:w="1849"/>
      </w:tblGrid>
      <w:tr w14:paraId="11BD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2" w:type="dxa"/>
            <w:tcBorders>
              <w:top w:val="single" w:color="auto" w:sz="4" w:space="0"/>
              <w:left w:val="single" w:color="auto" w:sz="4" w:space="0"/>
              <w:bottom w:val="single" w:color="auto" w:sz="4" w:space="0"/>
              <w:right w:val="single" w:color="auto" w:sz="4" w:space="0"/>
            </w:tcBorders>
            <w:vAlign w:val="center"/>
          </w:tcPr>
          <w:p w14:paraId="6B4C4EB0">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ascii="仿宋_GB2312" w:hAnsi="仿宋_GB2312" w:eastAsia="仿宋_GB2312"/>
                <w:sz w:val="32"/>
                <w:szCs w:val="32"/>
              </w:rPr>
              <w:t>项目名称</w:t>
            </w:r>
          </w:p>
        </w:tc>
        <w:tc>
          <w:tcPr>
            <w:tcW w:w="2066" w:type="dxa"/>
            <w:tcBorders>
              <w:top w:val="single" w:color="auto" w:sz="4" w:space="0"/>
              <w:left w:val="single" w:color="auto" w:sz="4" w:space="0"/>
              <w:bottom w:val="single" w:color="auto" w:sz="4" w:space="0"/>
              <w:right w:val="single" w:color="auto" w:sz="4" w:space="0"/>
            </w:tcBorders>
            <w:vAlign w:val="center"/>
          </w:tcPr>
          <w:p w14:paraId="1C3800E6">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报价</w:t>
            </w:r>
          </w:p>
        </w:tc>
        <w:tc>
          <w:tcPr>
            <w:tcW w:w="1616" w:type="dxa"/>
            <w:tcBorders>
              <w:top w:val="single" w:color="auto" w:sz="4" w:space="0"/>
              <w:left w:val="single" w:color="auto" w:sz="4" w:space="0"/>
              <w:bottom w:val="single" w:color="auto" w:sz="4" w:space="0"/>
              <w:right w:val="single" w:color="auto" w:sz="4" w:space="0"/>
            </w:tcBorders>
            <w:vAlign w:val="center"/>
          </w:tcPr>
          <w:p w14:paraId="7CA62C76">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hint="eastAsia" w:ascii="仿宋_GB2312" w:hAnsi="仿宋_GB2312" w:eastAsia="仿宋_GB2312"/>
                <w:sz w:val="32"/>
                <w:szCs w:val="32"/>
              </w:rPr>
              <w:t>服务</w:t>
            </w:r>
            <w:r>
              <w:rPr>
                <w:rFonts w:ascii="仿宋_GB2312" w:hAnsi="仿宋_GB2312" w:eastAsia="仿宋_GB2312"/>
                <w:sz w:val="32"/>
                <w:szCs w:val="32"/>
              </w:rPr>
              <w:t>期</w:t>
            </w:r>
          </w:p>
        </w:tc>
        <w:tc>
          <w:tcPr>
            <w:tcW w:w="1849" w:type="dxa"/>
            <w:tcBorders>
              <w:top w:val="single" w:color="auto" w:sz="4" w:space="0"/>
              <w:left w:val="single" w:color="auto" w:sz="4" w:space="0"/>
              <w:bottom w:val="single" w:color="auto" w:sz="4" w:space="0"/>
              <w:right w:val="single" w:color="auto" w:sz="4" w:space="0"/>
            </w:tcBorders>
            <w:vAlign w:val="center"/>
          </w:tcPr>
          <w:p w14:paraId="65F967FC">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r>
              <w:rPr>
                <w:rFonts w:ascii="仿宋_GB2312" w:hAnsi="仿宋_GB2312" w:eastAsia="仿宋_GB2312"/>
                <w:sz w:val="32"/>
                <w:szCs w:val="32"/>
              </w:rPr>
              <w:t>备注</w:t>
            </w:r>
          </w:p>
        </w:tc>
      </w:tr>
      <w:tr w14:paraId="658E0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812" w:type="dxa"/>
            <w:tcBorders>
              <w:top w:val="single" w:color="auto" w:sz="4" w:space="0"/>
              <w:left w:val="single" w:color="auto" w:sz="4" w:space="0"/>
              <w:bottom w:val="single" w:color="auto" w:sz="4" w:space="0"/>
              <w:right w:val="single" w:color="auto" w:sz="4" w:space="0"/>
            </w:tcBorders>
          </w:tcPr>
          <w:p w14:paraId="49364F4F">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c>
          <w:tcPr>
            <w:tcW w:w="2066" w:type="dxa"/>
            <w:tcBorders>
              <w:top w:val="single" w:color="auto" w:sz="4" w:space="0"/>
              <w:left w:val="single" w:color="auto" w:sz="4" w:space="0"/>
              <w:bottom w:val="single" w:color="auto" w:sz="4" w:space="0"/>
              <w:right w:val="single" w:color="auto" w:sz="4" w:space="0"/>
            </w:tcBorders>
          </w:tcPr>
          <w:p w14:paraId="0497FE90">
            <w:pPr>
              <w:tabs>
                <w:tab w:val="left" w:pos="654"/>
                <w:tab w:val="left" w:pos="1734"/>
                <w:tab w:val="left" w:pos="2814"/>
                <w:tab w:val="left" w:pos="3894"/>
                <w:tab w:val="left" w:pos="5334"/>
                <w:tab w:val="left" w:pos="6414"/>
                <w:tab w:val="left" w:pos="7254"/>
                <w:tab w:val="left" w:pos="8574"/>
                <w:tab w:val="left" w:pos="9654"/>
              </w:tabs>
              <w:spacing w:line="540" w:lineRule="exact"/>
              <w:jc w:val="center"/>
              <w:rPr>
                <w:rFonts w:ascii="仿宋_GB2312" w:hAnsi="仿宋_GB2312" w:eastAsia="仿宋_GB2312"/>
                <w:sz w:val="32"/>
                <w:szCs w:val="32"/>
              </w:rPr>
            </w:pPr>
          </w:p>
        </w:tc>
        <w:tc>
          <w:tcPr>
            <w:tcW w:w="1616" w:type="dxa"/>
            <w:tcBorders>
              <w:top w:val="single" w:color="auto" w:sz="4" w:space="0"/>
              <w:left w:val="single" w:color="auto" w:sz="4" w:space="0"/>
              <w:bottom w:val="single" w:color="auto" w:sz="4" w:space="0"/>
              <w:right w:val="single" w:color="auto" w:sz="4" w:space="0"/>
            </w:tcBorders>
          </w:tcPr>
          <w:p w14:paraId="010E7C1A">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c>
          <w:tcPr>
            <w:tcW w:w="1849" w:type="dxa"/>
            <w:tcBorders>
              <w:top w:val="single" w:color="auto" w:sz="4" w:space="0"/>
              <w:left w:val="single" w:color="auto" w:sz="4" w:space="0"/>
              <w:bottom w:val="single" w:color="auto" w:sz="4" w:space="0"/>
              <w:right w:val="single" w:color="auto" w:sz="4" w:space="0"/>
            </w:tcBorders>
          </w:tcPr>
          <w:p w14:paraId="4D3DDCC1">
            <w:pPr>
              <w:tabs>
                <w:tab w:val="left" w:pos="654"/>
                <w:tab w:val="left" w:pos="1734"/>
                <w:tab w:val="left" w:pos="2814"/>
                <w:tab w:val="left" w:pos="3894"/>
                <w:tab w:val="left" w:pos="5334"/>
                <w:tab w:val="left" w:pos="6414"/>
                <w:tab w:val="left" w:pos="7254"/>
                <w:tab w:val="left" w:pos="8574"/>
                <w:tab w:val="left" w:pos="9654"/>
              </w:tabs>
              <w:spacing w:line="540" w:lineRule="exact"/>
              <w:rPr>
                <w:rFonts w:ascii="仿宋_GB2312" w:hAnsi="仿宋_GB2312" w:eastAsia="仿宋_GB2312"/>
                <w:sz w:val="32"/>
                <w:szCs w:val="32"/>
              </w:rPr>
            </w:pPr>
          </w:p>
        </w:tc>
      </w:tr>
    </w:tbl>
    <w:p w14:paraId="656EA29D">
      <w:pPr>
        <w:spacing w:line="540" w:lineRule="exact"/>
        <w:rPr>
          <w:rFonts w:ascii="仿宋_GB2312" w:hAnsi="仿宋_GB2312" w:eastAsia="仿宋_GB2312"/>
          <w:sz w:val="32"/>
          <w:szCs w:val="32"/>
        </w:rPr>
      </w:pPr>
    </w:p>
    <w:p w14:paraId="506B7CE3">
      <w:pPr>
        <w:spacing w:line="540" w:lineRule="exact"/>
        <w:rPr>
          <w:rFonts w:ascii="仿宋_GB2312" w:hAnsi="仿宋_GB2312" w:eastAsia="仿宋_GB2312"/>
          <w:sz w:val="32"/>
          <w:szCs w:val="32"/>
        </w:rPr>
      </w:pPr>
    </w:p>
    <w:p w14:paraId="1DB223A5">
      <w:pPr>
        <w:spacing w:line="540" w:lineRule="exact"/>
        <w:rPr>
          <w:rFonts w:ascii="仿宋_GB2312" w:hAnsi="仿宋_GB2312" w:eastAsia="仿宋_GB2312"/>
          <w:sz w:val="32"/>
          <w:szCs w:val="32"/>
        </w:rPr>
      </w:pPr>
      <w:r>
        <w:rPr>
          <w:rFonts w:ascii="仿宋_GB2312" w:hAnsi="仿宋_GB2312" w:eastAsia="仿宋_GB2312"/>
          <w:sz w:val="32"/>
          <w:szCs w:val="32"/>
        </w:rPr>
        <w:t>投标人代表签字：</w:t>
      </w:r>
    </w:p>
    <w:p w14:paraId="2BCA41BE">
      <w:pPr>
        <w:spacing w:line="540" w:lineRule="exact"/>
        <w:rPr>
          <w:rFonts w:ascii="仿宋_GB2312" w:hAnsi="仿宋_GB2312" w:eastAsia="仿宋_GB2312"/>
          <w:sz w:val="32"/>
          <w:szCs w:val="32"/>
        </w:rPr>
      </w:pPr>
      <w:r>
        <w:rPr>
          <w:rFonts w:ascii="仿宋_GB2312" w:hAnsi="仿宋_GB2312" w:eastAsia="仿宋_GB2312"/>
          <w:sz w:val="32"/>
          <w:szCs w:val="32"/>
        </w:rPr>
        <w:t>投标人盖章：</w:t>
      </w:r>
    </w:p>
    <w:p w14:paraId="45655B03">
      <w:pPr>
        <w:spacing w:line="540" w:lineRule="exact"/>
        <w:rPr>
          <w:rFonts w:ascii="仿宋_GB2312" w:hAnsi="仿宋_GB2312" w:eastAsia="仿宋_GB2312"/>
          <w:sz w:val="32"/>
          <w:szCs w:val="32"/>
        </w:rPr>
      </w:pPr>
      <w:r>
        <w:rPr>
          <w:rFonts w:hint="eastAsia" w:ascii="仿宋_GB2312" w:hAnsi="仿宋_GB2312" w:eastAsia="仿宋_GB2312"/>
          <w:sz w:val="32"/>
          <w:szCs w:val="32"/>
        </w:rPr>
        <w:t>日期：</w:t>
      </w:r>
    </w:p>
    <w:p w14:paraId="0DCC9CFF">
      <w:pPr>
        <w:spacing w:line="540" w:lineRule="exact"/>
        <w:rPr>
          <w:rFonts w:ascii="仿宋_GB2312" w:hAnsi="仿宋_GB2312" w:eastAsia="仿宋_GB2312"/>
          <w:sz w:val="32"/>
          <w:szCs w:val="32"/>
        </w:rPr>
      </w:pPr>
    </w:p>
    <w:p w14:paraId="02650E7B">
      <w:pPr>
        <w:spacing w:line="540" w:lineRule="exact"/>
        <w:rPr>
          <w:rFonts w:ascii="仿宋_GB2312" w:hAnsi="仿宋_GB2312" w:eastAsia="仿宋_GB2312"/>
          <w:sz w:val="32"/>
          <w:szCs w:val="32"/>
        </w:rPr>
      </w:pPr>
      <w:r>
        <w:rPr>
          <w:rFonts w:hint="eastAsia" w:ascii="仿宋_GB2312" w:hAnsi="仿宋_GB2312" w:eastAsia="仿宋_GB2312"/>
          <w:sz w:val="32"/>
          <w:szCs w:val="32"/>
        </w:rPr>
        <w:t>备注</w:t>
      </w:r>
      <w:r>
        <w:rPr>
          <w:rFonts w:ascii="仿宋_GB2312" w:hAnsi="仿宋_GB2312" w:eastAsia="仿宋_GB2312"/>
          <w:sz w:val="32"/>
          <w:szCs w:val="32"/>
        </w:rPr>
        <w:t>：</w:t>
      </w:r>
    </w:p>
    <w:p w14:paraId="76823329">
      <w:pPr>
        <w:numPr>
          <w:ilvl w:val="0"/>
          <w:numId w:val="2"/>
        </w:numPr>
        <w:spacing w:line="540" w:lineRule="exact"/>
        <w:jc w:val="left"/>
        <w:rPr>
          <w:rFonts w:ascii="仿宋_GB2312" w:hAnsi="仿宋_GB2312" w:eastAsia="仿宋_GB2312"/>
          <w:b/>
          <w:bCs/>
          <w:color w:val="FF0000"/>
          <w:sz w:val="32"/>
          <w:szCs w:val="32"/>
        </w:rPr>
      </w:pPr>
      <w:r>
        <w:rPr>
          <w:rFonts w:ascii="仿宋_GB2312" w:hAnsi="仿宋_GB2312" w:eastAsia="仿宋_GB2312"/>
          <w:b/>
          <w:bCs/>
          <w:color w:val="FF0000"/>
          <w:sz w:val="32"/>
          <w:szCs w:val="32"/>
        </w:rPr>
        <w:t>此表应密封单独提交，毋须装订投标文件中。</w:t>
      </w:r>
    </w:p>
    <w:p w14:paraId="277CACD7">
      <w:pPr>
        <w:pStyle w:val="37"/>
        <w:numPr>
          <w:ilvl w:val="0"/>
          <w:numId w:val="2"/>
        </w:numPr>
        <w:spacing w:line="540" w:lineRule="exact"/>
        <w:ind w:firstLineChars="0"/>
        <w:rPr>
          <w:rFonts w:ascii="仿宋_GB2312" w:hAnsi="仿宋_GB2312" w:eastAsia="仿宋_GB2312"/>
          <w:b/>
          <w:color w:val="FF0000"/>
          <w:sz w:val="32"/>
          <w:szCs w:val="32"/>
        </w:rPr>
      </w:pPr>
      <w:r>
        <w:rPr>
          <w:rFonts w:ascii="仿宋_GB2312" w:hAnsi="仿宋_GB2312" w:eastAsia="仿宋_GB2312"/>
          <w:b/>
          <w:color w:val="FF0000"/>
          <w:sz w:val="32"/>
          <w:szCs w:val="32"/>
        </w:rPr>
        <w:t>本项目为服务类项目，“</w:t>
      </w:r>
      <w:r>
        <w:rPr>
          <w:rFonts w:hint="eastAsia" w:ascii="仿宋_GB2312" w:hAnsi="仿宋_GB2312" w:eastAsia="仿宋_GB2312"/>
          <w:b/>
          <w:color w:val="FF0000"/>
          <w:sz w:val="32"/>
          <w:szCs w:val="32"/>
        </w:rPr>
        <w:t>服务期</w:t>
      </w:r>
      <w:r>
        <w:rPr>
          <w:rFonts w:ascii="仿宋_GB2312" w:hAnsi="仿宋_GB2312" w:eastAsia="仿宋_GB2312"/>
          <w:b/>
          <w:color w:val="FF0000"/>
          <w:sz w:val="32"/>
          <w:szCs w:val="32"/>
        </w:rPr>
        <w:t>”栏目所填写的内容必须满足招标文件服务期的要求。</w:t>
      </w:r>
      <w:r>
        <w:rPr>
          <w:rFonts w:hint="eastAsia" w:ascii="仿宋_GB2312" w:hAnsi="仿宋_GB2312" w:eastAsia="仿宋_GB2312"/>
          <w:b/>
          <w:color w:val="FF0000"/>
          <w:sz w:val="32"/>
          <w:szCs w:val="32"/>
        </w:rPr>
        <w:t>本项目服务期为自合同签订之日起自合同签订之日起至1年或12个月。</w:t>
      </w:r>
    </w:p>
    <w:p w14:paraId="0774C565">
      <w:pPr>
        <w:spacing w:line="400" w:lineRule="exact"/>
        <w:ind w:left="720"/>
        <w:rPr>
          <w:b/>
          <w:color w:val="FF0000"/>
        </w:rPr>
      </w:pPr>
    </w:p>
    <w:p w14:paraId="752BF10A">
      <w:pPr>
        <w:rPr>
          <w:color w:val="000000"/>
        </w:rPr>
      </w:pPr>
    </w:p>
    <w:sectPr>
      <w:pgSz w:w="11906" w:h="16838"/>
      <w:pgMar w:top="1440" w:right="1797" w:bottom="1440" w:left="1797"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chineseCounting"/>
      <w:suff w:val="nothing"/>
      <w:lvlText w:val="%1、"/>
      <w:lvlJc w:val="left"/>
      <w:rPr>
        <w:rFonts w:hint="eastAsia"/>
      </w:rPr>
    </w:lvl>
  </w:abstractNum>
  <w:abstractNum w:abstractNumId="1">
    <w:nsid w:val="0B754291"/>
    <w:multiLevelType w:val="multilevel"/>
    <w:tmpl w:val="0B754291"/>
    <w:lvl w:ilvl="0" w:tentative="0">
      <w:start w:val="1"/>
      <w:numFmt w:val="decimal"/>
      <w:lvlText w:val="%1、"/>
      <w:lvlJc w:val="left"/>
      <w:pPr>
        <w:ind w:left="720" w:hanging="720"/>
      </w:pPr>
      <w:rPr>
        <w:rFonts w:ascii="Times New Roman" w:hAnsi="Times New Roman"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E7A"/>
    <w:rsid w:val="000128D5"/>
    <w:rsid w:val="00097395"/>
    <w:rsid w:val="000D3859"/>
    <w:rsid w:val="00121239"/>
    <w:rsid w:val="0026093C"/>
    <w:rsid w:val="002739E5"/>
    <w:rsid w:val="002C1C86"/>
    <w:rsid w:val="003632B8"/>
    <w:rsid w:val="00384BB5"/>
    <w:rsid w:val="003E4C51"/>
    <w:rsid w:val="00430DEF"/>
    <w:rsid w:val="004771DE"/>
    <w:rsid w:val="0054636F"/>
    <w:rsid w:val="005D20B2"/>
    <w:rsid w:val="005D23E8"/>
    <w:rsid w:val="00620975"/>
    <w:rsid w:val="006C4E11"/>
    <w:rsid w:val="00A95283"/>
    <w:rsid w:val="00AC4E7A"/>
    <w:rsid w:val="00B27002"/>
    <w:rsid w:val="00BA508F"/>
    <w:rsid w:val="00C226A5"/>
    <w:rsid w:val="00D14D2D"/>
    <w:rsid w:val="00D45083"/>
    <w:rsid w:val="00E030F4"/>
    <w:rsid w:val="00F0461F"/>
    <w:rsid w:val="00F1125B"/>
    <w:rsid w:val="00F16775"/>
    <w:rsid w:val="00FB2AF6"/>
    <w:rsid w:val="00FD55CE"/>
    <w:rsid w:val="0A054A0C"/>
    <w:rsid w:val="0E991054"/>
    <w:rsid w:val="0ECF6325"/>
    <w:rsid w:val="153F3F03"/>
    <w:rsid w:val="1FCB7F96"/>
    <w:rsid w:val="2C6F364B"/>
    <w:rsid w:val="2EBA555C"/>
    <w:rsid w:val="35045A47"/>
    <w:rsid w:val="363E3FB3"/>
    <w:rsid w:val="36E0150E"/>
    <w:rsid w:val="3DFB6730"/>
    <w:rsid w:val="3FFF8E03"/>
    <w:rsid w:val="4687515C"/>
    <w:rsid w:val="47321912"/>
    <w:rsid w:val="48BA13BF"/>
    <w:rsid w:val="4EF27550"/>
    <w:rsid w:val="554E7655"/>
    <w:rsid w:val="56562B74"/>
    <w:rsid w:val="56BF2871"/>
    <w:rsid w:val="65307D32"/>
    <w:rsid w:val="668B64F1"/>
    <w:rsid w:val="6AEEBE55"/>
    <w:rsid w:val="72E235E2"/>
    <w:rsid w:val="73F3D0F9"/>
    <w:rsid w:val="766BCA4A"/>
    <w:rsid w:val="76B4F975"/>
    <w:rsid w:val="7BFD0D73"/>
    <w:rsid w:val="7C9FBFE3"/>
    <w:rsid w:val="7E40239F"/>
    <w:rsid w:val="7E7ABF78"/>
    <w:rsid w:val="7EF73484"/>
    <w:rsid w:val="7F9E0B9D"/>
    <w:rsid w:val="7FAE0CDE"/>
    <w:rsid w:val="7FBF9815"/>
    <w:rsid w:val="8B7E66F0"/>
    <w:rsid w:val="99D32202"/>
    <w:rsid w:val="9F667739"/>
    <w:rsid w:val="D7F86BDD"/>
    <w:rsid w:val="DF7FF14C"/>
    <w:rsid w:val="EDBB384C"/>
    <w:rsid w:val="F7F544CE"/>
    <w:rsid w:val="FFFB411C"/>
    <w:rsid w:val="FFFFB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6"/>
    <w:qFormat/>
    <w:uiPriority w:val="9"/>
    <w:pPr>
      <w:keepNext/>
      <w:keepLines/>
      <w:spacing w:before="340" w:after="330" w:line="578" w:lineRule="auto"/>
      <w:jc w:val="center"/>
      <w:outlineLvl w:val="0"/>
    </w:pPr>
    <w:rPr>
      <w:b/>
      <w:bCs/>
      <w:kern w:val="44"/>
      <w:sz w:val="40"/>
      <w:szCs w:val="44"/>
    </w:rPr>
  </w:style>
  <w:style w:type="paragraph" w:styleId="2">
    <w:name w:val="heading 2"/>
    <w:basedOn w:val="1"/>
    <w:next w:val="1"/>
    <w:link w:val="23"/>
    <w:unhideWhenUsed/>
    <w:qFormat/>
    <w:uiPriority w:val="9"/>
    <w:pPr>
      <w:spacing w:line="520" w:lineRule="exact"/>
      <w:jc w:val="left"/>
      <w:outlineLvl w:val="1"/>
    </w:pPr>
    <w:rPr>
      <w:rFonts w:eastAsia="仿宋_GB2312"/>
      <w:b/>
      <w:sz w:val="32"/>
    </w:rPr>
  </w:style>
  <w:style w:type="paragraph" w:styleId="4">
    <w:name w:val="heading 3"/>
    <w:basedOn w:val="1"/>
    <w:next w:val="1"/>
    <w:link w:val="24"/>
    <w:unhideWhenUsed/>
    <w:qFormat/>
    <w:uiPriority w:val="9"/>
    <w:pPr>
      <w:keepNext/>
      <w:keepLines/>
      <w:spacing w:before="50" w:beforeLines="50" w:after="50" w:afterLines="50" w:line="240" w:lineRule="auto"/>
      <w:ind w:firstLine="200" w:firstLineChars="200"/>
      <w:jc w:val="left"/>
      <w:outlineLvl w:val="2"/>
    </w:pPr>
    <w:rPr>
      <w:rFonts w:eastAsia="黑体"/>
      <w:bCs/>
      <w:sz w:val="32"/>
      <w:szCs w:val="32"/>
    </w:rPr>
  </w:style>
  <w:style w:type="paragraph" w:styleId="5">
    <w:name w:val="heading 4"/>
    <w:basedOn w:val="1"/>
    <w:next w:val="1"/>
    <w:link w:val="25"/>
    <w:semiHidden/>
    <w:unhideWhenUsed/>
    <w:qFormat/>
    <w:uiPriority w:val="9"/>
    <w:pPr>
      <w:keepNext/>
      <w:keepLines/>
      <w:spacing w:before="280" w:after="290" w:line="376" w:lineRule="auto"/>
      <w:outlineLvl w:val="3"/>
    </w:pPr>
    <w:rPr>
      <w:rFonts w:ascii="Cambria" w:hAnsi="Cambria" w:cs="宋体"/>
      <w:b/>
      <w:bCs/>
      <w:sz w:val="28"/>
      <w:szCs w:val="28"/>
    </w:rPr>
  </w:style>
  <w:style w:type="paragraph" w:styleId="6">
    <w:name w:val="heading 5"/>
    <w:basedOn w:val="1"/>
    <w:next w:val="1"/>
    <w:link w:val="40"/>
    <w:semiHidden/>
    <w:unhideWhenUsed/>
    <w:qFormat/>
    <w:uiPriority w:val="9"/>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30"/>
    <w:qFormat/>
    <w:uiPriority w:val="0"/>
    <w:pPr>
      <w:spacing w:line="240" w:lineRule="auto"/>
      <w:ind w:firstLine="420"/>
    </w:pPr>
    <w:rPr>
      <w:rFonts w:ascii="Calibri" w:hAnsi="Calibri" w:cs="宋体"/>
      <w:sz w:val="21"/>
      <w:szCs w:val="22"/>
    </w:rPr>
  </w:style>
  <w:style w:type="paragraph" w:styleId="8">
    <w:name w:val="annotation text"/>
    <w:basedOn w:val="1"/>
    <w:link w:val="27"/>
    <w:qFormat/>
    <w:uiPriority w:val="0"/>
    <w:pPr>
      <w:jc w:val="left"/>
    </w:pPr>
    <w:rPr>
      <w:rFonts w:ascii="Calibri" w:hAnsi="Calibri" w:cs="宋体"/>
    </w:rPr>
  </w:style>
  <w:style w:type="paragraph" w:styleId="9">
    <w:name w:val="Body Text"/>
    <w:basedOn w:val="1"/>
    <w:link w:val="35"/>
    <w:qFormat/>
    <w:uiPriority w:val="1"/>
    <w:pPr>
      <w:autoSpaceDE w:val="0"/>
      <w:autoSpaceDN w:val="0"/>
      <w:spacing w:line="240" w:lineRule="auto"/>
      <w:jc w:val="left"/>
    </w:pPr>
    <w:rPr>
      <w:rFonts w:ascii="宋体" w:hAnsi="宋体" w:cs="宋体"/>
      <w:kern w:val="0"/>
      <w:sz w:val="21"/>
      <w:szCs w:val="21"/>
      <w:lang w:val="zh-CN" w:bidi="zh-CN"/>
    </w:rPr>
  </w:style>
  <w:style w:type="paragraph" w:styleId="10">
    <w:name w:val="Body Text Indent"/>
    <w:basedOn w:val="1"/>
    <w:qFormat/>
    <w:uiPriority w:val="99"/>
    <w:pPr>
      <w:ind w:firstLine="900"/>
    </w:pPr>
    <w:rPr>
      <w:sz w:val="28"/>
      <w:szCs w:val="20"/>
    </w:rPr>
  </w:style>
  <w:style w:type="paragraph" w:styleId="11">
    <w:name w:val="Balloon Text"/>
    <w:basedOn w:val="1"/>
    <w:link w:val="33"/>
    <w:qFormat/>
    <w:uiPriority w:val="99"/>
    <w:pPr>
      <w:spacing w:line="240" w:lineRule="auto"/>
    </w:pPr>
    <w:rPr>
      <w:sz w:val="18"/>
      <w:szCs w:val="18"/>
    </w:rPr>
  </w:style>
  <w:style w:type="paragraph" w:styleId="12">
    <w:name w:val="footer"/>
    <w:basedOn w:val="1"/>
    <w:link w:val="32"/>
    <w:qFormat/>
    <w:uiPriority w:val="99"/>
    <w:pPr>
      <w:tabs>
        <w:tab w:val="center" w:pos="4153"/>
        <w:tab w:val="right" w:pos="8306"/>
      </w:tabs>
      <w:snapToGrid w:val="0"/>
      <w:spacing w:line="240" w:lineRule="auto"/>
      <w:jc w:val="left"/>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4">
    <w:name w:val="toc 1"/>
    <w:basedOn w:val="1"/>
    <w:next w:val="1"/>
    <w:qFormat/>
    <w:uiPriority w:val="39"/>
    <w:pPr>
      <w:tabs>
        <w:tab w:val="right" w:leader="dot" w:pos="8296"/>
      </w:tabs>
    </w:pPr>
  </w:style>
  <w:style w:type="paragraph" w:styleId="15">
    <w:name w:val="Normal (Web)"/>
    <w:basedOn w:val="1"/>
    <w:qFormat/>
    <w:uiPriority w:val="99"/>
    <w:pPr>
      <w:widowControl/>
      <w:spacing w:before="100" w:beforeAutospacing="1" w:after="100" w:afterAutospacing="1"/>
      <w:jc w:val="left"/>
    </w:pPr>
    <w:rPr>
      <w:rFonts w:ascii="宋体" w:hAnsi="宋体"/>
      <w:kern w:val="0"/>
    </w:rPr>
  </w:style>
  <w:style w:type="paragraph" w:styleId="16">
    <w:name w:val="annotation subject"/>
    <w:basedOn w:val="8"/>
    <w:next w:val="8"/>
    <w:link w:val="39"/>
    <w:qFormat/>
    <w:uiPriority w:val="99"/>
    <w:rPr>
      <w:rFonts w:ascii="Times New Roman" w:hAnsi="Times New Roman" w:cs="Times New Roman"/>
      <w:b/>
      <w:bCs/>
    </w:rPr>
  </w:style>
  <w:style w:type="paragraph" w:styleId="17">
    <w:name w:val="Body Text First Indent 2"/>
    <w:basedOn w:val="10"/>
    <w:qFormat/>
    <w:uiPriority w:val="99"/>
    <w:pPr>
      <w:spacing w:after="120"/>
      <w:ind w:left="420" w:leftChars="200" w:firstLine="420" w:firstLineChars="200"/>
    </w:pPr>
    <w:rPr>
      <w:rFonts w:ascii="Calibri" w:hAnsi="Calibri"/>
      <w:szCs w:val="21"/>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qFormat/>
    <w:uiPriority w:val="99"/>
    <w:rPr>
      <w:color w:val="0000FF"/>
      <w:u w:val="single"/>
    </w:rPr>
  </w:style>
  <w:style w:type="character" w:styleId="22">
    <w:name w:val="annotation reference"/>
    <w:qFormat/>
    <w:uiPriority w:val="0"/>
    <w:rPr>
      <w:sz w:val="21"/>
      <w:szCs w:val="21"/>
    </w:rPr>
  </w:style>
  <w:style w:type="character" w:customStyle="1" w:styleId="23">
    <w:name w:val="标题 2 Char"/>
    <w:basedOn w:val="20"/>
    <w:link w:val="2"/>
    <w:qFormat/>
    <w:uiPriority w:val="0"/>
    <w:rPr>
      <w:rFonts w:ascii="Times New Roman" w:hAnsi="Times New Roman" w:eastAsia="仿宋_GB2312" w:cs="Times New Roman"/>
      <w:b/>
      <w:sz w:val="32"/>
      <w:szCs w:val="24"/>
    </w:rPr>
  </w:style>
  <w:style w:type="character" w:customStyle="1" w:styleId="24">
    <w:name w:val="标题 3 Char"/>
    <w:basedOn w:val="20"/>
    <w:link w:val="4"/>
    <w:qFormat/>
    <w:uiPriority w:val="9"/>
    <w:rPr>
      <w:rFonts w:eastAsia="黑体"/>
      <w:bCs/>
      <w:kern w:val="2"/>
      <w:sz w:val="32"/>
      <w:szCs w:val="32"/>
    </w:rPr>
  </w:style>
  <w:style w:type="character" w:customStyle="1" w:styleId="25">
    <w:name w:val="标题 4 Char"/>
    <w:basedOn w:val="20"/>
    <w:link w:val="5"/>
    <w:qFormat/>
    <w:uiPriority w:val="9"/>
    <w:rPr>
      <w:rFonts w:ascii="Cambria" w:hAnsi="Cambria" w:eastAsia="宋体" w:cs="宋体"/>
      <w:b/>
      <w:bCs/>
      <w:sz w:val="28"/>
      <w:szCs w:val="28"/>
    </w:rPr>
  </w:style>
  <w:style w:type="character" w:customStyle="1" w:styleId="26">
    <w:name w:val="标题 1 Char"/>
    <w:basedOn w:val="20"/>
    <w:link w:val="3"/>
    <w:qFormat/>
    <w:uiPriority w:val="9"/>
    <w:rPr>
      <w:rFonts w:ascii="Times New Roman" w:hAnsi="Times New Roman" w:eastAsia="宋体" w:cs="Times New Roman"/>
      <w:b/>
      <w:bCs/>
      <w:kern w:val="44"/>
      <w:sz w:val="40"/>
      <w:szCs w:val="44"/>
    </w:rPr>
  </w:style>
  <w:style w:type="character" w:customStyle="1" w:styleId="27">
    <w:name w:val="批注文字 Char"/>
    <w:link w:val="8"/>
    <w:qFormat/>
    <w:uiPriority w:val="0"/>
    <w:rPr>
      <w:szCs w:val="24"/>
    </w:rPr>
  </w:style>
  <w:style w:type="character" w:customStyle="1" w:styleId="28">
    <w:name w:val="批注文字 Char1"/>
    <w:basedOn w:val="20"/>
    <w:qFormat/>
    <w:uiPriority w:val="99"/>
    <w:rPr>
      <w:rFonts w:ascii="Times New Roman" w:hAnsi="Times New Roman" w:eastAsia="宋体" w:cs="Times New Roman"/>
      <w:szCs w:val="24"/>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缩进 Char"/>
    <w:link w:val="7"/>
    <w:qFormat/>
    <w:uiPriority w:val="0"/>
  </w:style>
  <w:style w:type="character" w:customStyle="1" w:styleId="31">
    <w:name w:val="页眉 Char"/>
    <w:basedOn w:val="20"/>
    <w:link w:val="13"/>
    <w:qFormat/>
    <w:uiPriority w:val="99"/>
    <w:rPr>
      <w:rFonts w:ascii="Times New Roman" w:hAnsi="Times New Roman" w:eastAsia="宋体" w:cs="Times New Roman"/>
      <w:sz w:val="18"/>
      <w:szCs w:val="18"/>
    </w:rPr>
  </w:style>
  <w:style w:type="character" w:customStyle="1" w:styleId="32">
    <w:name w:val="页脚 Char"/>
    <w:basedOn w:val="20"/>
    <w:link w:val="12"/>
    <w:qFormat/>
    <w:uiPriority w:val="99"/>
    <w:rPr>
      <w:rFonts w:ascii="Times New Roman" w:hAnsi="Times New Roman" w:eastAsia="宋体" w:cs="Times New Roman"/>
      <w:sz w:val="18"/>
      <w:szCs w:val="18"/>
    </w:rPr>
  </w:style>
  <w:style w:type="character" w:customStyle="1" w:styleId="33">
    <w:name w:val="批注框文本 Char"/>
    <w:basedOn w:val="20"/>
    <w:link w:val="11"/>
    <w:qFormat/>
    <w:uiPriority w:val="99"/>
    <w:rPr>
      <w:rFonts w:ascii="Times New Roman" w:hAnsi="Times New Roman" w:eastAsia="宋体" w:cs="Times New Roman"/>
      <w:sz w:val="18"/>
      <w:szCs w:val="18"/>
    </w:rPr>
  </w:style>
  <w:style w:type="paragraph" w:customStyle="1" w:styleId="34">
    <w:name w:val="正文 A"/>
    <w:qFormat/>
    <w:uiPriority w:val="0"/>
    <w:pPr>
      <w:shd w:val="clear" w:color="auto" w:fill="FFFFFF"/>
      <w:tabs>
        <w:tab w:val="left" w:pos="426"/>
      </w:tabs>
      <w:spacing w:line="360" w:lineRule="auto"/>
      <w:jc w:val="both"/>
    </w:pPr>
    <w:rPr>
      <w:rFonts w:ascii="宋体" w:hAnsi="宋体" w:eastAsia="宋体" w:cs="宋体"/>
      <w:color w:val="000000"/>
      <w:sz w:val="21"/>
      <w:szCs w:val="21"/>
      <w:u w:color="000000"/>
      <w:lang w:val="en-US" w:eastAsia="zh-CN" w:bidi="ar-SA"/>
    </w:rPr>
  </w:style>
  <w:style w:type="character" w:customStyle="1" w:styleId="35">
    <w:name w:val="正文文本 Char"/>
    <w:basedOn w:val="20"/>
    <w:link w:val="9"/>
    <w:qFormat/>
    <w:uiPriority w:val="1"/>
    <w:rPr>
      <w:rFonts w:ascii="宋体" w:hAnsi="宋体" w:eastAsia="宋体" w:cs="宋体"/>
      <w:kern w:val="0"/>
      <w:szCs w:val="21"/>
      <w:lang w:val="zh-CN" w:bidi="zh-CN"/>
    </w:rPr>
  </w:style>
  <w:style w:type="paragraph" w:customStyle="1" w:styleId="36">
    <w:name w:val="Table Paragraph"/>
    <w:basedOn w:val="1"/>
    <w:qFormat/>
    <w:uiPriority w:val="1"/>
    <w:pPr>
      <w:autoSpaceDE w:val="0"/>
      <w:autoSpaceDN w:val="0"/>
      <w:spacing w:line="240" w:lineRule="auto"/>
      <w:jc w:val="left"/>
    </w:pPr>
    <w:rPr>
      <w:rFonts w:ascii="宋体" w:hAnsi="宋体" w:cs="宋体"/>
      <w:kern w:val="0"/>
      <w:sz w:val="22"/>
      <w:szCs w:val="22"/>
      <w:lang w:val="zh-CN" w:bidi="zh-CN"/>
    </w:rPr>
  </w:style>
  <w:style w:type="paragraph" w:styleId="37">
    <w:name w:val="List Paragraph"/>
    <w:basedOn w:val="1"/>
    <w:qFormat/>
    <w:uiPriority w:val="34"/>
    <w:pPr>
      <w:ind w:firstLine="420" w:firstLineChars="200"/>
    </w:pPr>
  </w:style>
  <w:style w:type="paragraph" w:customStyle="1" w:styleId="38">
    <w:name w:val="Char Char Char Char"/>
    <w:basedOn w:val="1"/>
    <w:qFormat/>
    <w:uiPriority w:val="0"/>
    <w:pPr>
      <w:widowControl/>
      <w:spacing w:after="160" w:line="240" w:lineRule="exact"/>
      <w:jc w:val="left"/>
    </w:pPr>
    <w:rPr>
      <w:rFonts w:ascii="Calibri" w:hAnsi="Calibri"/>
      <w:sz w:val="21"/>
    </w:rPr>
  </w:style>
  <w:style w:type="character" w:customStyle="1" w:styleId="39">
    <w:name w:val="批注主题 Char"/>
    <w:basedOn w:val="27"/>
    <w:link w:val="16"/>
    <w:qFormat/>
    <w:uiPriority w:val="99"/>
    <w:rPr>
      <w:rFonts w:ascii="Times New Roman" w:hAnsi="Times New Roman" w:eastAsia="宋体" w:cs="Times New Roman"/>
      <w:b/>
      <w:bCs/>
      <w:sz w:val="24"/>
      <w:szCs w:val="24"/>
    </w:rPr>
  </w:style>
  <w:style w:type="character" w:customStyle="1" w:styleId="40">
    <w:name w:val="标题 5 Char"/>
    <w:basedOn w:val="20"/>
    <w:link w:val="6"/>
    <w:qFormat/>
    <w:uiPriority w:val="9"/>
    <w:rPr>
      <w:rFonts w:ascii="Times New Roman" w:hAnsi="Times New Roman" w:eastAsia="宋体" w:cs="Times New Roman"/>
      <w:b/>
      <w:bCs/>
      <w:sz w:val="28"/>
      <w:szCs w:val="28"/>
    </w:rPr>
  </w:style>
  <w:style w:type="paragraph" w:customStyle="1" w:styleId="41">
    <w:name w:val="表格文字"/>
    <w:basedOn w:val="1"/>
    <w:next w:val="1"/>
    <w:qFormat/>
    <w:uiPriority w:val="0"/>
    <w:pPr>
      <w:spacing w:before="25" w:after="25" w:line="240" w:lineRule="auto"/>
      <w:jc w:val="left"/>
    </w:pPr>
    <w:rPr>
      <w:bCs/>
      <w:spacing w:val="10"/>
      <w:kern w:val="0"/>
      <w:szCs w:val="20"/>
    </w:rPr>
  </w:style>
  <w:style w:type="paragraph" w:customStyle="1" w:styleId="42">
    <w:name w:val="修订1"/>
    <w:qFormat/>
    <w:uiPriority w:val="99"/>
    <w:rPr>
      <w:rFonts w:ascii="Times New Roman" w:hAnsi="Times New Roman" w:eastAsia="宋体" w:cs="Times New Roman"/>
      <w:kern w:val="2"/>
      <w:sz w:val="24"/>
      <w:szCs w:val="24"/>
      <w:lang w:val="en-US" w:eastAsia="zh-CN" w:bidi="ar-SA"/>
    </w:rPr>
  </w:style>
  <w:style w:type="paragraph" w:customStyle="1" w:styleId="43">
    <w:name w:val="修订2"/>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6207</Words>
  <Characters>6393</Characters>
  <Lines>58</Lines>
  <Paragraphs>16</Paragraphs>
  <TotalTime>78</TotalTime>
  <ScaleCrop>false</ScaleCrop>
  <LinksUpToDate>false</LinksUpToDate>
  <CharactersWithSpaces>6470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2022-02-23T11:32:00Z</dcterms:created>
  <dc:creator>X</dc:creator>
  <cp:lastModifiedBy>微信用户</cp:lastModifiedBy>
  <cp:lastPrinted>2022-03-04T01:23:00Z</cp:lastPrinted>
  <dcterms:modified xsi:type="dcterms:W3CDTF">2025-04-21T03:47:59Z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9DEFA04A7CB541359D15FC6D265DE202</vt:lpwstr>
  </property>
  <property fmtid="{D5CDD505-2E9C-101B-9397-08002B2CF9AE}" pid="4" name="KSOTemplateDocerSaveRecord">
    <vt:lpwstr>eyJoZGlkIjoiY2VmNzRhMDEyNGJlNzM1MDdkYjM4YTMwNmRkMjI5MmMiLCJ1c2VySWQiOiIxMjQxNDYxNTA3In0=</vt:lpwstr>
  </property>
</Properties>
</file>