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采购文件</w:t>
      </w:r>
    </w:p>
    <w:p>
      <w:pPr>
        <w:spacing w:line="560" w:lineRule="exact"/>
        <w:jc w:val="center"/>
        <w:rPr>
          <w:rFonts w:hint="eastAsia" w:ascii="宋体" w:hAnsi="宋体" w:cs="宋体"/>
          <w:sz w:val="44"/>
          <w:szCs w:val="44"/>
        </w:rPr>
      </w:pPr>
    </w:p>
    <w:p>
      <w:pPr>
        <w:spacing w:line="560" w:lineRule="exact"/>
        <w:ind w:left="2878" w:leftChars="304" w:hanging="2240" w:hangingChars="700"/>
        <w:outlineLvl w:val="0"/>
        <w:rPr>
          <w:rFonts w:hint="eastAsia" w:ascii="CESI仿宋-GB2312" w:hAnsi="CESI仿宋-GB2312" w:eastAsia="CESI仿宋-GB2312" w:cs="CESI仿宋-GB2312"/>
          <w:b/>
          <w:bCs/>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rPr>
        <w:t>编制南头街道社会综合治理和经济发展“十五五”规划服务采购</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二、预算金额：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199000</w:t>
      </w:r>
      <w:r>
        <w:rPr>
          <w:rFonts w:hint="eastAsia" w:ascii="仿宋_GB2312" w:hAnsi="仿宋_GB2312" w:eastAsia="仿宋_GB2312" w:cs="仿宋_GB2312"/>
          <w:sz w:val="32"/>
          <w:szCs w:val="32"/>
        </w:rPr>
        <w:t>元</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三、定标方式：</w:t>
      </w:r>
      <w:r>
        <w:rPr>
          <w:rFonts w:hint="eastAsia" w:ascii="仿宋_GB2312" w:hAnsi="仿宋_GB2312" w:eastAsia="仿宋_GB2312" w:cs="仿宋_GB2312"/>
          <w:sz w:val="32"/>
          <w:szCs w:val="32"/>
        </w:rPr>
        <w:t>综合评分法</w:t>
      </w:r>
    </w:p>
    <w:p>
      <w:pPr>
        <w:spacing w:line="560" w:lineRule="exact"/>
        <w:ind w:firstLine="640" w:firstLineChars="200"/>
        <w:outlineLvl w:val="0"/>
        <w:rPr>
          <w:rFonts w:hint="eastAsia" w:ascii="宋体" w:hAnsi="宋体"/>
          <w:color w:val="000000"/>
          <w:sz w:val="30"/>
          <w:szCs w:val="22"/>
        </w:rPr>
      </w:pPr>
      <w:r>
        <w:rPr>
          <w:rFonts w:hint="eastAsia" w:ascii="黑体" w:hAnsi="黑体" w:eastAsia="黑体" w:cs="黑体"/>
          <w:sz w:val="32"/>
          <w:szCs w:val="32"/>
        </w:rPr>
        <w:t>四、需求内容：</w:t>
      </w:r>
      <w:r>
        <w:rPr>
          <w:rFonts w:hint="eastAsia" w:ascii="仿宋_GB2312" w:hAnsi="仿宋_GB2312" w:eastAsia="仿宋_GB2312" w:cs="仿宋_GB2312"/>
          <w:sz w:val="32"/>
          <w:szCs w:val="32"/>
        </w:rPr>
        <w:t>编制南头街道社会综合治理和经济发展“十五五”规划，按照工作进度于2024年11月底前完成规划基本思路，2025年6月底前提交规划初稿，2025年10月底完成规划编制并报批。</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五、支付方式：</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期：在签订合同后，成交供应商与采购单位在合同上约定具体支付时间，并提供合法有效的税务发票和采购单位规定的相关报账材料至采购单位，采购单位在15个工作日内以银行转账方式支付合同总金额的50%；</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期：项目完成并验收合格，成交供应商提供合法有效的税务发票和相关报账材料至采购单位，采购单位在15个工作日内以银行转账方式支付剩余50%的合同尾款。如遇特殊情况，可双方进行协商解决或者相应进行延顺。</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六、报价要求</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服务费采用包干制，应包括服务成本、法定税费和企业的利润。由成交供应商根据采购文件所提供的资料自行测算投标报价；一经中标，报价总价作为成交供应商与采购单位签定的合同金额，合同期限内不做调整。</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2．投标供应商应当根据本企业的成本自行决定报价，但不得以低于其企业成本的报价投标。</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3．投标供应商的报价不得超过项目预算金额。</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outlineLvl w:val="1"/>
        <w:rPr>
          <w:rFonts w:hint="eastAsia"/>
        </w:rPr>
      </w:pPr>
      <w:r>
        <w:rPr>
          <w:rFonts w:hint="eastAsia" w:ascii="仿宋_GB2312" w:hAnsi="仿宋_GB2312" w:eastAsia="仿宋_GB2312" w:cs="仿宋_GB2312"/>
          <w:sz w:val="32"/>
          <w:szCs w:val="32"/>
        </w:rPr>
        <w:t>5．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七、其他说明</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1.供应商应严格按照采购文件及附件的格式要求编制《应答文件》。</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2.《应答文件》一正一副，封于同一密封袋（加盖供应商公章），现场一并提交。</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3.《应答文件》的每页均加盖供应商的公章，否则该页无效。</w:t>
      </w:r>
    </w:p>
    <w:p>
      <w:pPr>
        <w:spacing w:line="560" w:lineRule="exact"/>
        <w:ind w:firstLine="640" w:firstLineChars="200"/>
        <w:rPr>
          <w:rFonts w:ascii="宋体" w:hAnsi="宋体" w:cs="宋体"/>
          <w:sz w:val="44"/>
          <w:szCs w:val="44"/>
        </w:rPr>
      </w:pPr>
      <w:r>
        <w:rPr>
          <w:rFonts w:hint="eastAsia" w:ascii="黑体" w:hAnsi="黑体" w:eastAsia="黑体" w:cs="黑体"/>
          <w:sz w:val="32"/>
          <w:szCs w:val="32"/>
        </w:rPr>
        <w:t>八、评审因素</w:t>
      </w:r>
    </w:p>
    <w:tbl>
      <w:tblPr>
        <w:tblStyle w:val="5"/>
        <w:tblW w:w="7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793"/>
        <w:gridCol w:w="680"/>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84" w:type="dxa"/>
            <w:noWrap w:val="0"/>
            <w:vAlign w:val="center"/>
          </w:tcPr>
          <w:p>
            <w:pPr>
              <w:spacing w:line="560" w:lineRule="exact"/>
              <w:jc w:val="center"/>
              <w:rPr>
                <w:rFonts w:ascii="宋体" w:hAnsi="宋体"/>
                <w:b/>
                <w:szCs w:val="21"/>
              </w:rPr>
            </w:pPr>
            <w:r>
              <w:rPr>
                <w:rFonts w:hint="eastAsia" w:ascii="宋体" w:hAnsi="宋体"/>
                <w:b/>
                <w:szCs w:val="21"/>
              </w:rPr>
              <w:t>序号</w:t>
            </w:r>
          </w:p>
        </w:tc>
        <w:tc>
          <w:tcPr>
            <w:tcW w:w="1793" w:type="dxa"/>
            <w:noWrap w:val="0"/>
            <w:vAlign w:val="center"/>
          </w:tcPr>
          <w:p>
            <w:pPr>
              <w:spacing w:line="560" w:lineRule="exact"/>
              <w:jc w:val="center"/>
              <w:rPr>
                <w:rFonts w:ascii="宋体" w:hAnsi="宋体"/>
                <w:b/>
                <w:szCs w:val="21"/>
              </w:rPr>
            </w:pPr>
            <w:r>
              <w:rPr>
                <w:rFonts w:hint="eastAsia" w:ascii="宋体" w:hAnsi="宋体"/>
                <w:b/>
                <w:szCs w:val="21"/>
              </w:rPr>
              <w:t>评分项</w:t>
            </w:r>
          </w:p>
        </w:tc>
        <w:tc>
          <w:tcPr>
            <w:tcW w:w="680" w:type="dxa"/>
            <w:noWrap w:val="0"/>
            <w:vAlign w:val="center"/>
          </w:tcPr>
          <w:p>
            <w:pPr>
              <w:spacing w:line="560" w:lineRule="exact"/>
              <w:jc w:val="center"/>
              <w:rPr>
                <w:rFonts w:hint="eastAsia" w:ascii="宋体" w:hAnsi="宋体"/>
                <w:b/>
                <w:szCs w:val="21"/>
              </w:rPr>
            </w:pPr>
            <w:r>
              <w:rPr>
                <w:rFonts w:hint="eastAsia" w:ascii="宋体" w:hAnsi="宋体"/>
                <w:b/>
                <w:szCs w:val="21"/>
              </w:rPr>
              <w:t>分值</w:t>
            </w:r>
          </w:p>
        </w:tc>
        <w:tc>
          <w:tcPr>
            <w:tcW w:w="4494" w:type="dxa"/>
            <w:noWrap w:val="0"/>
            <w:vAlign w:val="center"/>
          </w:tcPr>
          <w:p>
            <w:pPr>
              <w:spacing w:line="560" w:lineRule="exact"/>
              <w:jc w:val="center"/>
              <w:rPr>
                <w:rFonts w:ascii="宋体" w:hAnsi="宋体"/>
                <w:b/>
                <w:szCs w:val="21"/>
              </w:rPr>
            </w:pPr>
            <w:r>
              <w:rPr>
                <w:rFonts w:hint="eastAsia" w:ascii="宋体" w:hAnsi="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84" w:type="dxa"/>
            <w:noWrap w:val="0"/>
            <w:vAlign w:val="center"/>
          </w:tcPr>
          <w:p>
            <w:pPr>
              <w:spacing w:line="560" w:lineRule="exact"/>
              <w:jc w:val="center"/>
              <w:rPr>
                <w:rFonts w:ascii="宋体" w:hAnsi="宋体"/>
                <w:szCs w:val="21"/>
              </w:rPr>
            </w:pPr>
            <w:r>
              <w:rPr>
                <w:rFonts w:hint="eastAsia" w:ascii="宋体" w:hAnsi="宋体"/>
                <w:szCs w:val="21"/>
              </w:rPr>
              <w:t>1</w:t>
            </w:r>
          </w:p>
        </w:tc>
        <w:tc>
          <w:tcPr>
            <w:tcW w:w="1793" w:type="dxa"/>
            <w:noWrap w:val="0"/>
            <w:vAlign w:val="center"/>
          </w:tcPr>
          <w:p>
            <w:pPr>
              <w:autoSpaceDE w:val="0"/>
              <w:autoSpaceDN w:val="0"/>
              <w:adjustRightInd w:val="0"/>
              <w:spacing w:line="560" w:lineRule="exact"/>
              <w:jc w:val="center"/>
              <w:rPr>
                <w:rFonts w:hint="eastAsia" w:ascii="宋体" w:hAnsi="宋体" w:cs="T3Font_15"/>
                <w:kern w:val="0"/>
                <w:szCs w:val="21"/>
              </w:rPr>
            </w:pPr>
            <w:r>
              <w:rPr>
                <w:rFonts w:hint="eastAsia" w:ascii="宋体" w:hAnsi="宋体" w:cs="T3Font_15"/>
                <w:kern w:val="0"/>
                <w:szCs w:val="21"/>
              </w:rPr>
              <w:t>价格分</w:t>
            </w:r>
          </w:p>
        </w:tc>
        <w:tc>
          <w:tcPr>
            <w:tcW w:w="680" w:type="dxa"/>
            <w:noWrap w:val="0"/>
            <w:vAlign w:val="center"/>
          </w:tcPr>
          <w:p>
            <w:pPr>
              <w:spacing w:line="560" w:lineRule="exact"/>
              <w:jc w:val="center"/>
              <w:rPr>
                <w:rFonts w:ascii="宋体" w:hAnsi="宋体" w:cs="宋体"/>
                <w:szCs w:val="21"/>
              </w:rPr>
            </w:pPr>
            <w:r>
              <w:rPr>
                <w:rFonts w:ascii="宋体" w:hAnsi="宋体" w:cs="宋体"/>
                <w:szCs w:val="21"/>
              </w:rPr>
              <w:t>20</w:t>
            </w:r>
          </w:p>
        </w:tc>
        <w:tc>
          <w:tcPr>
            <w:tcW w:w="4494" w:type="dxa"/>
            <w:noWrap w:val="0"/>
            <w:vAlign w:val="center"/>
          </w:tcPr>
          <w:p>
            <w:pPr>
              <w:wordWrap w:val="0"/>
              <w:spacing w:line="560" w:lineRule="exact"/>
            </w:pPr>
            <w:r>
              <w:t>满足</w:t>
            </w:r>
            <w:r>
              <w:rPr>
                <w:rFonts w:hint="eastAsia"/>
              </w:rPr>
              <w:t>采购文件</w:t>
            </w:r>
            <w:r>
              <w:t>要求且</w:t>
            </w:r>
            <w:r>
              <w:rPr>
                <w:rFonts w:hint="eastAsia"/>
              </w:rPr>
              <w:t>报价</w:t>
            </w:r>
            <w:r>
              <w:t>最低的</w:t>
            </w:r>
            <w:r>
              <w:rPr>
                <w:rFonts w:hint="eastAsia"/>
              </w:rPr>
              <w:t>价格</w:t>
            </w:r>
            <w:r>
              <w:t>为基准价，其价格分为满分。其他</w:t>
            </w:r>
            <w:r>
              <w:rPr>
                <w:rFonts w:hint="eastAsia"/>
              </w:rPr>
              <w:t>供应商</w:t>
            </w:r>
            <w:r>
              <w:t xml:space="preserve">的价格分统一按照下列公式计算： </w:t>
            </w:r>
            <w:r>
              <w:br w:type="textWrapping"/>
            </w:r>
            <w:r>
              <w:t>报价得分=</w:t>
            </w:r>
            <w:r>
              <w:rPr>
                <w:rFonts w:hint="eastAsia"/>
              </w:rPr>
              <w:t>（</w:t>
            </w:r>
            <w:r>
              <w:t>基准价／</w:t>
            </w:r>
            <w:r>
              <w:rPr>
                <w:rFonts w:hint="eastAsia"/>
              </w:rPr>
              <w:t>供应商</w:t>
            </w:r>
            <w:r>
              <w:t>报价</w:t>
            </w:r>
            <w:r>
              <w:rPr>
                <w:rFonts w:hint="eastAsia"/>
              </w:rPr>
              <w:t>）</w:t>
            </w:r>
            <w:r>
              <w:t>×</w:t>
            </w:r>
            <w:r>
              <w:rPr>
                <w:rFonts w:hint="eastAsia"/>
              </w:rPr>
              <w:t>价格分分值</w:t>
            </w:r>
          </w:p>
          <w:p>
            <w:pPr>
              <w:pStyle w:val="2"/>
              <w:spacing w:after="0" w:line="560" w:lineRule="exact"/>
            </w:pPr>
            <w:r>
              <w:rPr>
                <w:rFonts w:hint="eastAsia" w:ascii="宋体" w:hAnsi="宋体"/>
                <w:b/>
                <w:bCs/>
                <w:szCs w:val="21"/>
              </w:rPr>
              <w:t>评审材料：</w:t>
            </w:r>
            <w:r>
              <w:rPr>
                <w:rFonts w:hint="eastAsia" w:ascii="宋体" w:hAnsi="宋体"/>
                <w:szCs w:val="21"/>
              </w:rPr>
              <w:t>《应答文件》</w:t>
            </w:r>
            <w:r>
              <w:rPr>
                <w:rFonts w:hint="eastAsia" w:ascii="宋体" w:hAnsi="宋体"/>
                <w:b/>
                <w:bCs/>
                <w:szCs w:val="21"/>
              </w:rPr>
              <w:t>-</w:t>
            </w:r>
            <w:r>
              <w:rPr>
                <w:rFonts w:hint="eastAsia" w:ascii="宋体" w:hAnsi="宋体"/>
                <w:szCs w:val="21"/>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4" w:type="dxa"/>
            <w:noWrap w:val="0"/>
            <w:vAlign w:val="center"/>
          </w:tcPr>
          <w:p>
            <w:pPr>
              <w:spacing w:line="560" w:lineRule="exact"/>
              <w:jc w:val="center"/>
              <w:rPr>
                <w:rFonts w:ascii="宋体" w:hAnsi="宋体"/>
                <w:szCs w:val="21"/>
              </w:rPr>
            </w:pPr>
            <w:r>
              <w:rPr>
                <w:rFonts w:hint="eastAsia" w:ascii="宋体" w:hAnsi="宋体"/>
                <w:szCs w:val="21"/>
              </w:rPr>
              <w:t>2</w:t>
            </w:r>
          </w:p>
        </w:tc>
        <w:tc>
          <w:tcPr>
            <w:tcW w:w="1793" w:type="dxa"/>
            <w:noWrap w:val="0"/>
            <w:vAlign w:val="center"/>
          </w:tcPr>
          <w:p>
            <w:pPr>
              <w:spacing w:line="560" w:lineRule="exact"/>
              <w:jc w:val="center"/>
              <w:rPr>
                <w:rFonts w:ascii="宋体" w:hAnsi="宋体" w:cs="T3Font_15"/>
                <w:kern w:val="0"/>
                <w:szCs w:val="21"/>
              </w:rPr>
            </w:pPr>
            <w:r>
              <w:rPr>
                <w:rFonts w:hint="eastAsia" w:ascii="宋体" w:hAnsi="宋体" w:cs="T3Font_15"/>
                <w:kern w:val="0"/>
                <w:szCs w:val="21"/>
              </w:rPr>
              <w:t>业绩经验</w:t>
            </w:r>
          </w:p>
        </w:tc>
        <w:tc>
          <w:tcPr>
            <w:tcW w:w="680" w:type="dxa"/>
            <w:noWrap w:val="0"/>
            <w:vAlign w:val="center"/>
          </w:tcPr>
          <w:p>
            <w:pPr>
              <w:spacing w:line="560" w:lineRule="exact"/>
              <w:jc w:val="center"/>
              <w:rPr>
                <w:rFonts w:hint="eastAsia" w:ascii="宋体" w:hAnsi="宋体" w:cs="宋体"/>
                <w:szCs w:val="21"/>
              </w:rPr>
            </w:pPr>
            <w:r>
              <w:rPr>
                <w:rFonts w:hint="eastAsia" w:ascii="宋体" w:hAnsi="宋体" w:cs="宋体"/>
                <w:szCs w:val="21"/>
              </w:rPr>
              <w:t>30</w:t>
            </w:r>
          </w:p>
        </w:tc>
        <w:tc>
          <w:tcPr>
            <w:tcW w:w="4494" w:type="dxa"/>
            <w:noWrap w:val="0"/>
            <w:vAlign w:val="center"/>
          </w:tcPr>
          <w:p>
            <w:pPr>
              <w:spacing w:line="560" w:lineRule="exact"/>
              <w:rPr>
                <w:rFonts w:hint="eastAsia"/>
              </w:rPr>
            </w:pPr>
            <w:r>
              <w:rPr>
                <w:rFonts w:hint="eastAsia"/>
              </w:rPr>
              <w:t>2021 年8月至今（以合同签订时间为准），供应商承接过行政事业单位</w:t>
            </w:r>
            <w:r>
              <w:rPr>
                <w:rFonts w:hint="eastAsia"/>
                <w:u w:val="single"/>
              </w:rPr>
              <w:t>社会治理、经济发展领域规划编制或智库咨询</w:t>
            </w:r>
            <w:r>
              <w:rPr>
                <w:rStyle w:val="7"/>
                <w:rFonts w:hint="eastAsia"/>
              </w:rPr>
              <w:t>类</w:t>
            </w:r>
            <w:r>
              <w:rPr>
                <w:rFonts w:hint="eastAsia"/>
              </w:rPr>
              <w:t>服务的，每提供1份业绩合同关键信息（含签订双方的单位名称、合同项目名称与签订合同双方的落款盖章、签订日期的关键页）复印件得</w:t>
            </w:r>
            <w:r>
              <w:t>3</w:t>
            </w:r>
            <w:r>
              <w:rPr>
                <w:rFonts w:hint="eastAsia"/>
              </w:rPr>
              <w:t>分</w:t>
            </w:r>
            <w:r>
              <w:rPr>
                <w:rFonts w:hint="eastAsia"/>
                <w:highlight w:val="none"/>
              </w:rPr>
              <w:t>，</w:t>
            </w:r>
            <w:r>
              <w:rPr>
                <w:rFonts w:hint="eastAsia"/>
              </w:rPr>
              <w:t>此项累计得分，最高得30分。</w:t>
            </w:r>
          </w:p>
          <w:p>
            <w:pPr>
              <w:pStyle w:val="3"/>
              <w:spacing w:line="560" w:lineRule="exact"/>
            </w:pPr>
            <w:r>
              <w:rPr>
                <w:rFonts w:hint="eastAsia"/>
                <w:b/>
                <w:bCs/>
                <w:szCs w:val="21"/>
              </w:rPr>
              <w:t>不按要求提供或提供不清晰导致专家无法判断的不得分，原件备查。</w:t>
            </w:r>
          </w:p>
          <w:p>
            <w:pPr>
              <w:wordWrap w:val="0"/>
              <w:spacing w:line="560" w:lineRule="exact"/>
            </w:pPr>
            <w:r>
              <w:rPr>
                <w:rFonts w:hint="eastAsia"/>
              </w:rPr>
              <w:t>评审材料：《应答文件》</w:t>
            </w:r>
            <w:r>
              <w:rPr>
                <w:rFonts w:hint="eastAsia" w:ascii="宋体" w:hAnsi="宋体"/>
                <w:b/>
                <w:bCs/>
                <w:szCs w:val="21"/>
              </w:rPr>
              <w:t>-</w:t>
            </w:r>
            <w:r>
              <w:rPr>
                <w:rFonts w:hint="eastAsia"/>
              </w:rPr>
              <w:t>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4" w:type="dxa"/>
            <w:noWrap w:val="0"/>
            <w:vAlign w:val="center"/>
          </w:tcPr>
          <w:p>
            <w:pPr>
              <w:spacing w:line="560" w:lineRule="exact"/>
              <w:jc w:val="center"/>
              <w:rPr>
                <w:rFonts w:hint="eastAsia" w:ascii="宋体" w:hAnsi="宋体"/>
                <w:szCs w:val="21"/>
              </w:rPr>
            </w:pPr>
            <w:r>
              <w:rPr>
                <w:rFonts w:hint="eastAsia" w:ascii="宋体" w:hAnsi="宋体"/>
                <w:szCs w:val="21"/>
              </w:rPr>
              <w:t>3</w:t>
            </w:r>
          </w:p>
        </w:tc>
        <w:tc>
          <w:tcPr>
            <w:tcW w:w="1793" w:type="dxa"/>
            <w:noWrap w:val="0"/>
            <w:vAlign w:val="center"/>
          </w:tcPr>
          <w:p>
            <w:pPr>
              <w:spacing w:line="560" w:lineRule="exact"/>
              <w:jc w:val="center"/>
              <w:rPr>
                <w:rFonts w:hint="eastAsia" w:ascii="宋体" w:hAnsi="宋体" w:cs="T3Font_15"/>
                <w:kern w:val="0"/>
                <w:szCs w:val="21"/>
              </w:rPr>
            </w:pPr>
            <w:r>
              <w:rPr>
                <w:rFonts w:hint="eastAsia" w:ascii="宋体" w:hAnsi="宋体" w:cs="T3Font_15"/>
                <w:kern w:val="0"/>
                <w:szCs w:val="21"/>
              </w:rPr>
              <w:t>团队评价</w:t>
            </w:r>
          </w:p>
        </w:tc>
        <w:tc>
          <w:tcPr>
            <w:tcW w:w="680" w:type="dxa"/>
            <w:noWrap w:val="0"/>
            <w:vAlign w:val="center"/>
          </w:tcPr>
          <w:p>
            <w:pPr>
              <w:spacing w:line="560" w:lineRule="exact"/>
              <w:jc w:val="center"/>
              <w:rPr>
                <w:rFonts w:hint="eastAsia" w:ascii="宋体" w:hAnsi="宋体" w:cs="宋体"/>
                <w:szCs w:val="21"/>
              </w:rPr>
            </w:pPr>
            <w:r>
              <w:rPr>
                <w:rFonts w:hint="eastAsia" w:ascii="宋体" w:hAnsi="宋体" w:cs="宋体"/>
                <w:szCs w:val="21"/>
              </w:rPr>
              <w:t>10</w:t>
            </w:r>
          </w:p>
        </w:tc>
        <w:tc>
          <w:tcPr>
            <w:tcW w:w="4494" w:type="dxa"/>
            <w:noWrap w:val="0"/>
            <w:vAlign w:val="center"/>
          </w:tcPr>
          <w:p>
            <w:pPr>
              <w:pStyle w:val="2"/>
              <w:spacing w:after="0" w:line="360" w:lineRule="auto"/>
            </w:pPr>
            <w:r>
              <w:rPr>
                <w:rFonts w:hint="eastAsia"/>
              </w:rPr>
              <w:t xml:space="preserve">项目团队成员每具有一个中级职称的，每人得 </w:t>
            </w:r>
            <w:r>
              <w:t>2</w:t>
            </w:r>
            <w:r>
              <w:rPr>
                <w:rFonts w:hint="eastAsia"/>
              </w:rPr>
              <w:t>分；每具有一个副高级及以上职称的，每人得</w:t>
            </w:r>
            <w:r>
              <w:t>3</w:t>
            </w:r>
            <w:r>
              <w:rPr>
                <w:rFonts w:hint="eastAsia"/>
              </w:rPr>
              <w:t>分。同时具备中级与副高级以上职称的，按高计分。此项累计得分，最高得</w:t>
            </w:r>
            <w:r>
              <w:t>10</w:t>
            </w:r>
            <w:r>
              <w:rPr>
                <w:rFonts w:hint="eastAsia"/>
              </w:rPr>
              <w:t>分。</w:t>
            </w:r>
          </w:p>
          <w:p>
            <w:pPr>
              <w:pStyle w:val="2"/>
              <w:spacing w:after="0" w:line="360" w:lineRule="auto"/>
              <w:rPr>
                <w:rFonts w:hint="eastAsia"/>
              </w:rPr>
            </w:pPr>
            <w:r>
              <w:rPr>
                <w:rFonts w:hint="eastAsia"/>
              </w:rPr>
              <w:t>（须提供项目团队成员</w:t>
            </w:r>
            <w:r>
              <w:rPr>
                <w:rFonts w:hint="eastAsia" w:ascii="宋体" w:hAnsi="宋体" w:cs="宋体"/>
                <w:szCs w:val="21"/>
              </w:rPr>
              <w:t>投标截止时间前3个月中任意一个月的社保证明，以及</w:t>
            </w:r>
            <w:r>
              <w:rPr>
                <w:rFonts w:hint="eastAsia"/>
              </w:rPr>
              <w:t>相关证明材料扫描件，否则不得分）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4" w:type="dxa"/>
            <w:noWrap w:val="0"/>
            <w:vAlign w:val="center"/>
          </w:tcPr>
          <w:p>
            <w:pPr>
              <w:spacing w:line="560" w:lineRule="exact"/>
              <w:jc w:val="center"/>
              <w:rPr>
                <w:rFonts w:hint="eastAsia" w:ascii="宋体" w:hAnsi="宋体"/>
                <w:szCs w:val="21"/>
              </w:rPr>
            </w:pPr>
            <w:r>
              <w:rPr>
                <w:rFonts w:ascii="宋体" w:hAnsi="宋体"/>
                <w:szCs w:val="21"/>
              </w:rPr>
              <w:t>4</w:t>
            </w:r>
          </w:p>
        </w:tc>
        <w:tc>
          <w:tcPr>
            <w:tcW w:w="1793" w:type="dxa"/>
            <w:noWrap w:val="0"/>
            <w:vAlign w:val="center"/>
          </w:tcPr>
          <w:p>
            <w:pPr>
              <w:spacing w:line="560" w:lineRule="exact"/>
              <w:jc w:val="center"/>
              <w:rPr>
                <w:rFonts w:hint="eastAsia" w:ascii="宋体" w:hAnsi="宋体" w:cs="T3Font_15"/>
                <w:kern w:val="0"/>
                <w:szCs w:val="21"/>
              </w:rPr>
            </w:pPr>
            <w:r>
              <w:rPr>
                <w:rFonts w:hint="eastAsia" w:ascii="宋体" w:hAnsi="宋体" w:cs="T3Font_15"/>
                <w:kern w:val="0"/>
                <w:szCs w:val="21"/>
              </w:rPr>
              <w:t>实施方案</w:t>
            </w:r>
          </w:p>
        </w:tc>
        <w:tc>
          <w:tcPr>
            <w:tcW w:w="680" w:type="dxa"/>
            <w:noWrap w:val="0"/>
            <w:vAlign w:val="center"/>
          </w:tcPr>
          <w:p>
            <w:pPr>
              <w:spacing w:line="560" w:lineRule="exact"/>
              <w:jc w:val="center"/>
              <w:rPr>
                <w:rFonts w:hint="eastAsia" w:ascii="宋体" w:hAnsi="宋体" w:cs="宋体"/>
                <w:szCs w:val="21"/>
              </w:rPr>
            </w:pPr>
            <w:r>
              <w:rPr>
                <w:rFonts w:ascii="宋体" w:hAnsi="宋体" w:cs="宋体"/>
                <w:szCs w:val="21"/>
              </w:rPr>
              <w:t>40</w:t>
            </w:r>
          </w:p>
        </w:tc>
        <w:tc>
          <w:tcPr>
            <w:tcW w:w="4494" w:type="dxa"/>
            <w:noWrap w:val="0"/>
            <w:vAlign w:val="center"/>
          </w:tcPr>
          <w:p>
            <w:pPr>
              <w:autoSpaceDE w:val="0"/>
              <w:autoSpaceDN w:val="0"/>
              <w:adjustRightInd w:val="0"/>
              <w:spacing w:line="360" w:lineRule="auto"/>
              <w:rPr>
                <w:rFonts w:hint="eastAsia"/>
              </w:rPr>
            </w:pPr>
            <w:r>
              <w:rPr>
                <w:rFonts w:hint="eastAsia"/>
              </w:rPr>
              <w:t>要求供应商能够充分理解项目背景和目标，对需求提出具体的方案，综合评价供应商关于本项目的实施方案、服务质量保证措施，在0-</w:t>
            </w:r>
            <w:r>
              <w:t>4</w:t>
            </w:r>
            <w:r>
              <w:rPr>
                <w:rFonts w:hint="eastAsia"/>
              </w:rPr>
              <w:t>0分区间评分，未提供方案的，得0分。</w:t>
            </w:r>
          </w:p>
          <w:p>
            <w:pPr>
              <w:spacing w:line="360" w:lineRule="auto"/>
            </w:pPr>
            <w:r>
              <w:rPr>
                <w:rFonts w:hint="eastAsia"/>
              </w:rPr>
              <w:t>评分标准：</w:t>
            </w:r>
          </w:p>
          <w:p>
            <w:pPr>
              <w:spacing w:line="360" w:lineRule="auto"/>
            </w:pPr>
            <w:r>
              <w:rPr>
                <w:rFonts w:hint="eastAsia"/>
              </w:rPr>
              <w:t>1：项目背景与目标</w:t>
            </w:r>
            <w:r>
              <w:t>内容描述合理，全面详实，有针对性、合理性的得 7</w:t>
            </w:r>
            <w:r>
              <w:rPr>
                <w:rFonts w:hint="eastAsia"/>
              </w:rPr>
              <w:t>-</w:t>
            </w:r>
            <w:r>
              <w:t>10 分；</w:t>
            </w:r>
            <w:r>
              <w:rPr>
                <w:rFonts w:hint="eastAsia"/>
              </w:rPr>
              <w:t>项目背景与目标</w:t>
            </w:r>
            <w:r>
              <w:t>内容描述简单，基本合理的得 4-7</w:t>
            </w:r>
            <w:r>
              <w:rPr>
                <w:rFonts w:hint="eastAsia"/>
              </w:rPr>
              <w:t>-</w:t>
            </w:r>
            <w:r>
              <w:t>（含）分；未提供相关</w:t>
            </w:r>
            <w:r>
              <w:rPr>
                <w:rFonts w:hint="eastAsia"/>
              </w:rPr>
              <w:t>项目背景与目标</w:t>
            </w:r>
            <w:r>
              <w:t xml:space="preserve">或描述有缺陷、不完善的得 </w:t>
            </w:r>
            <w:r>
              <w:rPr>
                <w:rFonts w:hint="eastAsia"/>
              </w:rPr>
              <w:t>0-</w:t>
            </w:r>
            <w:r>
              <w:t>4（含）分。</w:t>
            </w:r>
          </w:p>
          <w:p>
            <w:pPr>
              <w:spacing w:line="360" w:lineRule="auto"/>
            </w:pPr>
            <w:r>
              <w:rPr>
                <w:rFonts w:hint="eastAsia"/>
              </w:rPr>
              <w:t>2：实施方案</w:t>
            </w:r>
            <w:r>
              <w:t>内容描述合理，全面详实，有针对性、合理性的得 7-10分；</w:t>
            </w:r>
            <w:r>
              <w:rPr>
                <w:rFonts w:hint="eastAsia"/>
              </w:rPr>
              <w:t>实施方案</w:t>
            </w:r>
            <w:r>
              <w:t>内容描述简单，基本合理的得 4-7（含）分；未提供相关</w:t>
            </w:r>
            <w:r>
              <w:rPr>
                <w:rFonts w:hint="eastAsia"/>
              </w:rPr>
              <w:t>实施方案</w:t>
            </w:r>
            <w:r>
              <w:t>或描述有缺陷、不完善的得 0-4（含）分。</w:t>
            </w:r>
          </w:p>
          <w:p>
            <w:pPr>
              <w:pStyle w:val="2"/>
              <w:spacing w:after="0" w:line="360" w:lineRule="auto"/>
            </w:pPr>
            <w:r>
              <w:rPr>
                <w:rFonts w:hint="eastAsia"/>
              </w:rPr>
              <w:t>3：</w:t>
            </w:r>
            <w:r>
              <w:t>项目进度安排描述全面、详细，贴合实际，科学合理的得7-10分；项目进度安排描述全面，比较贴合实际、科学合理的得4-7（含）分；未提供</w:t>
            </w:r>
            <w:r>
              <w:rPr>
                <w:rFonts w:hint="eastAsia"/>
              </w:rPr>
              <w:t>进度安排</w:t>
            </w:r>
            <w:r>
              <w:t>或描述有缺陷、不完善的得 0-4（含）分</w:t>
            </w:r>
            <w:r>
              <w:rPr>
                <w:rFonts w:hint="eastAsia"/>
              </w:rPr>
              <w:t>。</w:t>
            </w:r>
          </w:p>
          <w:p>
            <w:pPr>
              <w:rPr>
                <w:rFonts w:hint="eastAsia"/>
              </w:rPr>
            </w:pPr>
            <w:r>
              <w:rPr>
                <w:rFonts w:hint="eastAsia"/>
              </w:rPr>
              <w:t>4</w:t>
            </w:r>
            <w:r>
              <w:t>:</w:t>
            </w:r>
            <w:r>
              <w:rPr>
                <w:rFonts w:hint="eastAsia" w:ascii="宋体" w:hAnsi="宋体" w:cs="宋体"/>
                <w:szCs w:val="21"/>
                <w:lang w:val="zh-TW"/>
              </w:rPr>
              <w:t xml:space="preserve"> 服务质量保证措施合理，质量保证体系完备周全，具有针对性、科学应对措施得</w:t>
            </w:r>
            <w:r>
              <w:t>7</w:t>
            </w:r>
            <w:r>
              <w:rPr>
                <w:rFonts w:hint="eastAsia"/>
              </w:rPr>
              <w:t>-</w:t>
            </w:r>
            <w:r>
              <w:t>10</w:t>
            </w:r>
            <w:r>
              <w:rPr>
                <w:rFonts w:hint="eastAsia" w:ascii="宋体" w:hAnsi="宋体" w:cs="宋体"/>
                <w:szCs w:val="21"/>
                <w:lang w:val="zh-TW"/>
              </w:rPr>
              <w:t>分；质量保证体系基本周全，基本具有针对性、科学应对措施得</w:t>
            </w:r>
            <w:r>
              <w:t>4-7（含）</w:t>
            </w:r>
            <w:r>
              <w:rPr>
                <w:rFonts w:hint="eastAsia" w:ascii="宋体" w:hAnsi="宋体" w:cs="宋体"/>
                <w:szCs w:val="21"/>
                <w:lang w:val="zh-TW"/>
              </w:rPr>
              <w:t>分；质量保证体系周全性较差，有针对性、科学应对措施较少得0-4（含）分；无内容的不得分。</w:t>
            </w:r>
          </w:p>
          <w:p>
            <w:pPr>
              <w:pStyle w:val="2"/>
              <w:spacing w:after="0" w:line="560" w:lineRule="exact"/>
              <w:rPr>
                <w:rFonts w:hint="eastAsia"/>
                <w:lang w:val="en-GB"/>
              </w:rPr>
            </w:pPr>
            <w:r>
              <w:rPr>
                <w:rFonts w:hint="eastAsia"/>
              </w:rPr>
              <w:t>评审材料：《应答文件》-综合评价</w:t>
            </w:r>
          </w:p>
        </w:tc>
      </w:tr>
    </w:tbl>
    <w:p>
      <w:pPr>
        <w:spacing w:line="560" w:lineRule="exact"/>
        <w:outlineLvl w:val="0"/>
        <w:rPr>
          <w:rFonts w:hint="eastAsia" w:ascii="宋体" w:hAnsi="宋体" w:cs="宋体"/>
          <w:sz w:val="32"/>
          <w:szCs w:val="32"/>
        </w:rPr>
      </w:pPr>
    </w:p>
    <w:p>
      <w:pPr>
        <w:spacing w:line="560" w:lineRule="exact"/>
        <w:outlineLvl w:val="0"/>
        <w:rPr>
          <w:rFonts w:ascii="宋体" w:hAnsi="宋体" w:cs="宋体"/>
          <w:sz w:val="32"/>
          <w:szCs w:val="32"/>
        </w:rPr>
      </w:pPr>
      <w:r>
        <w:rPr>
          <w:rFonts w:ascii="宋体" w:hAnsi="宋体" w:cs="宋体"/>
          <w:sz w:val="32"/>
          <w:szCs w:val="32"/>
        </w:rPr>
        <w:br w:type="page"/>
      </w:r>
      <w:r>
        <w:rPr>
          <w:rFonts w:hint="eastAsia" w:ascii="宋体" w:hAnsi="宋体" w:cs="宋体"/>
          <w:sz w:val="32"/>
          <w:szCs w:val="32"/>
        </w:rPr>
        <w:t>附件</w:t>
      </w:r>
    </w:p>
    <w:p>
      <w:pPr>
        <w:spacing w:line="560" w:lineRule="exact"/>
        <w:jc w:val="center"/>
        <w:outlineLvl w:val="0"/>
        <w:rPr>
          <w:rFonts w:hint="eastAsia" w:ascii="宋体" w:hAnsi="宋体" w:cs="宋体"/>
          <w:sz w:val="44"/>
          <w:szCs w:val="44"/>
        </w:rPr>
      </w:pPr>
      <w:r>
        <w:rPr>
          <w:rFonts w:hint="eastAsia" w:ascii="宋体" w:hAnsi="宋体" w:cs="宋体"/>
          <w:sz w:val="44"/>
          <w:szCs w:val="44"/>
        </w:rPr>
        <w:t>应答文件</w:t>
      </w:r>
    </w:p>
    <w:p>
      <w:pPr>
        <w:spacing w:line="560" w:lineRule="exact"/>
        <w:ind w:firstLine="2649" w:firstLineChars="1104"/>
        <w:outlineLvl w:val="0"/>
        <w:rPr>
          <w:rFonts w:hint="eastAsia" w:ascii="仿宋_GB2312" w:hAnsi="仿宋_GB2312" w:eastAsia="仿宋_GB2312" w:cs="仿宋_GB2312"/>
          <w:sz w:val="32"/>
          <w:szCs w:val="32"/>
        </w:rPr>
      </w:pPr>
      <w:r>
        <w:rPr>
          <w:rFonts w:hint="eastAsia" w:ascii="宋体" w:hAnsi="宋体" w:cs="宋体"/>
          <w:color w:val="FF0000"/>
          <w:sz w:val="24"/>
        </w:rPr>
        <w:t>（每页均加盖供应商的公章）</w:t>
      </w:r>
    </w:p>
    <w:p>
      <w:pPr>
        <w:spacing w:line="560" w:lineRule="exact"/>
        <w:jc w:val="center"/>
        <w:rPr>
          <w:rFonts w:hint="eastAsia"/>
          <w:sz w:val="32"/>
          <w:szCs w:val="32"/>
        </w:rPr>
      </w:pPr>
    </w:p>
    <w:p>
      <w:pPr>
        <w:spacing w:line="560" w:lineRule="exact"/>
        <w:jc w:val="center"/>
        <w:rPr>
          <w:rFonts w:hint="eastAsia" w:ascii="仿宋_GB2312" w:hAnsi="仿宋_GB2312" w:eastAsia="仿宋_GB2312" w:cs="仿宋_GB2312"/>
          <w:b/>
          <w:bCs/>
          <w:sz w:val="32"/>
          <w:szCs w:val="32"/>
        </w:rPr>
      </w:pPr>
      <w:r>
        <w:rPr>
          <w:rFonts w:hint="eastAsia"/>
          <w:b/>
          <w:bCs/>
          <w:sz w:val="32"/>
          <w:szCs w:val="32"/>
        </w:rPr>
        <w:t>一、报价函</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深圳市南山区南头街道办事处：</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我单位已仔细阅读贵单位发来的采购文件。我单位有意向参与贵单位组织实施的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根据项目需求，我单位承诺满足贵单位针对本项目的具体要求，并确定本项目的报价为</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元</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如有幸成交，我单位将严格按照采购文件的内容（包括但不限于报价）以及贵单位的要求签订合同。</w:t>
      </w:r>
    </w:p>
    <w:p>
      <w:pPr>
        <w:spacing w:line="560" w:lineRule="exact"/>
        <w:ind w:firstLine="640"/>
        <w:jc w:val="right"/>
        <w:rPr>
          <w:rFonts w:hint="eastAsia" w:ascii="仿宋_GB2312" w:hAnsi="仿宋_GB2312" w:eastAsia="仿宋_GB2312" w:cs="仿宋_GB2312"/>
          <w:sz w:val="32"/>
          <w:szCs w:val="32"/>
        </w:rPr>
      </w:pPr>
    </w:p>
    <w:p>
      <w:pPr>
        <w:spacing w:line="560" w:lineRule="exact"/>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60" w:lineRule="exact"/>
        <w:ind w:firstLine="64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60" w:lineRule="exact"/>
        <w:rPr>
          <w:rFonts w:hint="eastAsia"/>
        </w:rPr>
      </w:pPr>
    </w:p>
    <w:p>
      <w:pPr>
        <w:spacing w:line="560" w:lineRule="exact"/>
        <w:jc w:val="center"/>
        <w:rPr>
          <w:b/>
          <w:bCs/>
          <w:sz w:val="32"/>
          <w:szCs w:val="32"/>
        </w:rPr>
      </w:pPr>
      <w:r>
        <w:rPr>
          <w:rFonts w:hint="eastAsia"/>
          <w:b/>
          <w:bCs/>
          <w:sz w:val="32"/>
          <w:szCs w:val="32"/>
        </w:rPr>
        <w:t>二、业绩经验</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（填写《业绩经验表》，并提供相关业绩</w:t>
      </w:r>
      <w:r>
        <w:rPr>
          <w:rFonts w:hint="eastAsia" w:ascii="仿宋_GB2312" w:hAnsi="仿宋_GB2312" w:eastAsia="仿宋_GB2312" w:cs="仿宋_GB2312"/>
          <w:sz w:val="32"/>
          <w:szCs w:val="32"/>
          <w:lang w:eastAsia="zh-TW"/>
        </w:rPr>
        <w:t>合同关键页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内容至少包括合同首页、</w:t>
      </w:r>
      <w:r>
        <w:rPr>
          <w:rFonts w:hint="eastAsia" w:ascii="仿宋_GB2312" w:hAnsi="仿宋_GB2312" w:eastAsia="仿宋_GB2312" w:cs="仿宋_GB2312"/>
          <w:sz w:val="32"/>
          <w:szCs w:val="32"/>
        </w:rPr>
        <w:t>合同标的、签订时间、</w:t>
      </w:r>
      <w:r>
        <w:rPr>
          <w:rFonts w:hint="eastAsia" w:ascii="仿宋_GB2312" w:hAnsi="仿宋_GB2312" w:eastAsia="仿宋_GB2312" w:cs="仿宋_GB2312"/>
          <w:sz w:val="32"/>
          <w:szCs w:val="32"/>
          <w:lang w:eastAsia="zh-TW"/>
        </w:rPr>
        <w:t>签字盖章页</w:t>
      </w:r>
      <w:r>
        <w:rPr>
          <w:rFonts w:hint="eastAsia" w:ascii="仿宋_GB2312" w:hAnsi="仿宋_GB2312" w:eastAsia="仿宋_GB2312" w:cs="仿宋_GB2312"/>
          <w:sz w:val="32"/>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618"/>
        <w:gridCol w:w="2062"/>
        <w:gridCol w:w="209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pPr>
              <w:pStyle w:val="2"/>
              <w:spacing w:after="0" w:line="560" w:lineRule="exact"/>
              <w:jc w:val="center"/>
              <w:rPr>
                <w:rFonts w:hint="eastAsia" w:ascii="仿宋_GB2312" w:hAnsi="仿宋_GB2312" w:eastAsia="仿宋_GB2312" w:cs="仿宋_GB2312"/>
                <w:sz w:val="32"/>
                <w:szCs w:val="32"/>
              </w:rPr>
            </w:pPr>
            <w:r>
              <w:rPr>
                <w:rFonts w:hint="eastAsia" w:ascii="宋体" w:hAnsi="宋体" w:cs="宋体"/>
                <w:b/>
                <w:bCs/>
                <w:sz w:val="32"/>
                <w:szCs w:val="32"/>
              </w:rPr>
              <w:t>业绩经验表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pStyle w:val="2"/>
              <w:spacing w:after="0" w:line="560" w:lineRule="exact"/>
              <w:jc w:val="center"/>
              <w:rPr>
                <w:rFonts w:hint="eastAsia" w:ascii="宋体" w:hAnsi="宋体" w:cs="宋体"/>
                <w:b/>
                <w:bCs/>
                <w:sz w:val="24"/>
              </w:rPr>
            </w:pPr>
            <w:r>
              <w:rPr>
                <w:rFonts w:hint="eastAsia" w:ascii="宋体" w:hAnsi="宋体" w:cs="宋体"/>
                <w:b/>
                <w:bCs/>
                <w:sz w:val="24"/>
              </w:rPr>
              <w:t>序号</w:t>
            </w:r>
          </w:p>
        </w:tc>
        <w:tc>
          <w:tcPr>
            <w:tcW w:w="2618" w:type="dxa"/>
            <w:noWrap w:val="0"/>
            <w:vAlign w:val="top"/>
          </w:tcPr>
          <w:p>
            <w:pPr>
              <w:pStyle w:val="2"/>
              <w:spacing w:after="0" w:line="560" w:lineRule="exact"/>
              <w:jc w:val="center"/>
              <w:rPr>
                <w:rFonts w:hint="eastAsia" w:ascii="宋体" w:hAnsi="宋体" w:cs="宋体"/>
                <w:b/>
                <w:bCs/>
                <w:sz w:val="24"/>
              </w:rPr>
            </w:pPr>
            <w:r>
              <w:rPr>
                <w:rFonts w:hint="eastAsia" w:ascii="宋体" w:hAnsi="宋体" w:cs="宋体"/>
                <w:b/>
                <w:bCs/>
                <w:sz w:val="24"/>
              </w:rPr>
              <w:t>业绩名称</w:t>
            </w:r>
          </w:p>
        </w:tc>
        <w:tc>
          <w:tcPr>
            <w:tcW w:w="2062" w:type="dxa"/>
            <w:noWrap w:val="0"/>
            <w:vAlign w:val="top"/>
          </w:tcPr>
          <w:p>
            <w:pPr>
              <w:pStyle w:val="2"/>
              <w:spacing w:after="0" w:line="560" w:lineRule="exact"/>
              <w:jc w:val="center"/>
              <w:rPr>
                <w:rFonts w:hint="eastAsia" w:ascii="宋体" w:hAnsi="宋体" w:cs="宋体"/>
                <w:b/>
                <w:bCs/>
                <w:sz w:val="24"/>
              </w:rPr>
            </w:pPr>
            <w:r>
              <w:rPr>
                <w:rFonts w:hint="eastAsia" w:ascii="宋体" w:hAnsi="宋体" w:cs="宋体"/>
                <w:b/>
                <w:bCs/>
                <w:sz w:val="24"/>
              </w:rPr>
              <w:t>合同甲方</w:t>
            </w:r>
          </w:p>
        </w:tc>
        <w:tc>
          <w:tcPr>
            <w:tcW w:w="2095" w:type="dxa"/>
            <w:noWrap w:val="0"/>
            <w:vAlign w:val="top"/>
          </w:tcPr>
          <w:p>
            <w:pPr>
              <w:pStyle w:val="2"/>
              <w:spacing w:after="0" w:line="560" w:lineRule="exact"/>
              <w:jc w:val="center"/>
              <w:rPr>
                <w:rFonts w:hint="eastAsia" w:ascii="宋体" w:hAnsi="宋体" w:cs="宋体"/>
                <w:b/>
                <w:bCs/>
                <w:sz w:val="24"/>
              </w:rPr>
            </w:pPr>
            <w:r>
              <w:rPr>
                <w:rFonts w:hint="eastAsia" w:ascii="宋体" w:hAnsi="宋体" w:cs="宋体"/>
                <w:b/>
                <w:bCs/>
                <w:sz w:val="24"/>
              </w:rPr>
              <w:t>合同签订时间</w:t>
            </w:r>
          </w:p>
        </w:tc>
        <w:tc>
          <w:tcPr>
            <w:tcW w:w="781" w:type="dxa"/>
            <w:noWrap w:val="0"/>
            <w:vAlign w:val="top"/>
          </w:tcPr>
          <w:p>
            <w:pPr>
              <w:pStyle w:val="2"/>
              <w:spacing w:after="0" w:line="560" w:lineRule="exact"/>
              <w:jc w:val="center"/>
              <w:rPr>
                <w:rFonts w:hint="eastAsia"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pPr>
              <w:pStyle w:val="2"/>
              <w:spacing w:after="0" w:line="560" w:lineRule="exact"/>
              <w:jc w:val="center"/>
              <w:rPr>
                <w:rFonts w:ascii="宋体" w:hAnsi="宋体" w:cs="宋体"/>
                <w:color w:val="FF0000"/>
                <w:sz w:val="24"/>
              </w:rPr>
            </w:pPr>
            <w:r>
              <w:rPr>
                <w:rFonts w:hint="eastAsia" w:ascii="宋体" w:hAnsi="宋体" w:cs="宋体"/>
                <w:color w:val="FF0000"/>
                <w:sz w:val="24"/>
              </w:rPr>
              <w:t>示例</w:t>
            </w:r>
          </w:p>
        </w:tc>
        <w:tc>
          <w:tcPr>
            <w:tcW w:w="2618" w:type="dxa"/>
            <w:noWrap w:val="0"/>
            <w:vAlign w:val="center"/>
          </w:tcPr>
          <w:p>
            <w:pPr>
              <w:pStyle w:val="2"/>
              <w:spacing w:after="0" w:line="560" w:lineRule="exact"/>
              <w:jc w:val="center"/>
              <w:rPr>
                <w:rFonts w:ascii="宋体" w:hAnsi="宋体" w:cs="宋体"/>
                <w:color w:val="FF0000"/>
                <w:sz w:val="24"/>
              </w:rPr>
            </w:pPr>
            <w:r>
              <w:rPr>
                <w:rFonts w:hint="eastAsia" w:ascii="宋体" w:hAnsi="宋体" w:cs="宋体"/>
                <w:color w:val="FF0000"/>
                <w:sz w:val="24"/>
              </w:rPr>
              <w:t>南头街道办事处家具采购项目</w:t>
            </w:r>
          </w:p>
        </w:tc>
        <w:tc>
          <w:tcPr>
            <w:tcW w:w="2062" w:type="dxa"/>
            <w:noWrap w:val="0"/>
            <w:vAlign w:val="center"/>
          </w:tcPr>
          <w:p>
            <w:pPr>
              <w:pStyle w:val="2"/>
              <w:spacing w:after="0" w:line="560" w:lineRule="exact"/>
              <w:jc w:val="center"/>
              <w:rPr>
                <w:rFonts w:hint="eastAsia" w:ascii="宋体" w:hAnsi="宋体" w:cs="宋体"/>
                <w:color w:val="FF0000"/>
                <w:sz w:val="24"/>
              </w:rPr>
            </w:pPr>
            <w:r>
              <w:rPr>
                <w:rFonts w:hint="eastAsia" w:ascii="宋体" w:hAnsi="宋体" w:cs="宋体"/>
                <w:color w:val="FF0000"/>
                <w:sz w:val="24"/>
              </w:rPr>
              <w:t>深圳市南山区南头街道办事处</w:t>
            </w:r>
          </w:p>
        </w:tc>
        <w:tc>
          <w:tcPr>
            <w:tcW w:w="2095" w:type="dxa"/>
            <w:noWrap w:val="0"/>
            <w:vAlign w:val="center"/>
          </w:tcPr>
          <w:p>
            <w:pPr>
              <w:pStyle w:val="2"/>
              <w:spacing w:after="0" w:line="560" w:lineRule="exact"/>
              <w:jc w:val="center"/>
              <w:rPr>
                <w:rFonts w:ascii="宋体" w:hAnsi="宋体" w:cs="宋体"/>
                <w:color w:val="FF0000"/>
                <w:sz w:val="24"/>
              </w:rPr>
            </w:pPr>
            <w:r>
              <w:rPr>
                <w:rFonts w:hint="eastAsia" w:ascii="宋体" w:hAnsi="宋体" w:cs="宋体"/>
                <w:color w:val="FF0000"/>
                <w:sz w:val="24"/>
              </w:rPr>
              <w:t>2022年7月1日</w:t>
            </w:r>
          </w:p>
        </w:tc>
        <w:tc>
          <w:tcPr>
            <w:tcW w:w="781" w:type="dxa"/>
            <w:noWrap w:val="0"/>
            <w:vAlign w:val="center"/>
          </w:tcPr>
          <w:p>
            <w:pPr>
              <w:pStyle w:val="2"/>
              <w:spacing w:after="0" w:line="560" w:lineRule="exact"/>
              <w:jc w:val="center"/>
              <w:rPr>
                <w:rFonts w:hint="eastAsia"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noWrap w:val="0"/>
            <w:vAlign w:val="top"/>
          </w:tcPr>
          <w:p>
            <w:pPr>
              <w:pStyle w:val="2"/>
              <w:spacing w:after="0" w:line="560" w:lineRule="exact"/>
              <w:jc w:val="center"/>
              <w:rPr>
                <w:rFonts w:ascii="宋体" w:hAnsi="宋体" w:cs="宋体"/>
                <w:sz w:val="24"/>
              </w:rPr>
            </w:pPr>
            <w:r>
              <w:rPr>
                <w:rFonts w:hint="eastAsia" w:ascii="宋体" w:hAnsi="宋体" w:cs="宋体"/>
                <w:sz w:val="24"/>
              </w:rPr>
              <w:t>1</w:t>
            </w:r>
          </w:p>
        </w:tc>
        <w:tc>
          <w:tcPr>
            <w:tcW w:w="2618" w:type="dxa"/>
            <w:noWrap w:val="0"/>
            <w:vAlign w:val="top"/>
          </w:tcPr>
          <w:p>
            <w:pPr>
              <w:pStyle w:val="2"/>
              <w:spacing w:after="0" w:line="560" w:lineRule="exact"/>
              <w:jc w:val="center"/>
              <w:rPr>
                <w:rFonts w:hint="eastAsia" w:ascii="宋体" w:hAnsi="宋体" w:cs="宋体"/>
                <w:sz w:val="24"/>
              </w:rPr>
            </w:pPr>
          </w:p>
        </w:tc>
        <w:tc>
          <w:tcPr>
            <w:tcW w:w="2062" w:type="dxa"/>
            <w:noWrap w:val="0"/>
            <w:vAlign w:val="top"/>
          </w:tcPr>
          <w:p>
            <w:pPr>
              <w:pStyle w:val="2"/>
              <w:spacing w:after="0" w:line="560" w:lineRule="exact"/>
              <w:jc w:val="center"/>
              <w:rPr>
                <w:rFonts w:hint="eastAsia" w:ascii="宋体" w:hAnsi="宋体" w:cs="宋体"/>
                <w:sz w:val="24"/>
              </w:rPr>
            </w:pPr>
          </w:p>
        </w:tc>
        <w:tc>
          <w:tcPr>
            <w:tcW w:w="2095" w:type="dxa"/>
            <w:noWrap w:val="0"/>
            <w:vAlign w:val="top"/>
          </w:tcPr>
          <w:p>
            <w:pPr>
              <w:pStyle w:val="2"/>
              <w:spacing w:after="0" w:line="560" w:lineRule="exact"/>
              <w:jc w:val="center"/>
              <w:rPr>
                <w:rFonts w:hint="eastAsia" w:ascii="宋体" w:hAnsi="宋体" w:cs="宋体"/>
                <w:sz w:val="24"/>
              </w:rPr>
            </w:pPr>
          </w:p>
        </w:tc>
        <w:tc>
          <w:tcPr>
            <w:tcW w:w="781" w:type="dxa"/>
            <w:noWrap w:val="0"/>
            <w:vAlign w:val="top"/>
          </w:tcPr>
          <w:p>
            <w:pPr>
              <w:pStyle w:val="2"/>
              <w:spacing w:after="0" w:line="5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pStyle w:val="2"/>
              <w:spacing w:after="0" w:line="560" w:lineRule="exact"/>
              <w:jc w:val="center"/>
              <w:rPr>
                <w:rFonts w:ascii="宋体" w:hAnsi="宋体" w:cs="宋体"/>
                <w:sz w:val="24"/>
              </w:rPr>
            </w:pPr>
            <w:r>
              <w:rPr>
                <w:rFonts w:hint="eastAsia" w:ascii="宋体" w:hAnsi="宋体" w:cs="宋体"/>
                <w:sz w:val="24"/>
              </w:rPr>
              <w:t>2</w:t>
            </w:r>
          </w:p>
        </w:tc>
        <w:tc>
          <w:tcPr>
            <w:tcW w:w="2618" w:type="dxa"/>
            <w:noWrap w:val="0"/>
            <w:vAlign w:val="top"/>
          </w:tcPr>
          <w:p>
            <w:pPr>
              <w:pStyle w:val="2"/>
              <w:spacing w:after="0" w:line="560" w:lineRule="exact"/>
              <w:jc w:val="center"/>
              <w:rPr>
                <w:rFonts w:hint="eastAsia" w:ascii="宋体" w:hAnsi="宋体" w:cs="宋体"/>
                <w:sz w:val="24"/>
              </w:rPr>
            </w:pPr>
          </w:p>
        </w:tc>
        <w:tc>
          <w:tcPr>
            <w:tcW w:w="2062" w:type="dxa"/>
            <w:noWrap w:val="0"/>
            <w:vAlign w:val="top"/>
          </w:tcPr>
          <w:p>
            <w:pPr>
              <w:pStyle w:val="2"/>
              <w:spacing w:after="0" w:line="560" w:lineRule="exact"/>
              <w:jc w:val="center"/>
              <w:rPr>
                <w:rFonts w:hint="eastAsia" w:ascii="宋体" w:hAnsi="宋体" w:cs="宋体"/>
                <w:sz w:val="24"/>
              </w:rPr>
            </w:pPr>
          </w:p>
        </w:tc>
        <w:tc>
          <w:tcPr>
            <w:tcW w:w="2095" w:type="dxa"/>
            <w:noWrap w:val="0"/>
            <w:vAlign w:val="top"/>
          </w:tcPr>
          <w:p>
            <w:pPr>
              <w:pStyle w:val="2"/>
              <w:spacing w:after="0" w:line="560" w:lineRule="exact"/>
              <w:jc w:val="center"/>
              <w:rPr>
                <w:rFonts w:hint="eastAsia" w:ascii="宋体" w:hAnsi="宋体" w:cs="宋体"/>
                <w:sz w:val="24"/>
              </w:rPr>
            </w:pPr>
          </w:p>
        </w:tc>
        <w:tc>
          <w:tcPr>
            <w:tcW w:w="781" w:type="dxa"/>
            <w:noWrap w:val="0"/>
            <w:vAlign w:val="top"/>
          </w:tcPr>
          <w:p>
            <w:pPr>
              <w:pStyle w:val="2"/>
              <w:spacing w:after="0" w:line="5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pStyle w:val="2"/>
              <w:spacing w:after="0" w:line="560" w:lineRule="exact"/>
              <w:jc w:val="center"/>
              <w:rPr>
                <w:rFonts w:ascii="宋体" w:hAnsi="宋体" w:cs="宋体"/>
                <w:sz w:val="24"/>
              </w:rPr>
            </w:pPr>
            <w:r>
              <w:rPr>
                <w:rFonts w:hint="eastAsia" w:ascii="宋体" w:hAnsi="宋体" w:cs="宋体"/>
                <w:sz w:val="24"/>
              </w:rPr>
              <w:t>3</w:t>
            </w:r>
          </w:p>
        </w:tc>
        <w:tc>
          <w:tcPr>
            <w:tcW w:w="2618" w:type="dxa"/>
            <w:noWrap w:val="0"/>
            <w:vAlign w:val="top"/>
          </w:tcPr>
          <w:p>
            <w:pPr>
              <w:pStyle w:val="2"/>
              <w:spacing w:after="0" w:line="560" w:lineRule="exact"/>
              <w:jc w:val="center"/>
              <w:rPr>
                <w:rFonts w:hint="eastAsia" w:ascii="宋体" w:hAnsi="宋体" w:cs="宋体"/>
                <w:sz w:val="24"/>
              </w:rPr>
            </w:pPr>
          </w:p>
        </w:tc>
        <w:tc>
          <w:tcPr>
            <w:tcW w:w="2062" w:type="dxa"/>
            <w:noWrap w:val="0"/>
            <w:vAlign w:val="top"/>
          </w:tcPr>
          <w:p>
            <w:pPr>
              <w:pStyle w:val="2"/>
              <w:spacing w:after="0" w:line="560" w:lineRule="exact"/>
              <w:jc w:val="center"/>
              <w:rPr>
                <w:rFonts w:hint="eastAsia" w:ascii="宋体" w:hAnsi="宋体" w:cs="宋体"/>
                <w:sz w:val="24"/>
              </w:rPr>
            </w:pPr>
          </w:p>
        </w:tc>
        <w:tc>
          <w:tcPr>
            <w:tcW w:w="2095" w:type="dxa"/>
            <w:noWrap w:val="0"/>
            <w:vAlign w:val="top"/>
          </w:tcPr>
          <w:p>
            <w:pPr>
              <w:pStyle w:val="2"/>
              <w:spacing w:after="0" w:line="560" w:lineRule="exact"/>
              <w:jc w:val="center"/>
              <w:rPr>
                <w:rFonts w:hint="eastAsia" w:ascii="宋体" w:hAnsi="宋体" w:cs="宋体"/>
                <w:sz w:val="24"/>
              </w:rPr>
            </w:pPr>
          </w:p>
        </w:tc>
        <w:tc>
          <w:tcPr>
            <w:tcW w:w="781" w:type="dxa"/>
            <w:noWrap w:val="0"/>
            <w:vAlign w:val="top"/>
          </w:tcPr>
          <w:p>
            <w:pPr>
              <w:pStyle w:val="2"/>
              <w:spacing w:after="0" w:line="5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pStyle w:val="2"/>
              <w:spacing w:after="0" w:line="560" w:lineRule="exact"/>
              <w:jc w:val="center"/>
              <w:rPr>
                <w:rFonts w:ascii="宋体" w:hAnsi="宋体" w:cs="宋体"/>
                <w:sz w:val="24"/>
              </w:rPr>
            </w:pPr>
            <w:r>
              <w:rPr>
                <w:rFonts w:hint="eastAsia" w:ascii="宋体" w:hAnsi="宋体" w:cs="宋体"/>
                <w:sz w:val="24"/>
              </w:rPr>
              <w:t>4</w:t>
            </w:r>
          </w:p>
        </w:tc>
        <w:tc>
          <w:tcPr>
            <w:tcW w:w="2618" w:type="dxa"/>
            <w:noWrap w:val="0"/>
            <w:vAlign w:val="top"/>
          </w:tcPr>
          <w:p>
            <w:pPr>
              <w:pStyle w:val="2"/>
              <w:spacing w:after="0" w:line="560" w:lineRule="exact"/>
              <w:jc w:val="center"/>
              <w:rPr>
                <w:rFonts w:hint="eastAsia" w:ascii="宋体" w:hAnsi="宋体" w:cs="宋体"/>
                <w:sz w:val="24"/>
              </w:rPr>
            </w:pPr>
          </w:p>
        </w:tc>
        <w:tc>
          <w:tcPr>
            <w:tcW w:w="2062" w:type="dxa"/>
            <w:noWrap w:val="0"/>
            <w:vAlign w:val="top"/>
          </w:tcPr>
          <w:p>
            <w:pPr>
              <w:pStyle w:val="2"/>
              <w:spacing w:after="0" w:line="560" w:lineRule="exact"/>
              <w:jc w:val="center"/>
              <w:rPr>
                <w:rFonts w:hint="eastAsia" w:ascii="宋体" w:hAnsi="宋体" w:cs="宋体"/>
                <w:sz w:val="24"/>
              </w:rPr>
            </w:pPr>
          </w:p>
        </w:tc>
        <w:tc>
          <w:tcPr>
            <w:tcW w:w="2095" w:type="dxa"/>
            <w:noWrap w:val="0"/>
            <w:vAlign w:val="top"/>
          </w:tcPr>
          <w:p>
            <w:pPr>
              <w:pStyle w:val="2"/>
              <w:spacing w:after="0" w:line="560" w:lineRule="exact"/>
              <w:jc w:val="center"/>
              <w:rPr>
                <w:rFonts w:hint="eastAsia" w:ascii="宋体" w:hAnsi="宋体" w:cs="宋体"/>
                <w:sz w:val="24"/>
              </w:rPr>
            </w:pPr>
          </w:p>
        </w:tc>
        <w:tc>
          <w:tcPr>
            <w:tcW w:w="781" w:type="dxa"/>
            <w:noWrap w:val="0"/>
            <w:vAlign w:val="top"/>
          </w:tcPr>
          <w:p>
            <w:pPr>
              <w:pStyle w:val="2"/>
              <w:spacing w:after="0" w:line="5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noWrap w:val="0"/>
            <w:vAlign w:val="top"/>
          </w:tcPr>
          <w:p>
            <w:pPr>
              <w:pStyle w:val="2"/>
              <w:spacing w:after="0" w:line="560" w:lineRule="exact"/>
              <w:jc w:val="center"/>
              <w:rPr>
                <w:rFonts w:ascii="宋体" w:hAnsi="宋体" w:cs="宋体"/>
                <w:sz w:val="24"/>
              </w:rPr>
            </w:pPr>
            <w:r>
              <w:rPr>
                <w:rFonts w:hint="eastAsia" w:ascii="宋体" w:hAnsi="宋体" w:cs="宋体"/>
                <w:sz w:val="24"/>
              </w:rPr>
              <w:t>5</w:t>
            </w:r>
          </w:p>
        </w:tc>
        <w:tc>
          <w:tcPr>
            <w:tcW w:w="2618" w:type="dxa"/>
            <w:noWrap w:val="0"/>
            <w:vAlign w:val="top"/>
          </w:tcPr>
          <w:p>
            <w:pPr>
              <w:pStyle w:val="2"/>
              <w:spacing w:after="0" w:line="560" w:lineRule="exact"/>
              <w:jc w:val="center"/>
              <w:rPr>
                <w:rFonts w:hint="eastAsia" w:ascii="宋体" w:hAnsi="宋体" w:cs="宋体"/>
                <w:sz w:val="24"/>
              </w:rPr>
            </w:pPr>
          </w:p>
        </w:tc>
        <w:tc>
          <w:tcPr>
            <w:tcW w:w="2062" w:type="dxa"/>
            <w:noWrap w:val="0"/>
            <w:vAlign w:val="top"/>
          </w:tcPr>
          <w:p>
            <w:pPr>
              <w:pStyle w:val="2"/>
              <w:spacing w:after="0" w:line="560" w:lineRule="exact"/>
              <w:jc w:val="center"/>
              <w:rPr>
                <w:rFonts w:hint="eastAsia" w:ascii="宋体" w:hAnsi="宋体" w:cs="宋体"/>
                <w:sz w:val="24"/>
              </w:rPr>
            </w:pPr>
          </w:p>
        </w:tc>
        <w:tc>
          <w:tcPr>
            <w:tcW w:w="2095" w:type="dxa"/>
            <w:noWrap w:val="0"/>
            <w:vAlign w:val="top"/>
          </w:tcPr>
          <w:p>
            <w:pPr>
              <w:pStyle w:val="2"/>
              <w:spacing w:after="0" w:line="560" w:lineRule="exact"/>
              <w:jc w:val="center"/>
              <w:rPr>
                <w:rFonts w:hint="eastAsia" w:ascii="宋体" w:hAnsi="宋体" w:cs="宋体"/>
                <w:sz w:val="24"/>
              </w:rPr>
            </w:pPr>
          </w:p>
        </w:tc>
        <w:tc>
          <w:tcPr>
            <w:tcW w:w="781" w:type="dxa"/>
            <w:noWrap w:val="0"/>
            <w:vAlign w:val="top"/>
          </w:tcPr>
          <w:p>
            <w:pPr>
              <w:pStyle w:val="2"/>
              <w:spacing w:after="0" w:line="5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top"/>
          </w:tcPr>
          <w:p>
            <w:pPr>
              <w:pStyle w:val="2"/>
              <w:spacing w:after="0" w:line="560" w:lineRule="exact"/>
              <w:jc w:val="center"/>
              <w:rPr>
                <w:rFonts w:hint="eastAsia" w:ascii="宋体" w:hAnsi="宋体" w:cs="宋体"/>
                <w:sz w:val="24"/>
              </w:rPr>
            </w:pPr>
            <w:r>
              <w:rPr>
                <w:rFonts w:hint="eastAsia" w:ascii="宋体" w:hAnsi="宋体" w:cs="宋体"/>
                <w:sz w:val="24"/>
              </w:rPr>
              <w:t>……</w:t>
            </w:r>
          </w:p>
        </w:tc>
        <w:tc>
          <w:tcPr>
            <w:tcW w:w="2618" w:type="dxa"/>
            <w:noWrap w:val="0"/>
            <w:vAlign w:val="top"/>
          </w:tcPr>
          <w:p>
            <w:pPr>
              <w:pStyle w:val="2"/>
              <w:spacing w:after="0" w:line="560" w:lineRule="exact"/>
              <w:jc w:val="center"/>
              <w:rPr>
                <w:rFonts w:hint="eastAsia" w:ascii="宋体" w:hAnsi="宋体" w:cs="宋体"/>
                <w:sz w:val="24"/>
              </w:rPr>
            </w:pPr>
          </w:p>
        </w:tc>
        <w:tc>
          <w:tcPr>
            <w:tcW w:w="2062" w:type="dxa"/>
            <w:noWrap w:val="0"/>
            <w:vAlign w:val="top"/>
          </w:tcPr>
          <w:p>
            <w:pPr>
              <w:pStyle w:val="2"/>
              <w:spacing w:after="0" w:line="560" w:lineRule="exact"/>
              <w:jc w:val="center"/>
              <w:rPr>
                <w:rFonts w:hint="eastAsia" w:ascii="宋体" w:hAnsi="宋体" w:cs="宋体"/>
                <w:sz w:val="24"/>
              </w:rPr>
            </w:pPr>
          </w:p>
        </w:tc>
        <w:tc>
          <w:tcPr>
            <w:tcW w:w="2095" w:type="dxa"/>
            <w:noWrap w:val="0"/>
            <w:vAlign w:val="top"/>
          </w:tcPr>
          <w:p>
            <w:pPr>
              <w:pStyle w:val="2"/>
              <w:spacing w:after="0" w:line="560" w:lineRule="exact"/>
              <w:jc w:val="center"/>
              <w:rPr>
                <w:rFonts w:hint="eastAsia" w:ascii="宋体" w:hAnsi="宋体" w:cs="宋体"/>
                <w:sz w:val="24"/>
              </w:rPr>
            </w:pPr>
          </w:p>
        </w:tc>
        <w:tc>
          <w:tcPr>
            <w:tcW w:w="781" w:type="dxa"/>
            <w:noWrap w:val="0"/>
            <w:vAlign w:val="top"/>
          </w:tcPr>
          <w:p>
            <w:pPr>
              <w:pStyle w:val="2"/>
              <w:spacing w:after="0" w:line="560" w:lineRule="exact"/>
              <w:jc w:val="center"/>
              <w:rPr>
                <w:rFonts w:hint="eastAsia" w:ascii="宋体" w:hAnsi="宋体" w:cs="宋体"/>
                <w:sz w:val="24"/>
              </w:rPr>
            </w:pPr>
          </w:p>
        </w:tc>
      </w:tr>
    </w:tbl>
    <w:p>
      <w:pPr>
        <w:pStyle w:val="2"/>
        <w:spacing w:after="0" w:line="560" w:lineRule="exact"/>
        <w:rPr>
          <w:rFonts w:hint="eastAsia" w:ascii="仿宋_GB2312" w:hAnsi="仿宋_GB2312" w:eastAsia="仿宋_GB2312" w:cs="仿宋_GB2312"/>
          <w:sz w:val="24"/>
        </w:rPr>
      </w:pPr>
    </w:p>
    <w:p>
      <w:pPr>
        <w:spacing w:line="560" w:lineRule="exact"/>
        <w:rPr>
          <w:rFonts w:hint="eastAsia"/>
        </w:rPr>
      </w:pPr>
    </w:p>
    <w:p>
      <w:pPr>
        <w:spacing w:line="560" w:lineRule="exact"/>
        <w:rPr>
          <w:rFonts w:hint="eastAsia"/>
        </w:rPr>
      </w:pPr>
    </w:p>
    <w:p>
      <w:pPr>
        <w:spacing w:line="560" w:lineRule="exact"/>
        <w:jc w:val="center"/>
        <w:outlineLvl w:val="0"/>
        <w:rPr>
          <w:b/>
          <w:bCs/>
          <w:sz w:val="32"/>
          <w:szCs w:val="32"/>
        </w:rPr>
      </w:pPr>
      <w:r>
        <w:rPr>
          <w:rFonts w:hint="eastAsia"/>
          <w:b/>
          <w:bCs/>
          <w:sz w:val="32"/>
          <w:szCs w:val="32"/>
        </w:rPr>
        <w:t>三、团队评价</w:t>
      </w:r>
    </w:p>
    <w:p>
      <w:pPr>
        <w:pStyle w:val="2"/>
        <w:jc w:val="center"/>
      </w:pPr>
      <w:r>
        <w:rPr>
          <w:rFonts w:hint="eastAsia" w:ascii="仿宋_GB2312" w:hAnsi="仿宋_GB2312" w:eastAsia="仿宋_GB2312" w:cs="仿宋_GB2312"/>
          <w:sz w:val="32"/>
          <w:szCs w:val="32"/>
        </w:rPr>
        <w:t>（具体内容自拟）</w:t>
      </w:r>
    </w:p>
    <w:p>
      <w:pPr>
        <w:rPr>
          <w:rFonts w:hint="eastAsia"/>
        </w:rPr>
      </w:pPr>
    </w:p>
    <w:p/>
    <w:p>
      <w:pPr>
        <w:pStyle w:val="2"/>
        <w:rPr>
          <w:rFonts w:hint="eastAsia"/>
        </w:rPr>
      </w:pPr>
    </w:p>
    <w:p>
      <w:pPr>
        <w:pStyle w:val="2"/>
        <w:rPr>
          <w:rFonts w:hint="eastAsia"/>
        </w:rPr>
      </w:pPr>
    </w:p>
    <w:p>
      <w:pPr>
        <w:spacing w:line="560" w:lineRule="exact"/>
        <w:jc w:val="center"/>
        <w:rPr>
          <w:rFonts w:hint="eastAsia"/>
          <w:b/>
          <w:bCs/>
          <w:sz w:val="32"/>
          <w:szCs w:val="32"/>
        </w:rPr>
      </w:pPr>
      <w:r>
        <w:rPr>
          <w:rFonts w:hint="eastAsia"/>
          <w:b/>
          <w:bCs/>
          <w:sz w:val="32"/>
          <w:szCs w:val="32"/>
        </w:rPr>
        <w:t>四、实施方案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TW"/>
        </w:rPr>
        <w:t>关于本项目的实施方案、产品情况</w:t>
      </w:r>
      <w:r>
        <w:rPr>
          <w:rFonts w:hint="eastAsia" w:ascii="仿宋_GB2312" w:hAnsi="仿宋_GB2312" w:eastAsia="仿宋_GB2312" w:cs="仿宋_GB2312"/>
          <w:sz w:val="32"/>
          <w:szCs w:val="32"/>
        </w:rPr>
        <w:t>，具体内容自拟）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10" w:usb3="00000000" w:csb0="00040000" w:csb1="00000000"/>
  </w:font>
  <w:font w:name="T3Font_15">
    <w:altName w:val="华文仿宋"/>
    <w:panose1 w:val="00000000000000000000"/>
    <w:charset w:val="00"/>
    <w:family w:val="swiss"/>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5E9D1"/>
    <w:rsid w:val="2F65E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character" w:styleId="7">
    <w:name w:val="annotation referenc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2024-10-08T10:40:00Z</dcterms:created>
  <dc:creator>孔德司</dc:creator>
  <cp:lastModifiedBy>孔德司</cp:lastModifiedBy>
  <dcterms:modified xsi:type="dcterms:W3CDTF">2024-10-08T10:41:31Z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