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黑体" w:hAnsi="华文中宋" w:eastAsia="黑体" w:cs="华文中宋"/>
          <w:b/>
          <w:bCs/>
          <w:color w:val="auto"/>
          <w:sz w:val="72"/>
          <w:szCs w:val="72"/>
          <w:highlight w:val="none"/>
        </w:rPr>
      </w:pPr>
    </w:p>
    <w:p>
      <w:pPr>
        <w:snapToGrid w:val="0"/>
        <w:spacing w:before="156" w:beforeLines="50"/>
        <w:jc w:val="center"/>
        <w:rPr>
          <w:rFonts w:ascii="黑体" w:hAnsi="华文中宋" w:eastAsia="黑体" w:cs="华文中宋"/>
          <w:b/>
          <w:bCs/>
          <w:color w:val="auto"/>
          <w:sz w:val="72"/>
          <w:szCs w:val="72"/>
          <w:highlight w:val="none"/>
        </w:rPr>
      </w:pPr>
    </w:p>
    <w:p>
      <w:pPr>
        <w:snapToGrid w:val="0"/>
        <w:spacing w:before="156" w:beforeLines="50"/>
        <w:jc w:val="center"/>
        <w:rPr>
          <w:rFonts w:ascii="黑体" w:hAnsi="华文中宋" w:eastAsia="黑体" w:cs="华文中宋"/>
          <w:b/>
          <w:bCs/>
          <w:color w:val="auto"/>
          <w:sz w:val="72"/>
          <w:szCs w:val="72"/>
          <w:highlight w:val="none"/>
        </w:rPr>
      </w:pPr>
    </w:p>
    <w:p>
      <w:pPr>
        <w:snapToGrid w:val="0"/>
        <w:spacing w:before="156" w:beforeLines="50"/>
        <w:jc w:val="center"/>
        <w:rPr>
          <w:rFonts w:ascii="仿宋_GB2312" w:eastAsia="仿宋_GB2312"/>
          <w:b/>
          <w:bCs/>
          <w:color w:val="auto"/>
          <w:sz w:val="72"/>
          <w:szCs w:val="72"/>
          <w:highlight w:val="none"/>
        </w:rPr>
      </w:pPr>
      <w:r>
        <w:rPr>
          <w:rFonts w:hint="eastAsia" w:ascii="黑体" w:hAnsi="华文中宋" w:eastAsia="黑体" w:cs="华文中宋"/>
          <w:b/>
          <w:bCs/>
          <w:color w:val="auto"/>
          <w:sz w:val="72"/>
          <w:szCs w:val="72"/>
          <w:highlight w:val="none"/>
        </w:rPr>
        <w:t>公开招标文件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17"/>
        <w:spacing w:line="360" w:lineRule="auto"/>
        <w:ind w:firstLine="424" w:firstLineChars="132"/>
        <w:rPr>
          <w:rFonts w:hint="eastAsia" w:ascii="仿宋_GB2312" w:eastAsia="仿宋_GB2312"/>
          <w:b/>
          <w:color w:val="auto"/>
          <w:sz w:val="32"/>
          <w:highlight w:val="none"/>
          <w:lang w:eastAsia="zh-CN"/>
        </w:rPr>
      </w:pPr>
      <w:r>
        <w:rPr>
          <w:rFonts w:hint="eastAsia" w:ascii="仿宋_GB2312" w:eastAsia="仿宋_GB2312"/>
          <w:b/>
          <w:color w:val="auto"/>
          <w:sz w:val="32"/>
          <w:highlight w:val="none"/>
        </w:rPr>
        <w:t>项目编号：</w:t>
      </w:r>
      <w:r>
        <w:rPr>
          <w:rFonts w:hint="eastAsia" w:ascii="仿宋_GB2312" w:eastAsia="仿宋_GB2312"/>
          <w:b/>
          <w:color w:val="auto"/>
          <w:sz w:val="32"/>
          <w:highlight w:val="none"/>
          <w:shd w:val="clear" w:color="auto"/>
          <w:lang w:eastAsia="zh-CN"/>
        </w:rPr>
        <w:t>NSNSJD2024091001</w:t>
      </w:r>
    </w:p>
    <w:p>
      <w:pPr>
        <w:pStyle w:val="17"/>
        <w:spacing w:line="360" w:lineRule="auto"/>
        <w:ind w:firstLine="424" w:firstLineChars="132"/>
        <w:rPr>
          <w:rFonts w:hint="eastAsia" w:ascii="仿宋_GB2312" w:eastAsia="仿宋_GB2312"/>
          <w:b/>
          <w:color w:val="auto"/>
          <w:sz w:val="32"/>
          <w:highlight w:val="none"/>
          <w:lang w:eastAsia="zh-CN"/>
        </w:rPr>
      </w:pPr>
      <w:r>
        <w:rPr>
          <w:rFonts w:hint="eastAsia" w:ascii="仿宋_GB2312" w:eastAsia="仿宋_GB2312"/>
          <w:b/>
          <w:color w:val="auto"/>
          <w:sz w:val="32"/>
          <w:highlight w:val="none"/>
        </w:rPr>
        <w:t>项目名称：</w:t>
      </w:r>
      <w:r>
        <w:rPr>
          <w:rFonts w:hint="eastAsia" w:ascii="仿宋_GB2312" w:eastAsia="仿宋_GB2312"/>
          <w:b/>
          <w:color w:val="auto"/>
          <w:sz w:val="32"/>
          <w:highlight w:val="none"/>
          <w:lang w:eastAsia="zh-CN"/>
        </w:rPr>
        <w:t>南山街道非经营性国储用地日常管理服务</w:t>
      </w:r>
    </w:p>
    <w:p>
      <w:pPr>
        <w:pStyle w:val="17"/>
        <w:spacing w:line="360" w:lineRule="auto"/>
        <w:rPr>
          <w:rFonts w:ascii="仿宋_GB2312" w:eastAsia="仿宋_GB2312"/>
          <w:b/>
          <w:color w:val="auto"/>
          <w:sz w:val="32"/>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napToGrid w:val="0"/>
        <w:spacing w:line="360" w:lineRule="auto"/>
        <w:jc w:val="center"/>
        <w:rPr>
          <w:rFonts w:ascii="黑体" w:hAnsi="华文中宋" w:eastAsia="黑体" w:cs="华文中宋"/>
          <w:color w:val="auto"/>
          <w:sz w:val="30"/>
          <w:szCs w:val="30"/>
          <w:highlight w:val="none"/>
        </w:rPr>
      </w:pPr>
    </w:p>
    <w:p>
      <w:pPr>
        <w:spacing w:line="360" w:lineRule="auto"/>
        <w:jc w:val="center"/>
        <w:rPr>
          <w:rFonts w:ascii="宋体" w:hAnsi="宋体"/>
          <w:b/>
          <w:color w:val="auto"/>
          <w:sz w:val="44"/>
          <w:szCs w:val="44"/>
          <w:highlight w:val="none"/>
        </w:rPr>
        <w:sectPr>
          <w:headerReference r:id="rId3" w:type="default"/>
          <w:footerReference r:id="rId4" w:type="default"/>
          <w:pgSz w:w="11906" w:h="16838"/>
          <w:pgMar w:top="1440" w:right="1286" w:bottom="1440" w:left="1440" w:header="851" w:footer="992" w:gutter="0"/>
          <w:cols w:space="720" w:num="1"/>
          <w:docGrid w:type="lines" w:linePitch="312" w:charSpace="0"/>
        </w:sectPr>
      </w:pPr>
      <w:r>
        <w:rPr>
          <w:rFonts w:hint="eastAsia" w:ascii="黑体" w:hAnsi="华文中宋" w:eastAsia="黑体" w:cs="华文中宋"/>
          <w:color w:val="auto"/>
          <w:sz w:val="30"/>
          <w:szCs w:val="30"/>
          <w:highlight w:val="none"/>
        </w:rPr>
        <w:t>2024年0</w:t>
      </w:r>
      <w:r>
        <w:rPr>
          <w:rFonts w:hint="eastAsia" w:ascii="黑体" w:hAnsi="华文中宋" w:eastAsia="黑体" w:cs="华文中宋"/>
          <w:color w:val="auto"/>
          <w:sz w:val="30"/>
          <w:szCs w:val="30"/>
          <w:highlight w:val="none"/>
          <w:lang w:val="en-US" w:eastAsia="zh-CN"/>
        </w:rPr>
        <w:t>9</w:t>
      </w:r>
      <w:r>
        <w:rPr>
          <w:rFonts w:ascii="黑体" w:hAnsi="华文中宋" w:eastAsia="黑体" w:cs="华文中宋"/>
          <w:color w:val="auto"/>
          <w:sz w:val="30"/>
          <w:szCs w:val="30"/>
          <w:highlight w:val="none"/>
        </w:rPr>
        <w:t>月</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28"/>
        <w:tabs>
          <w:tab w:val="right" w:leader="dot" w:pos="9170"/>
        </w:tabs>
        <w:rPr>
          <w:rFonts w:asciiTheme="minorHAnsi" w:hAnsiTheme="minorHAnsi" w:eastAsiaTheme="minorEastAsia" w:cstheme="minorBidi"/>
          <w:b w:val="0"/>
          <w:bCs w:val="0"/>
          <w:caps w:val="0"/>
          <w:color w:val="auto"/>
          <w:szCs w:val="22"/>
          <w:highlight w:val="none"/>
        </w:rPr>
      </w:pPr>
      <w:bookmarkStart w:id="0" w:name="_Toc435514842"/>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"1-2"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"_Toc77947870" </w:instrText>
      </w:r>
      <w:r>
        <w:rPr>
          <w:color w:val="auto"/>
          <w:highlight w:val="none"/>
        </w:rPr>
        <w:fldChar w:fldCharType="separate"/>
      </w:r>
      <w:r>
        <w:rPr>
          <w:rStyle w:val="44"/>
          <w:rFonts w:asciiTheme="majorEastAsia" w:hAnsiTheme="majorEastAsia" w:eastAsiaTheme="majorEastAsia" w:cstheme="majorEastAsia"/>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_Toc77947870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8"/>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"_Toc77947871" </w:instrText>
      </w:r>
      <w:r>
        <w:rPr>
          <w:color w:val="auto"/>
          <w:highlight w:val="none"/>
        </w:rPr>
        <w:fldChar w:fldCharType="separate"/>
      </w:r>
      <w:r>
        <w:rPr>
          <w:rStyle w:val="44"/>
          <w:rFonts w:asciiTheme="majorEastAsia" w:hAnsiTheme="majorEastAsia" w:eastAsiaTheme="majorEastAsia" w:cstheme="majorEastAsia"/>
          <w:color w:val="auto"/>
          <w:highlight w:val="none"/>
        </w:rPr>
        <w:t>第二章 投标资料表</w:t>
      </w:r>
      <w:r>
        <w:rPr>
          <w:color w:val="auto"/>
          <w:highlight w:val="none"/>
        </w:rPr>
        <w:tab/>
      </w:r>
      <w:r>
        <w:rPr>
          <w:color w:val="auto"/>
          <w:highlight w:val="none"/>
        </w:rPr>
        <w:fldChar w:fldCharType="begin"/>
      </w:r>
      <w:r>
        <w:rPr>
          <w:color w:val="auto"/>
          <w:highlight w:val="none"/>
        </w:rPr>
        <w:instrText xml:space="preserve"> PAGEREF _Toc77947871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8"/>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"_Toc77947872" </w:instrText>
      </w:r>
      <w:r>
        <w:rPr>
          <w:color w:val="auto"/>
          <w:highlight w:val="none"/>
        </w:rPr>
        <w:fldChar w:fldCharType="separate"/>
      </w:r>
      <w:r>
        <w:rPr>
          <w:rStyle w:val="44"/>
          <w:rFonts w:asciiTheme="majorEastAsia" w:hAnsiTheme="majorEastAsia" w:eastAsiaTheme="majorEastAsia" w:cstheme="majorEastAsia"/>
          <w:color w:val="auto"/>
          <w:highlight w:val="none"/>
        </w:rPr>
        <w:t>第三章 用户需求书</w:t>
      </w:r>
      <w:r>
        <w:rPr>
          <w:color w:val="auto"/>
          <w:highlight w:val="none"/>
        </w:rPr>
        <w:tab/>
      </w:r>
      <w:r>
        <w:rPr>
          <w:color w:val="auto"/>
          <w:highlight w:val="none"/>
        </w:rPr>
        <w:fldChar w:fldCharType="begin"/>
      </w:r>
      <w:r>
        <w:rPr>
          <w:color w:val="auto"/>
          <w:highlight w:val="none"/>
        </w:rPr>
        <w:instrText xml:space="preserve"> PAGEREF _Toc77947872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8"/>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"_Toc77947873" </w:instrText>
      </w:r>
      <w:r>
        <w:rPr>
          <w:color w:val="auto"/>
          <w:highlight w:val="none"/>
        </w:rPr>
        <w:fldChar w:fldCharType="separate"/>
      </w:r>
      <w:r>
        <w:rPr>
          <w:rStyle w:val="44"/>
          <w:rFonts w:asciiTheme="majorEastAsia" w:hAnsiTheme="majorEastAsia" w:eastAsiaTheme="majorEastAsia" w:cstheme="majorEastAsia"/>
          <w:color w:val="auto"/>
          <w:highlight w:val="none"/>
        </w:rPr>
        <w:t>第四章 评标、定标</w:t>
      </w:r>
      <w:r>
        <w:rPr>
          <w:color w:val="auto"/>
          <w:highlight w:val="none"/>
        </w:rPr>
        <w:tab/>
      </w:r>
      <w:r>
        <w:rPr>
          <w:color w:val="auto"/>
          <w:highlight w:val="none"/>
        </w:rPr>
        <w:fldChar w:fldCharType="begin"/>
      </w:r>
      <w:r>
        <w:rPr>
          <w:color w:val="auto"/>
          <w:highlight w:val="none"/>
        </w:rPr>
        <w:instrText xml:space="preserve"> PAGEREF _Toc77947873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"_Toc77947874" </w:instrText>
      </w:r>
      <w:r>
        <w:rPr>
          <w:color w:val="auto"/>
          <w:highlight w:val="none"/>
        </w:rPr>
        <w:fldChar w:fldCharType="separate"/>
      </w:r>
      <w:r>
        <w:rPr>
          <w:rStyle w:val="44"/>
          <w:rFonts w:asciiTheme="majorEastAsia" w:hAnsiTheme="majorEastAsia" w:eastAsiaTheme="majorEastAsia"/>
          <w:color w:val="auto"/>
          <w:highlight w:val="none"/>
        </w:rPr>
        <w:t>（一）</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资格性审查表</w:t>
      </w:r>
      <w:r>
        <w:rPr>
          <w:color w:val="auto"/>
          <w:highlight w:val="none"/>
        </w:rPr>
        <w:tab/>
      </w:r>
      <w:r>
        <w:rPr>
          <w:color w:val="auto"/>
          <w:highlight w:val="none"/>
        </w:rPr>
        <w:fldChar w:fldCharType="begin"/>
      </w:r>
      <w:r>
        <w:rPr>
          <w:color w:val="auto"/>
          <w:highlight w:val="none"/>
        </w:rPr>
        <w:instrText xml:space="preserve"> PAGEREF _Toc77947874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"_Toc77947875" </w:instrText>
      </w:r>
      <w:r>
        <w:rPr>
          <w:color w:val="auto"/>
          <w:highlight w:val="none"/>
        </w:rPr>
        <w:fldChar w:fldCharType="separate"/>
      </w:r>
      <w:r>
        <w:rPr>
          <w:rStyle w:val="44"/>
          <w:rFonts w:asciiTheme="majorEastAsia" w:hAnsiTheme="majorEastAsia" w:eastAsiaTheme="majorEastAsia"/>
          <w:color w:val="auto"/>
          <w:highlight w:val="none"/>
        </w:rPr>
        <w:t>（二）</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符合性审查表</w:t>
      </w:r>
      <w:r>
        <w:rPr>
          <w:color w:val="auto"/>
          <w:highlight w:val="none"/>
        </w:rPr>
        <w:tab/>
      </w:r>
      <w:r>
        <w:rPr>
          <w:color w:val="auto"/>
          <w:highlight w:val="none"/>
        </w:rPr>
        <w:fldChar w:fldCharType="begin"/>
      </w:r>
      <w:r>
        <w:rPr>
          <w:color w:val="auto"/>
          <w:highlight w:val="none"/>
        </w:rPr>
        <w:instrText xml:space="preserve"> PAGEREF _Toc77947875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"_Toc77947876" </w:instrText>
      </w:r>
      <w:r>
        <w:rPr>
          <w:color w:val="auto"/>
          <w:highlight w:val="none"/>
        </w:rPr>
        <w:fldChar w:fldCharType="separate"/>
      </w:r>
      <w:r>
        <w:rPr>
          <w:rStyle w:val="44"/>
          <w:rFonts w:ascii="黑体" w:hAnsi="宋体" w:cs="宋体"/>
          <w:color w:val="auto"/>
          <w:highlight w:val="none"/>
        </w:rPr>
        <w:t>（三）</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综合评分表</w:t>
      </w:r>
      <w:r>
        <w:rPr>
          <w:color w:val="auto"/>
          <w:highlight w:val="none"/>
        </w:rPr>
        <w:tab/>
      </w:r>
      <w:r>
        <w:rPr>
          <w:color w:val="auto"/>
          <w:highlight w:val="none"/>
        </w:rPr>
        <w:fldChar w:fldCharType="begin"/>
      </w:r>
      <w:r>
        <w:rPr>
          <w:color w:val="auto"/>
          <w:highlight w:val="none"/>
        </w:rPr>
        <w:instrText xml:space="preserve"> PAGEREF _Toc77947876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"_Toc77947877" </w:instrText>
      </w:r>
      <w:r>
        <w:rPr>
          <w:color w:val="auto"/>
          <w:highlight w:val="none"/>
        </w:rPr>
        <w:fldChar w:fldCharType="separate"/>
      </w:r>
      <w:r>
        <w:rPr>
          <w:rStyle w:val="44"/>
          <w:rFonts w:asciiTheme="majorEastAsia" w:hAnsiTheme="majorEastAsia" w:eastAsiaTheme="majorEastAsia"/>
          <w:color w:val="auto"/>
          <w:highlight w:val="none"/>
        </w:rPr>
        <w:t>（四）</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评标</w:t>
      </w:r>
      <w:r>
        <w:rPr>
          <w:rStyle w:val="44"/>
          <w:rFonts w:hint="eastAsia" w:asciiTheme="majorEastAsia" w:hAnsiTheme="majorEastAsia" w:eastAsiaTheme="majorEastAsia"/>
          <w:color w:val="auto"/>
          <w:highlight w:val="none"/>
        </w:rPr>
        <w:t>与定标</w:t>
      </w:r>
      <w:r>
        <w:rPr>
          <w:color w:val="auto"/>
          <w:highlight w:val="none"/>
        </w:rPr>
        <w:tab/>
      </w:r>
      <w:r>
        <w:rPr>
          <w:color w:val="auto"/>
          <w:highlight w:val="none"/>
        </w:rPr>
        <w:fldChar w:fldCharType="begin"/>
      </w:r>
      <w:r>
        <w:rPr>
          <w:color w:val="auto"/>
          <w:highlight w:val="none"/>
        </w:rPr>
        <w:instrText xml:space="preserve"> PAGEREF _Toc77947877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8"/>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"_Toc77947878" </w:instrText>
      </w:r>
      <w:r>
        <w:rPr>
          <w:color w:val="auto"/>
          <w:highlight w:val="none"/>
        </w:rPr>
        <w:fldChar w:fldCharType="separate"/>
      </w:r>
      <w:r>
        <w:rPr>
          <w:rStyle w:val="44"/>
          <w:color w:val="auto"/>
          <w:highlight w:val="none"/>
        </w:rPr>
        <w:t>第五章 合同文本</w:t>
      </w:r>
      <w:r>
        <w:rPr>
          <w:rStyle w:val="44"/>
          <w:rFonts w:ascii="宋体" w:hAnsi="宋体" w:cs="宋体"/>
          <w:color w:val="auto"/>
          <w:highlight w:val="none"/>
        </w:rPr>
        <w:t>（仅供参考）</w:t>
      </w:r>
      <w:r>
        <w:rPr>
          <w:color w:val="auto"/>
          <w:highlight w:val="none"/>
        </w:rPr>
        <w:tab/>
      </w:r>
      <w:r>
        <w:rPr>
          <w:color w:val="auto"/>
          <w:highlight w:val="none"/>
        </w:rPr>
        <w:fldChar w:fldCharType="begin"/>
      </w:r>
      <w:r>
        <w:rPr>
          <w:color w:val="auto"/>
          <w:highlight w:val="none"/>
        </w:rPr>
        <w:instrText xml:space="preserve"> PAGEREF _Toc77947878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8"/>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"_Toc77947879" </w:instrText>
      </w:r>
      <w:r>
        <w:rPr>
          <w:color w:val="auto"/>
          <w:highlight w:val="none"/>
        </w:rPr>
        <w:fldChar w:fldCharType="separate"/>
      </w:r>
      <w:r>
        <w:rPr>
          <w:rStyle w:val="44"/>
          <w:rFonts w:asciiTheme="majorEastAsia" w:hAnsiTheme="majorEastAsia" w:eastAsiaTheme="majorEastAsia" w:cstheme="major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_Toc77947879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"_Toc77947880" </w:instrText>
      </w:r>
      <w:r>
        <w:rPr>
          <w:color w:val="auto"/>
          <w:highlight w:val="none"/>
        </w:rPr>
        <w:fldChar w:fldCharType="separate"/>
      </w:r>
      <w:r>
        <w:rPr>
          <w:rStyle w:val="44"/>
          <w:rFonts w:asciiTheme="majorEastAsia" w:hAnsiTheme="majorEastAsia" w:eastAsiaTheme="majorEastAsia"/>
          <w:color w:val="auto"/>
          <w:highlight w:val="none"/>
        </w:rPr>
        <w:t>（一）</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投标文件包装封面参考</w:t>
      </w:r>
      <w:r>
        <w:rPr>
          <w:color w:val="auto"/>
          <w:highlight w:val="none"/>
        </w:rPr>
        <w:tab/>
      </w:r>
      <w:r>
        <w:rPr>
          <w:color w:val="auto"/>
          <w:highlight w:val="none"/>
        </w:rPr>
        <w:fldChar w:fldCharType="begin"/>
      </w:r>
      <w:r>
        <w:rPr>
          <w:color w:val="auto"/>
          <w:highlight w:val="none"/>
        </w:rPr>
        <w:instrText xml:space="preserve"> PAGEREF _Toc77947880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"_Toc77947881" </w:instrText>
      </w:r>
      <w:r>
        <w:rPr>
          <w:color w:val="auto"/>
          <w:highlight w:val="none"/>
        </w:rPr>
        <w:fldChar w:fldCharType="separate"/>
      </w:r>
      <w:r>
        <w:rPr>
          <w:rStyle w:val="44"/>
          <w:rFonts w:asciiTheme="majorEastAsia" w:hAnsiTheme="majorEastAsia" w:eastAsiaTheme="majorEastAsia"/>
          <w:color w:val="auto"/>
          <w:highlight w:val="none"/>
        </w:rPr>
        <w:t>（二）</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营业执照等资质文件</w:t>
      </w:r>
      <w:r>
        <w:rPr>
          <w:color w:val="auto"/>
          <w:highlight w:val="none"/>
        </w:rPr>
        <w:tab/>
      </w:r>
      <w:r>
        <w:rPr>
          <w:color w:val="auto"/>
          <w:highlight w:val="none"/>
        </w:rPr>
        <w:fldChar w:fldCharType="begin"/>
      </w:r>
      <w:r>
        <w:rPr>
          <w:color w:val="auto"/>
          <w:highlight w:val="none"/>
        </w:rPr>
        <w:instrText xml:space="preserve"> PAGEREF _Toc77947881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"_Toc77947882" </w:instrText>
      </w:r>
      <w:r>
        <w:rPr>
          <w:color w:val="auto"/>
          <w:highlight w:val="none"/>
        </w:rPr>
        <w:fldChar w:fldCharType="separate"/>
      </w:r>
      <w:r>
        <w:rPr>
          <w:rStyle w:val="44"/>
          <w:color w:val="auto"/>
          <w:highlight w:val="none"/>
        </w:rPr>
        <w:t>（三）</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_Toc77947882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"_Toc77947883" </w:instrText>
      </w:r>
      <w:r>
        <w:rPr>
          <w:color w:val="auto"/>
          <w:highlight w:val="none"/>
        </w:rPr>
        <w:fldChar w:fldCharType="separate"/>
      </w:r>
      <w:r>
        <w:rPr>
          <w:rStyle w:val="44"/>
          <w:rFonts w:asciiTheme="majorEastAsia" w:hAnsiTheme="majorEastAsia" w:eastAsiaTheme="majorEastAsia"/>
          <w:color w:val="auto"/>
          <w:highlight w:val="none"/>
        </w:rPr>
        <w:t>（四）</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投标人资格声明函</w:t>
      </w:r>
      <w:r>
        <w:rPr>
          <w:color w:val="auto"/>
          <w:highlight w:val="none"/>
        </w:rPr>
        <w:tab/>
      </w:r>
      <w:r>
        <w:rPr>
          <w:color w:val="auto"/>
          <w:highlight w:val="none"/>
        </w:rPr>
        <w:fldChar w:fldCharType="begin"/>
      </w:r>
      <w:r>
        <w:rPr>
          <w:color w:val="auto"/>
          <w:highlight w:val="none"/>
        </w:rPr>
        <w:instrText xml:space="preserve"> PAGEREF _Toc77947883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"_Toc77947884" </w:instrText>
      </w:r>
      <w:r>
        <w:rPr>
          <w:color w:val="auto"/>
          <w:highlight w:val="none"/>
        </w:rPr>
        <w:fldChar w:fldCharType="separate"/>
      </w:r>
      <w:r>
        <w:rPr>
          <w:rStyle w:val="44"/>
          <w:rFonts w:asciiTheme="majorEastAsia" w:hAnsiTheme="majorEastAsia" w:eastAsiaTheme="majorEastAsia"/>
          <w:color w:val="auto"/>
          <w:highlight w:val="none"/>
        </w:rPr>
        <w:t>（五）</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公章对投标专用章授权说明</w:t>
      </w:r>
      <w:r>
        <w:rPr>
          <w:color w:val="auto"/>
          <w:highlight w:val="none"/>
        </w:rPr>
        <w:tab/>
      </w:r>
      <w:r>
        <w:rPr>
          <w:color w:val="auto"/>
          <w:highlight w:val="none"/>
        </w:rPr>
        <w:fldChar w:fldCharType="begin"/>
      </w:r>
      <w:r>
        <w:rPr>
          <w:color w:val="auto"/>
          <w:highlight w:val="none"/>
        </w:rPr>
        <w:instrText xml:space="preserve"> PAGEREF _Toc77947884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"_Toc77947885" </w:instrText>
      </w:r>
      <w:r>
        <w:rPr>
          <w:color w:val="auto"/>
          <w:highlight w:val="none"/>
        </w:rPr>
        <w:fldChar w:fldCharType="separate"/>
      </w:r>
      <w:r>
        <w:rPr>
          <w:rStyle w:val="44"/>
          <w:rFonts w:asciiTheme="majorEastAsia" w:hAnsiTheme="majorEastAsia" w:eastAsiaTheme="majorEastAsia"/>
          <w:color w:val="auto"/>
          <w:highlight w:val="none"/>
        </w:rPr>
        <w:t>（六）</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_Toc77947885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"_Toc77947886" </w:instrText>
      </w:r>
      <w:r>
        <w:rPr>
          <w:color w:val="auto"/>
          <w:highlight w:val="none"/>
        </w:rPr>
        <w:fldChar w:fldCharType="separate"/>
      </w:r>
      <w:r>
        <w:rPr>
          <w:rStyle w:val="44"/>
          <w:rFonts w:asciiTheme="majorEastAsia" w:hAnsiTheme="majorEastAsia" w:eastAsiaTheme="majorEastAsia"/>
          <w:color w:val="auto"/>
          <w:highlight w:val="none"/>
        </w:rPr>
        <w:t>（七）</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法定代表人证明书</w:t>
      </w:r>
      <w:r>
        <w:rPr>
          <w:color w:val="auto"/>
          <w:highlight w:val="none"/>
        </w:rPr>
        <w:tab/>
      </w:r>
      <w:r>
        <w:rPr>
          <w:color w:val="auto"/>
          <w:highlight w:val="none"/>
        </w:rPr>
        <w:fldChar w:fldCharType="begin"/>
      </w:r>
      <w:r>
        <w:rPr>
          <w:color w:val="auto"/>
          <w:highlight w:val="none"/>
        </w:rPr>
        <w:instrText xml:space="preserve"> PAGEREF _Toc77947886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"_Toc77947887" </w:instrText>
      </w:r>
      <w:r>
        <w:rPr>
          <w:color w:val="auto"/>
          <w:highlight w:val="none"/>
        </w:rPr>
        <w:fldChar w:fldCharType="separate"/>
      </w:r>
      <w:r>
        <w:rPr>
          <w:rStyle w:val="44"/>
          <w:rFonts w:asciiTheme="majorEastAsia" w:hAnsiTheme="majorEastAsia" w:eastAsiaTheme="majorEastAsia"/>
          <w:color w:val="auto"/>
          <w:highlight w:val="none"/>
        </w:rPr>
        <w:t>（八）</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rPr>
        <w:t>用户需求书条款响应一览表</w:t>
      </w:r>
      <w:r>
        <w:rPr>
          <w:color w:val="auto"/>
          <w:highlight w:val="none"/>
        </w:rPr>
        <w:tab/>
      </w:r>
      <w:r>
        <w:rPr>
          <w:color w:val="auto"/>
          <w:highlight w:val="none"/>
        </w:rPr>
        <w:fldChar w:fldCharType="begin"/>
      </w:r>
      <w:r>
        <w:rPr>
          <w:color w:val="auto"/>
          <w:highlight w:val="none"/>
        </w:rPr>
        <w:instrText xml:space="preserve"> PAGEREF _Toc77947887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8"/>
        <w:tabs>
          <w:tab w:val="right" w:leader="dot" w:pos="9170"/>
        </w:tabs>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"_Toc77947888" </w:instrText>
      </w:r>
      <w:r>
        <w:rPr>
          <w:color w:val="auto"/>
          <w:highlight w:val="none"/>
        </w:rPr>
        <w:fldChar w:fldCharType="separate"/>
      </w:r>
      <w:r>
        <w:rPr>
          <w:rStyle w:val="44"/>
          <w:rFonts w:asciiTheme="majorEastAsia" w:hAnsiTheme="majorEastAsia" w:eastAsiaTheme="majorEastAsia" w:cstheme="majorEastAsia"/>
          <w:color w:val="auto"/>
          <w:highlight w:val="none"/>
        </w:rPr>
        <w:t>第七章 投标人须知</w:t>
      </w:r>
      <w:r>
        <w:rPr>
          <w:color w:val="auto"/>
          <w:highlight w:val="none"/>
        </w:rPr>
        <w:tab/>
      </w:r>
      <w:r>
        <w:rPr>
          <w:color w:val="auto"/>
          <w:highlight w:val="none"/>
        </w:rPr>
        <w:fldChar w:fldCharType="begin"/>
      </w:r>
      <w:r>
        <w:rPr>
          <w:color w:val="auto"/>
          <w:highlight w:val="none"/>
        </w:rPr>
        <w:instrText xml:space="preserve"> PAGEREF _Toc77947888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"_Toc77947889" </w:instrText>
      </w:r>
      <w:r>
        <w:rPr>
          <w:color w:val="auto"/>
          <w:highlight w:val="none"/>
        </w:rPr>
        <w:fldChar w:fldCharType="separate"/>
      </w:r>
      <w:r>
        <w:rPr>
          <w:rStyle w:val="44"/>
          <w:rFonts w:asciiTheme="majorEastAsia" w:hAnsiTheme="majorEastAsia" w:eastAsiaTheme="majorEastAsia"/>
          <w:color w:val="auto"/>
          <w:highlight w:val="none"/>
        </w:rPr>
        <w:t>（一）</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lang w:eastAsia="zh-TW"/>
        </w:rPr>
        <w:t>说 明</w:t>
      </w:r>
      <w:r>
        <w:rPr>
          <w:color w:val="auto"/>
          <w:highlight w:val="none"/>
        </w:rPr>
        <w:tab/>
      </w:r>
      <w:r>
        <w:rPr>
          <w:color w:val="auto"/>
          <w:highlight w:val="none"/>
        </w:rPr>
        <w:fldChar w:fldCharType="begin"/>
      </w:r>
      <w:r>
        <w:rPr>
          <w:color w:val="auto"/>
          <w:highlight w:val="none"/>
        </w:rPr>
        <w:instrText xml:space="preserve"> PAGEREF _Toc77947889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"_Toc77947890" </w:instrText>
      </w:r>
      <w:r>
        <w:rPr>
          <w:color w:val="auto"/>
          <w:highlight w:val="none"/>
        </w:rPr>
        <w:fldChar w:fldCharType="separate"/>
      </w:r>
      <w:r>
        <w:rPr>
          <w:rStyle w:val="44"/>
          <w:rFonts w:asciiTheme="majorEastAsia" w:hAnsiTheme="majorEastAsia" w:eastAsiaTheme="majorEastAsia"/>
          <w:color w:val="auto"/>
          <w:highlight w:val="none"/>
          <w:lang w:eastAsia="zh-TW"/>
        </w:rPr>
        <w:t>（二）</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lang w:eastAsia="zh-TW"/>
        </w:rPr>
        <w:t>招标文件</w:t>
      </w:r>
      <w:r>
        <w:rPr>
          <w:color w:val="auto"/>
          <w:highlight w:val="none"/>
        </w:rPr>
        <w:tab/>
      </w:r>
      <w:r>
        <w:rPr>
          <w:color w:val="auto"/>
          <w:highlight w:val="none"/>
        </w:rPr>
        <w:fldChar w:fldCharType="begin"/>
      </w:r>
      <w:r>
        <w:rPr>
          <w:color w:val="auto"/>
          <w:highlight w:val="none"/>
        </w:rPr>
        <w:instrText xml:space="preserve"> PAGEREF _Toc77947890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"_Toc77947891" </w:instrText>
      </w:r>
      <w:r>
        <w:rPr>
          <w:color w:val="auto"/>
          <w:highlight w:val="none"/>
        </w:rPr>
        <w:fldChar w:fldCharType="separate"/>
      </w:r>
      <w:r>
        <w:rPr>
          <w:rStyle w:val="44"/>
          <w:rFonts w:asciiTheme="majorEastAsia" w:hAnsiTheme="majorEastAsia" w:eastAsiaTheme="majorEastAsia"/>
          <w:color w:val="auto"/>
          <w:highlight w:val="none"/>
          <w:lang w:eastAsia="zh-TW"/>
        </w:rPr>
        <w:t>（三）</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lang w:eastAsia="zh-TW"/>
        </w:rPr>
        <w:t>投标文件的编制</w:t>
      </w:r>
      <w:r>
        <w:rPr>
          <w:color w:val="auto"/>
          <w:highlight w:val="none"/>
        </w:rPr>
        <w:tab/>
      </w:r>
      <w:r>
        <w:rPr>
          <w:color w:val="auto"/>
          <w:highlight w:val="none"/>
        </w:rPr>
        <w:fldChar w:fldCharType="begin"/>
      </w:r>
      <w:r>
        <w:rPr>
          <w:color w:val="auto"/>
          <w:highlight w:val="none"/>
        </w:rPr>
        <w:instrText xml:space="preserve"> PAGEREF _Toc77947891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"_Toc77947892" </w:instrText>
      </w:r>
      <w:r>
        <w:rPr>
          <w:color w:val="auto"/>
          <w:highlight w:val="none"/>
        </w:rPr>
        <w:fldChar w:fldCharType="separate"/>
      </w:r>
      <w:r>
        <w:rPr>
          <w:rStyle w:val="44"/>
          <w:rFonts w:asciiTheme="majorEastAsia" w:hAnsiTheme="majorEastAsia" w:eastAsiaTheme="majorEastAsia"/>
          <w:color w:val="auto"/>
          <w:highlight w:val="none"/>
          <w:lang w:eastAsia="zh-TW"/>
        </w:rPr>
        <w:t>（四）</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lang w:eastAsia="zh-TW"/>
        </w:rPr>
        <w:t>投标文件的递交</w:t>
      </w:r>
      <w:r>
        <w:rPr>
          <w:color w:val="auto"/>
          <w:highlight w:val="none"/>
        </w:rPr>
        <w:tab/>
      </w:r>
      <w:r>
        <w:rPr>
          <w:color w:val="auto"/>
          <w:highlight w:val="none"/>
        </w:rPr>
        <w:fldChar w:fldCharType="begin"/>
      </w:r>
      <w:r>
        <w:rPr>
          <w:color w:val="auto"/>
          <w:highlight w:val="none"/>
        </w:rPr>
        <w:instrText xml:space="preserve"> PAGEREF _Toc77947892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32"/>
        <w:tabs>
          <w:tab w:val="left" w:pos="1260"/>
          <w:tab w:val="right" w:leader="dot" w:pos="9170"/>
        </w:tabs>
        <w:rPr>
          <w:rFonts w:asciiTheme="minorHAnsi" w:hAnsiTheme="minorHAnsi" w:eastAsiaTheme="minorEastAsia" w:cstheme="minorBidi"/>
          <w:smallCaps w:val="0"/>
          <w:color w:val="auto"/>
          <w:szCs w:val="22"/>
          <w:highlight w:val="none"/>
        </w:rPr>
      </w:pPr>
      <w:r>
        <w:rPr>
          <w:color w:val="auto"/>
          <w:highlight w:val="none"/>
        </w:rPr>
        <w:fldChar w:fldCharType="begin"/>
      </w:r>
      <w:r>
        <w:rPr>
          <w:color w:val="auto"/>
          <w:highlight w:val="none"/>
        </w:rPr>
        <w:instrText xml:space="preserve"> HYPERLINK \l "_Toc77947893" </w:instrText>
      </w:r>
      <w:r>
        <w:rPr>
          <w:color w:val="auto"/>
          <w:highlight w:val="none"/>
        </w:rPr>
        <w:fldChar w:fldCharType="separate"/>
      </w:r>
      <w:r>
        <w:rPr>
          <w:rStyle w:val="44"/>
          <w:rFonts w:asciiTheme="majorEastAsia" w:hAnsiTheme="majorEastAsia" w:eastAsiaTheme="majorEastAsia"/>
          <w:color w:val="auto"/>
          <w:highlight w:val="none"/>
          <w:lang w:eastAsia="zh-TW"/>
        </w:rPr>
        <w:t>（五）</w:t>
      </w:r>
      <w:r>
        <w:rPr>
          <w:rFonts w:asciiTheme="minorHAnsi" w:hAnsiTheme="minorHAnsi" w:eastAsiaTheme="minorEastAsia" w:cstheme="minorBidi"/>
          <w:smallCaps w:val="0"/>
          <w:color w:val="auto"/>
          <w:szCs w:val="22"/>
          <w:highlight w:val="none"/>
        </w:rPr>
        <w:tab/>
      </w:r>
      <w:r>
        <w:rPr>
          <w:rStyle w:val="44"/>
          <w:rFonts w:asciiTheme="majorEastAsia" w:hAnsiTheme="majorEastAsia" w:eastAsiaTheme="majorEastAsia"/>
          <w:color w:val="auto"/>
          <w:highlight w:val="none"/>
          <w:lang w:eastAsia="zh-TW"/>
        </w:rPr>
        <w:t>授予合同</w:t>
      </w:r>
      <w:r>
        <w:rPr>
          <w:color w:val="auto"/>
          <w:highlight w:val="none"/>
        </w:rPr>
        <w:tab/>
      </w:r>
      <w:r>
        <w:rPr>
          <w:color w:val="auto"/>
          <w:highlight w:val="none"/>
        </w:rPr>
        <w:fldChar w:fldCharType="begin"/>
      </w:r>
      <w:r>
        <w:rPr>
          <w:color w:val="auto"/>
          <w:highlight w:val="none"/>
        </w:rPr>
        <w:instrText xml:space="preserve"> PAGEREF _Toc77947893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widowControl/>
        <w:jc w:val="left"/>
        <w:rPr>
          <w:rFonts w:ascii="宋体" w:hAnsi="宋体" w:cs="宋体"/>
          <w:b/>
          <w:bCs/>
          <w:color w:val="auto"/>
          <w:sz w:val="28"/>
          <w:szCs w:val="28"/>
          <w:highlight w:val="none"/>
        </w:rPr>
      </w:pPr>
      <w:r>
        <w:rPr>
          <w:rFonts w:hint="eastAsia" w:ascii="宋体" w:hAnsi="宋体" w:cs="宋体"/>
          <w:bCs/>
          <w:color w:val="auto"/>
          <w:szCs w:val="28"/>
          <w:highlight w:val="none"/>
        </w:rPr>
        <w:fldChar w:fldCharType="end"/>
      </w:r>
    </w:p>
    <w:p>
      <w:pPr>
        <w:widowControl/>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jc w:val="center"/>
        <w:rPr>
          <w:rFonts w:asciiTheme="majorEastAsia" w:hAnsiTheme="majorEastAsia" w:eastAsiaTheme="majorEastAsia" w:cstheme="majorEastAsia"/>
          <w:color w:val="auto"/>
          <w:sz w:val="32"/>
          <w:szCs w:val="32"/>
          <w:highlight w:val="none"/>
        </w:rPr>
      </w:pPr>
      <w:bookmarkStart w:id="1" w:name="_Toc16797"/>
      <w:bookmarkStart w:id="2" w:name="_Toc8307299"/>
      <w:bookmarkStart w:id="3" w:name="_Toc21804"/>
      <w:bookmarkStart w:id="4" w:name="_Toc77947870"/>
      <w:bookmarkStart w:id="5" w:name="_Toc4815_WPSOffice_Level1"/>
      <w:r>
        <w:rPr>
          <w:rFonts w:hint="eastAsia" w:asciiTheme="majorEastAsia" w:hAnsiTheme="majorEastAsia" w:eastAsiaTheme="majorEastAsia" w:cstheme="majorEastAsia"/>
          <w:color w:val="auto"/>
          <w:sz w:val="32"/>
          <w:szCs w:val="32"/>
          <w:highlight w:val="none"/>
        </w:rPr>
        <w:t>第一章 投标邀请</w:t>
      </w:r>
      <w:bookmarkEnd w:id="0"/>
      <w:bookmarkEnd w:id="1"/>
      <w:bookmarkEnd w:id="2"/>
      <w:bookmarkEnd w:id="3"/>
      <w:bookmarkEnd w:id="4"/>
      <w:bookmarkEnd w:id="5"/>
    </w:p>
    <w:tbl>
      <w:tblPr>
        <w:tblStyle w:val="38"/>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kern w:val="0"/>
                <w:sz w:val="24"/>
                <w:szCs w:val="24"/>
                <w:highlight w:val="none"/>
              </w:rPr>
            </w:pPr>
            <w:bookmarkStart w:id="6" w:name="_Toc435514843"/>
            <w:bookmarkStart w:id="7" w:name="_Toc435115052"/>
            <w:r>
              <w:rPr>
                <w:rFonts w:hint="eastAsia" w:ascii="宋体" w:hAnsi="宋体"/>
                <w:b/>
                <w:bCs/>
                <w:color w:val="auto"/>
                <w:kern w:val="0"/>
                <w:sz w:val="24"/>
                <w:szCs w:val="24"/>
                <w:highlight w:val="none"/>
              </w:rPr>
              <w:t>项目概况</w:t>
            </w:r>
            <w:r>
              <w:rPr>
                <w:rFonts w:hint="eastAsia" w:ascii="宋体" w:hAnsi="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color w:val="auto"/>
                <w:kern w:val="0"/>
                <w:sz w:val="24"/>
                <w:szCs w:val="24"/>
                <w:highlight w:val="none"/>
              </w:rPr>
            </w:pPr>
            <w:r>
              <w:rPr>
                <w:rFonts w:hint="eastAsia" w:ascii="宋体" w:hAnsi="宋体"/>
                <w:b/>
                <w:color w:val="auto"/>
                <w:kern w:val="0"/>
                <w:sz w:val="24"/>
                <w:szCs w:val="24"/>
                <w:highlight w:val="none"/>
                <w:u w:val="single"/>
              </w:rPr>
              <w:t>南山街道非经营性国储用地日常管理服务</w:t>
            </w:r>
            <w:r>
              <w:rPr>
                <w:rFonts w:hint="eastAsia" w:ascii="宋体" w:hAnsi="宋体"/>
                <w:color w:val="auto"/>
                <w:kern w:val="0"/>
                <w:sz w:val="24"/>
                <w:szCs w:val="24"/>
                <w:highlight w:val="none"/>
              </w:rPr>
              <w:t>的潜在投标人应在</w:t>
            </w:r>
            <w:r>
              <w:rPr>
                <w:rFonts w:hint="eastAsia" w:ascii="宋体" w:hAnsi="宋体"/>
                <w:b/>
                <w:color w:val="auto"/>
                <w:kern w:val="0"/>
                <w:sz w:val="24"/>
                <w:szCs w:val="24"/>
                <w:highlight w:val="none"/>
                <w:u w:val="single"/>
              </w:rPr>
              <w:t>（本公告附件中）</w:t>
            </w:r>
            <w:r>
              <w:rPr>
                <w:rFonts w:hint="eastAsia" w:ascii="宋体" w:hAnsi="宋体"/>
                <w:color w:val="auto"/>
                <w:kern w:val="0"/>
                <w:sz w:val="24"/>
                <w:szCs w:val="24"/>
                <w:highlight w:val="none"/>
              </w:rPr>
              <w:t>获取采购文件，并于</w:t>
            </w:r>
            <w:r>
              <w:rPr>
                <w:rFonts w:hint="eastAsia" w:ascii="宋体" w:hAnsi="宋体"/>
                <w:b/>
                <w:color w:val="auto"/>
                <w:kern w:val="0"/>
                <w:sz w:val="24"/>
                <w:szCs w:val="24"/>
                <w:highlight w:val="none"/>
                <w:u w:val="single"/>
              </w:rPr>
              <w:t>2024年09月23日</w:t>
            </w:r>
            <w:r>
              <w:rPr>
                <w:rFonts w:hint="eastAsia" w:ascii="宋体" w:hAnsi="宋体"/>
                <w:b/>
                <w:bCs/>
                <w:color w:val="auto"/>
                <w:kern w:val="0"/>
                <w:sz w:val="24"/>
                <w:szCs w:val="24"/>
                <w:highlight w:val="none"/>
                <w:u w:val="single"/>
                <w:lang w:val="en-US" w:eastAsia="zh-CN"/>
              </w:rPr>
              <w:t>17</w:t>
            </w:r>
            <w:r>
              <w:rPr>
                <w:rFonts w:hint="eastAsia" w:ascii="宋体" w:hAnsi="宋体"/>
                <w:b/>
                <w:bCs/>
                <w:color w:val="auto"/>
                <w:kern w:val="0"/>
                <w:sz w:val="24"/>
                <w:szCs w:val="24"/>
                <w:highlight w:val="none"/>
                <w:u w:val="single"/>
              </w:rPr>
              <w:t>点</w:t>
            </w:r>
            <w:r>
              <w:rPr>
                <w:rFonts w:hint="eastAsia" w:ascii="宋体" w:hAnsi="宋体"/>
                <w:b/>
                <w:bCs/>
                <w:color w:val="auto"/>
                <w:kern w:val="0"/>
                <w:sz w:val="24"/>
                <w:szCs w:val="24"/>
                <w:highlight w:val="none"/>
                <w:u w:val="single"/>
                <w:lang w:val="en-US" w:eastAsia="zh-CN"/>
              </w:rPr>
              <w:t>30</w:t>
            </w:r>
            <w:r>
              <w:rPr>
                <w:rFonts w:hint="eastAsia" w:ascii="宋体" w:hAnsi="宋体"/>
                <w:b/>
                <w:bCs/>
                <w:color w:val="auto"/>
                <w:kern w:val="0"/>
                <w:sz w:val="24"/>
                <w:szCs w:val="24"/>
                <w:highlight w:val="none"/>
                <w:u w:val="single"/>
              </w:rPr>
              <w:t>分</w:t>
            </w:r>
            <w:r>
              <w:rPr>
                <w:rFonts w:hint="eastAsia" w:ascii="宋体" w:hAnsi="宋体"/>
                <w:bCs/>
                <w:color w:val="auto"/>
                <w:kern w:val="0"/>
                <w:sz w:val="24"/>
                <w:szCs w:val="24"/>
                <w:highlight w:val="none"/>
              </w:rPr>
              <w:t>（北京时间）前递交投标</w:t>
            </w:r>
            <w:r>
              <w:rPr>
                <w:rFonts w:ascii="宋体" w:hAnsi="宋体"/>
                <w:bCs/>
                <w:color w:val="auto"/>
                <w:kern w:val="0"/>
                <w:sz w:val="24"/>
                <w:szCs w:val="24"/>
                <w:highlight w:val="none"/>
              </w:rPr>
              <w:t>文件</w:t>
            </w:r>
            <w:r>
              <w:rPr>
                <w:rFonts w:hint="eastAsia" w:ascii="宋体" w:hAnsi="宋体"/>
                <w:bCs/>
                <w:color w:val="auto"/>
                <w:kern w:val="0"/>
                <w:sz w:val="24"/>
                <w:szCs w:val="24"/>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b/>
          <w:bCs/>
          <w:color w:val="auto"/>
          <w:sz w:val="24"/>
          <w:szCs w:val="24"/>
          <w:highlight w:val="none"/>
        </w:rPr>
      </w:pPr>
      <w:r>
        <w:rPr>
          <w:rFonts w:hint="eastAsia"/>
          <w:b/>
          <w:bCs/>
          <w:color w:val="auto"/>
          <w:sz w:val="24"/>
          <w:szCs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w:t>
      </w:r>
      <w:r>
        <w:rPr>
          <w:rFonts w:hint="eastAsia"/>
          <w:color w:val="auto"/>
          <w:sz w:val="24"/>
          <w:szCs w:val="24"/>
          <w:highlight w:val="none"/>
        </w:rPr>
        <w:t>项目编号：NSNSJD2024091001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w:t>
      </w:r>
      <w:r>
        <w:rPr>
          <w:rFonts w:hint="eastAsia"/>
          <w:color w:val="auto"/>
          <w:sz w:val="24"/>
          <w:szCs w:val="24"/>
          <w:highlight w:val="none"/>
        </w:rPr>
        <w:t>项目名称：南山街道非经营性国储用地日常管理服务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lang w:val="en-US" w:eastAsia="zh-CN"/>
        </w:rPr>
        <w:t>.</w:t>
      </w:r>
      <w:r>
        <w:rPr>
          <w:rFonts w:hint="eastAsia"/>
          <w:color w:val="auto"/>
          <w:sz w:val="24"/>
          <w:szCs w:val="24"/>
          <w:highlight w:val="none"/>
        </w:rPr>
        <w:t>预算上限金额：</w:t>
      </w:r>
      <w:r>
        <w:rPr>
          <w:rFonts w:hint="eastAsia"/>
          <w:color w:val="auto"/>
          <w:sz w:val="24"/>
          <w:szCs w:val="24"/>
          <w:highlight w:val="none"/>
          <w:lang w:val="en-US" w:eastAsia="zh-CN"/>
        </w:rPr>
        <w:t>98.00</w:t>
      </w:r>
      <w:r>
        <w:rPr>
          <w:rFonts w:hint="eastAsia"/>
          <w:color w:val="auto"/>
          <w:sz w:val="24"/>
          <w:szCs w:val="24"/>
          <w:highlight w:val="none"/>
        </w:rPr>
        <w:t>万元（¥</w:t>
      </w:r>
      <w:r>
        <w:rPr>
          <w:rFonts w:hint="eastAsia"/>
          <w:color w:val="auto"/>
          <w:sz w:val="24"/>
          <w:szCs w:val="24"/>
          <w:highlight w:val="none"/>
          <w:lang w:val="en-US" w:eastAsia="zh-CN"/>
        </w:rPr>
        <w:t>980000</w:t>
      </w:r>
      <w:r>
        <w:rPr>
          <w:color w:val="auto"/>
          <w:sz w:val="24"/>
          <w:szCs w:val="24"/>
          <w:highlight w:val="none"/>
        </w:rPr>
        <w:t>.00</w:t>
      </w:r>
      <w:r>
        <w:rPr>
          <w:rFonts w:hint="eastAsia"/>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b/>
          <w:bCs/>
          <w:color w:val="auto"/>
          <w:sz w:val="24"/>
          <w:szCs w:val="24"/>
          <w:highlight w:val="none"/>
        </w:rPr>
      </w:pPr>
      <w:r>
        <w:rPr>
          <w:rFonts w:hint="eastAsia"/>
          <w:b/>
          <w:bCs/>
          <w:color w:val="auto"/>
          <w:sz w:val="24"/>
          <w:szCs w:val="24"/>
          <w:highlight w:val="none"/>
        </w:rPr>
        <w:t>二、采购需求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auto"/>
          <w:sz w:val="24"/>
          <w:szCs w:val="24"/>
          <w:highlight w:val="none"/>
        </w:rPr>
      </w:pPr>
      <w:r>
        <w:rPr>
          <w:rFonts w:hint="eastAsia"/>
          <w:color w:val="auto"/>
          <w:sz w:val="24"/>
          <w:szCs w:val="24"/>
          <w:highlight w:val="none"/>
        </w:rPr>
        <w:t>详见招标文件中的“用户需求书”。</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b/>
          <w:bCs/>
          <w:color w:val="auto"/>
          <w:sz w:val="24"/>
          <w:szCs w:val="24"/>
          <w:highlight w:val="none"/>
        </w:rPr>
      </w:pPr>
      <w:r>
        <w:rPr>
          <w:rFonts w:hint="eastAsia"/>
          <w:b/>
          <w:bCs/>
          <w:color w:val="auto"/>
          <w:sz w:val="24"/>
          <w:szCs w:val="24"/>
          <w:highlight w:val="none"/>
        </w:rPr>
        <w:t>三、投标资格要求：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w:t>
      </w:r>
      <w:r>
        <w:rPr>
          <w:color w:val="auto"/>
          <w:sz w:val="24"/>
          <w:szCs w:val="24"/>
          <w:highlight w:val="none"/>
        </w:rPr>
        <w:t>具有独立法人资格或是具有独立承担民事责任能力的其它组织（提供营业执照或事业单位法人证书等证明资料扫描件</w:t>
      </w:r>
      <w:r>
        <w:rPr>
          <w:rFonts w:hint="eastAsia"/>
          <w:color w:val="auto"/>
          <w:sz w:val="24"/>
          <w:szCs w:val="24"/>
          <w:highlight w:val="none"/>
        </w:rPr>
        <w:t>加盖投标人公章</w:t>
      </w:r>
      <w:r>
        <w:rPr>
          <w:color w:val="auto"/>
          <w:sz w:val="24"/>
          <w:szCs w:val="24"/>
          <w:highlight w:val="none"/>
        </w:rPr>
        <w:t>，原件备查）；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color w:val="auto"/>
          <w:sz w:val="24"/>
          <w:szCs w:val="24"/>
          <w:highlight w:val="none"/>
        </w:rPr>
        <w:t>2</w:t>
      </w:r>
      <w:r>
        <w:rPr>
          <w:rFonts w:hint="eastAsia"/>
          <w:color w:val="auto"/>
          <w:sz w:val="24"/>
          <w:szCs w:val="24"/>
          <w:highlight w:val="none"/>
          <w:lang w:val="en-US" w:eastAsia="zh-CN"/>
        </w:rPr>
        <w:t>.</w:t>
      </w:r>
      <w:r>
        <w:rPr>
          <w:rFonts w:hint="eastAsia"/>
          <w:color w:val="auto"/>
          <w:sz w:val="24"/>
          <w:szCs w:val="24"/>
          <w:highlight w:val="none"/>
        </w:rPr>
        <w:t>以下部分</w:t>
      </w:r>
      <w:r>
        <w:rPr>
          <w:b/>
          <w:bCs/>
          <w:color w:val="auto"/>
          <w:sz w:val="24"/>
          <w:szCs w:val="24"/>
          <w:highlight w:val="none"/>
        </w:rPr>
        <w:t>提供承诺函</w:t>
      </w:r>
      <w:r>
        <w:rPr>
          <w:rFonts w:hint="eastAsia"/>
          <w:b/>
          <w:bCs/>
          <w:color w:val="auto"/>
          <w:sz w:val="24"/>
          <w:szCs w:val="24"/>
          <w:highlight w:val="none"/>
        </w:rPr>
        <w:t>，格式自拟，加盖投标人单位公章</w:t>
      </w:r>
      <w:r>
        <w:rPr>
          <w:rFonts w:hint="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（1）</w:t>
      </w:r>
      <w:r>
        <w:rPr>
          <w:color w:val="auto"/>
          <w:sz w:val="24"/>
          <w:szCs w:val="24"/>
          <w:highlight w:val="none"/>
        </w:rPr>
        <w:t>参与本项目政府采购活动前三年内，在经营活动中没有重大违法记录；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w:t>
      </w:r>
      <w:r>
        <w:rPr>
          <w:color w:val="auto"/>
          <w:sz w:val="24"/>
          <w:szCs w:val="24"/>
          <w:highlight w:val="none"/>
        </w:rPr>
        <w:t>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（3）供应商未被列入失信被执行人、重大税收违法案件当事人名单、政府采购严重违法失信行为记录名单</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（5）</w:t>
      </w:r>
      <w:r>
        <w:rPr>
          <w:color w:val="auto"/>
          <w:sz w:val="24"/>
          <w:szCs w:val="24"/>
          <w:highlight w:val="none"/>
        </w:rPr>
        <w:t>参与本项目政府采购活动时不存在与其他参加本项目的供应商相互串通报价的行为</w:t>
      </w:r>
      <w:r>
        <w:rPr>
          <w:rFonts w:hint="eastAsia"/>
          <w:color w:val="auto"/>
          <w:sz w:val="24"/>
          <w:szCs w:val="24"/>
          <w:highlight w:val="none"/>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4" w:firstLineChars="202"/>
        <w:jc w:val="both"/>
        <w:textAlignment w:val="auto"/>
        <w:rPr>
          <w:rFonts w:hint="eastAsia" w:eastAsia="宋体" w:cs="Times New Roman"/>
          <w:color w:val="auto"/>
          <w:sz w:val="24"/>
          <w:szCs w:val="24"/>
          <w:highlight w:val="none"/>
          <w:lang w:eastAsia="zh-CN"/>
        </w:rPr>
      </w:pPr>
      <w:r>
        <w:rPr>
          <w:rFonts w:hint="eastAsia" w:eastAsia="宋体" w:cs="Times New Roman"/>
          <w:color w:val="auto"/>
          <w:sz w:val="24"/>
          <w:szCs w:val="24"/>
          <w:highlight w:val="none"/>
        </w:rPr>
        <w:t>3</w:t>
      </w:r>
      <w:r>
        <w:rPr>
          <w:rFonts w:hint="eastAsia" w:eastAsia="宋体" w:cs="Times New Roman"/>
          <w:color w:val="auto"/>
          <w:sz w:val="24"/>
          <w:szCs w:val="24"/>
          <w:highlight w:val="none"/>
          <w:lang w:val="en-US" w:eastAsia="zh-CN"/>
        </w:rPr>
        <w:t>.</w:t>
      </w:r>
      <w:r>
        <w:rPr>
          <w:rFonts w:hint="eastAsia" w:eastAsia="宋体" w:cs="Times New Roman"/>
          <w:color w:val="auto"/>
          <w:sz w:val="24"/>
          <w:szCs w:val="24"/>
          <w:highlight w:val="none"/>
        </w:rPr>
        <w:t>本项目不接受联合体投标，不允许分包、转包</w:t>
      </w:r>
      <w:r>
        <w:rPr>
          <w:rFonts w:hint="eastAsia"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b/>
          <w:bCs/>
          <w:color w:val="auto"/>
          <w:sz w:val="24"/>
          <w:szCs w:val="24"/>
          <w:highlight w:val="none"/>
        </w:rPr>
      </w:pPr>
      <w:r>
        <w:rPr>
          <w:rFonts w:hint="eastAsia"/>
          <w:b/>
          <w:bCs/>
          <w:color w:val="auto"/>
          <w:sz w:val="24"/>
          <w:szCs w:val="24"/>
          <w:highlight w:val="none"/>
        </w:rPr>
        <w:t>四、合同签订时间：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中标通知发出</w:t>
      </w:r>
      <w:r>
        <w:rPr>
          <w:rFonts w:hint="eastAsia"/>
          <w:color w:val="auto"/>
          <w:sz w:val="24"/>
          <w:szCs w:val="24"/>
          <w:highlight w:val="none"/>
          <w:lang w:val="en-US" w:eastAsia="zh-CN"/>
        </w:rPr>
        <w:t>10个工作</w:t>
      </w:r>
      <w:r>
        <w:rPr>
          <w:rFonts w:hint="eastAsia"/>
          <w:color w:val="auto"/>
          <w:sz w:val="24"/>
          <w:szCs w:val="24"/>
          <w:highlight w:val="none"/>
        </w:rPr>
        <w:t>日内。</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b/>
          <w:bCs/>
          <w:color w:val="auto"/>
          <w:sz w:val="24"/>
          <w:szCs w:val="24"/>
          <w:highlight w:val="none"/>
        </w:rPr>
      </w:pPr>
      <w:r>
        <w:rPr>
          <w:rFonts w:hint="eastAsia"/>
          <w:b/>
          <w:bCs/>
          <w:color w:val="auto"/>
          <w:sz w:val="24"/>
          <w:szCs w:val="24"/>
          <w:highlight w:val="none"/>
        </w:rPr>
        <w:t>五、合同完成时间：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rPr>
        <w:t>详见招标文件</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b/>
          <w:bCs/>
          <w:color w:val="auto"/>
          <w:sz w:val="24"/>
          <w:szCs w:val="24"/>
          <w:highlight w:val="none"/>
        </w:rPr>
      </w:pPr>
      <w:r>
        <w:rPr>
          <w:rFonts w:hint="eastAsia"/>
          <w:b/>
          <w:bCs/>
          <w:color w:val="auto"/>
          <w:sz w:val="24"/>
          <w:szCs w:val="24"/>
          <w:highlight w:val="none"/>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自本公告发布之日起</w:t>
      </w:r>
      <w:r>
        <w:rPr>
          <w:rFonts w:hint="eastAsia"/>
          <w:color w:val="auto"/>
          <w:sz w:val="24"/>
          <w:szCs w:val="24"/>
          <w:highlight w:val="none"/>
          <w:lang w:val="en-US" w:eastAsia="zh-CN"/>
        </w:rPr>
        <w:t>5</w:t>
      </w:r>
      <w:r>
        <w:rPr>
          <w:rFonts w:hint="eastAsia"/>
          <w:color w:val="auto"/>
          <w:sz w:val="24"/>
          <w:szCs w:val="24"/>
          <w:highlight w:val="none"/>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b/>
          <w:bCs/>
          <w:color w:val="auto"/>
          <w:sz w:val="24"/>
          <w:szCs w:val="24"/>
          <w:highlight w:val="none"/>
        </w:rPr>
      </w:pPr>
      <w:r>
        <w:rPr>
          <w:rFonts w:hint="eastAsia"/>
          <w:b/>
          <w:bCs/>
          <w:color w:val="auto"/>
          <w:sz w:val="24"/>
          <w:szCs w:val="24"/>
          <w:highlight w:val="none"/>
        </w:rPr>
        <w:t>七、定标方式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采用综合评分法决定中标供应商。评分的权重如下：</w:t>
      </w:r>
    </w:p>
    <w:tbl>
      <w:tblPr>
        <w:tblStyle w:val="38"/>
        <w:tblW w:w="694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pStyle w:val="17"/>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价格部分</w:t>
            </w:r>
          </w:p>
        </w:tc>
        <w:tc>
          <w:tcPr>
            <w:tcW w:w="5136" w:type="dxa"/>
            <w:noWrap w:val="0"/>
            <w:vAlign w:val="center"/>
          </w:tcPr>
          <w:p>
            <w:pPr>
              <w:pStyle w:val="17"/>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pStyle w:val="17"/>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公司资质部分</w:t>
            </w:r>
          </w:p>
        </w:tc>
        <w:tc>
          <w:tcPr>
            <w:tcW w:w="5136" w:type="dxa"/>
            <w:noWrap w:val="0"/>
            <w:vAlign w:val="center"/>
          </w:tcPr>
          <w:p>
            <w:pPr>
              <w:pStyle w:val="17"/>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pStyle w:val="17"/>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业绩部分</w:t>
            </w:r>
          </w:p>
        </w:tc>
        <w:tc>
          <w:tcPr>
            <w:tcW w:w="5136" w:type="dxa"/>
            <w:noWrap w:val="0"/>
            <w:vAlign w:val="center"/>
          </w:tcPr>
          <w:p>
            <w:pPr>
              <w:pStyle w:val="17"/>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noWrap w:val="0"/>
            <w:vAlign w:val="center"/>
          </w:tcPr>
          <w:p>
            <w:pPr>
              <w:pStyle w:val="17"/>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针对本项目的服务方案</w:t>
            </w:r>
          </w:p>
        </w:tc>
        <w:tc>
          <w:tcPr>
            <w:tcW w:w="5136" w:type="dxa"/>
            <w:noWrap w:val="0"/>
            <w:vAlign w:val="center"/>
          </w:tcPr>
          <w:p>
            <w:pPr>
              <w:pStyle w:val="17"/>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详见招标文件</w:t>
            </w:r>
          </w:p>
        </w:tc>
      </w:tr>
    </w:tbl>
    <w:p>
      <w:pPr>
        <w:spacing w:line="360" w:lineRule="exact"/>
        <w:ind w:firstLine="481" w:firstLineChars="200"/>
        <w:rPr>
          <w:b/>
          <w:bCs/>
          <w:color w:val="auto"/>
          <w:sz w:val="24"/>
          <w:szCs w:val="24"/>
          <w:highlight w:val="none"/>
        </w:rPr>
      </w:pPr>
      <w:r>
        <w:rPr>
          <w:rFonts w:hint="eastAsia"/>
          <w:b/>
          <w:bCs/>
          <w:color w:val="auto"/>
          <w:sz w:val="24"/>
          <w:szCs w:val="24"/>
          <w:highlight w:val="none"/>
        </w:rPr>
        <w:t>八、其他补充事宜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r>
        <w:rPr>
          <w:color w:val="auto"/>
          <w:sz w:val="24"/>
          <w:szCs w:val="24"/>
          <w:highlight w:val="none"/>
        </w:rPr>
        <w:t>1</w:t>
      </w:r>
      <w:r>
        <w:rPr>
          <w:rFonts w:hint="eastAsia"/>
          <w:color w:val="auto"/>
          <w:sz w:val="24"/>
          <w:szCs w:val="24"/>
          <w:highlight w:val="none"/>
          <w:lang w:val="en-US" w:eastAsia="zh-CN"/>
        </w:rPr>
        <w:t>.</w:t>
      </w:r>
      <w:r>
        <w:rPr>
          <w:rFonts w:hint="eastAsia"/>
          <w:color w:val="auto"/>
          <w:sz w:val="24"/>
          <w:szCs w:val="24"/>
          <w:highlight w:val="none"/>
        </w:rPr>
        <w:t>提交投标文件截止时间：2024年09月23日</w:t>
      </w:r>
      <w:r>
        <w:rPr>
          <w:rFonts w:hint="eastAsia"/>
          <w:color w:val="auto"/>
          <w:sz w:val="24"/>
          <w:szCs w:val="24"/>
          <w:highlight w:val="none"/>
          <w:lang w:val="en-US" w:eastAsia="zh-CN"/>
        </w:rPr>
        <w:t>17</w:t>
      </w:r>
      <w:r>
        <w:rPr>
          <w:rFonts w:hint="eastAsia"/>
          <w:color w:val="auto"/>
          <w:sz w:val="24"/>
          <w:szCs w:val="24"/>
          <w:highlight w:val="none"/>
        </w:rPr>
        <w:t>:</w:t>
      </w:r>
      <w:r>
        <w:rPr>
          <w:rFonts w:hint="eastAsia"/>
          <w:color w:val="auto"/>
          <w:sz w:val="24"/>
          <w:szCs w:val="24"/>
          <w:highlight w:val="none"/>
          <w:lang w:val="en-US" w:eastAsia="zh-CN"/>
        </w:rPr>
        <w:t>30</w:t>
      </w:r>
      <w:r>
        <w:rPr>
          <w:color w:val="auto"/>
          <w:sz w:val="24"/>
          <w:szCs w:val="24"/>
          <w:highlight w:val="none"/>
        </w:rPr>
        <w:t>（</w:t>
      </w:r>
      <w:r>
        <w:rPr>
          <w:rFonts w:hint="eastAsia"/>
          <w:color w:val="auto"/>
          <w:sz w:val="24"/>
          <w:szCs w:val="24"/>
          <w:highlight w:val="none"/>
        </w:rPr>
        <w:t>北京时间）。所有投标文件（密封，封装处盖公司公章）应于投标截止时间之前递交，迟交的投标文件将拒绝接收</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提交投标文件地点：深圳市南山区前湾一路27号南山街道执法队313室。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w:t>
      </w:r>
      <w:r>
        <w:rPr>
          <w:rFonts w:hint="eastAsia"/>
          <w:color w:val="auto"/>
          <w:sz w:val="24"/>
          <w:szCs w:val="24"/>
          <w:highlight w:val="none"/>
        </w:rPr>
        <w:t>凡邮箱投递报名信息后决定不参加投标的投标人，请在开标前3日发送“弃标函”（列明弃标项目、阐述弃标原因，格式自拟，并加盖投标人公章）发送到至</w:t>
      </w:r>
      <w:r>
        <w:rPr>
          <w:rFonts w:hint="eastAsia"/>
          <w:color w:val="auto"/>
          <w:sz w:val="24"/>
          <w:szCs w:val="24"/>
          <w:highlight w:val="none"/>
          <w:lang w:eastAsia="zh-CN"/>
        </w:rPr>
        <w:t>我办</w:t>
      </w:r>
      <w:r>
        <w:rPr>
          <w:rFonts w:hint="eastAsia"/>
          <w:color w:val="auto"/>
          <w:sz w:val="24"/>
          <w:szCs w:val="24"/>
          <w:highlight w:val="none"/>
        </w:rPr>
        <w:t>邮箱。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3</w:t>
      </w:r>
      <w:r>
        <w:rPr>
          <w:rFonts w:hint="eastAsia"/>
          <w:color w:val="auto"/>
          <w:sz w:val="24"/>
          <w:szCs w:val="24"/>
          <w:highlight w:val="none"/>
          <w:lang w:val="en-US" w:eastAsia="zh-CN"/>
        </w:rPr>
        <w:t>.</w:t>
      </w:r>
      <w:r>
        <w:rPr>
          <w:rFonts w:hint="eastAsia"/>
          <w:color w:val="auto"/>
          <w:sz w:val="24"/>
          <w:szCs w:val="24"/>
          <w:highlight w:val="none"/>
        </w:rPr>
        <w:t>投标人有义务在招标活动期间浏览</w:t>
      </w:r>
      <w:bookmarkStart w:id="222" w:name="_GoBack"/>
      <w:r>
        <w:rPr>
          <w:rFonts w:hint="eastAsia"/>
          <w:color w:val="auto"/>
          <w:sz w:val="24"/>
          <w:szCs w:val="24"/>
          <w:highlight w:val="none"/>
        </w:rPr>
        <w:t>南山区</w:t>
      </w:r>
      <w:r>
        <w:rPr>
          <w:rFonts w:hint="default"/>
          <w:color w:val="auto"/>
          <w:sz w:val="24"/>
          <w:szCs w:val="24"/>
          <w:highlight w:val="none"/>
        </w:rPr>
        <w:t>人民政府网站</w:t>
      </w:r>
      <w:r>
        <w:rPr>
          <w:rFonts w:hint="eastAsia"/>
          <w:color w:val="auto"/>
          <w:sz w:val="24"/>
          <w:szCs w:val="24"/>
          <w:highlight w:val="none"/>
        </w:rPr>
        <w:t>南山街道信息公开</w:t>
      </w:r>
      <w:r>
        <w:rPr>
          <w:rFonts w:hint="default"/>
          <w:color w:val="auto"/>
          <w:sz w:val="24"/>
          <w:szCs w:val="24"/>
          <w:highlight w:val="none"/>
        </w:rPr>
        <w:t>页面</w:t>
      </w:r>
      <w:bookmarkEnd w:id="222"/>
      <w:r>
        <w:rPr>
          <w:rFonts w:hint="eastAsia"/>
          <w:color w:val="auto"/>
          <w:sz w:val="24"/>
          <w:szCs w:val="24"/>
          <w:highlight w:val="none"/>
        </w:rPr>
        <w:t>（https://www.szns.gov.cn/nsnsjdb/gkmlpt/index），我</w:t>
      </w:r>
      <w:r>
        <w:rPr>
          <w:rFonts w:hint="eastAsia"/>
          <w:color w:val="auto"/>
          <w:sz w:val="24"/>
          <w:szCs w:val="24"/>
          <w:highlight w:val="none"/>
          <w:lang w:eastAsia="zh-CN"/>
        </w:rPr>
        <w:t>办</w:t>
      </w:r>
      <w:r>
        <w:rPr>
          <w:rFonts w:hint="eastAsia"/>
          <w:color w:val="auto"/>
          <w:sz w:val="24"/>
          <w:szCs w:val="24"/>
          <w:highlight w:val="none"/>
        </w:rPr>
        <w:t>在以上网站上公布的与本次招标项目有关的信息视为已送达各投标人。我</w:t>
      </w:r>
      <w:r>
        <w:rPr>
          <w:rFonts w:hint="eastAsia"/>
          <w:color w:val="auto"/>
          <w:sz w:val="24"/>
          <w:szCs w:val="24"/>
          <w:highlight w:val="none"/>
          <w:lang w:eastAsia="zh-CN"/>
        </w:rPr>
        <w:t>办</w:t>
      </w:r>
      <w:r>
        <w:rPr>
          <w:rFonts w:hint="eastAsia"/>
          <w:color w:val="auto"/>
          <w:sz w:val="24"/>
          <w:szCs w:val="24"/>
          <w:highlight w:val="none"/>
        </w:rPr>
        <w:t>不再电话通知各投标人。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w:t>
      </w:r>
      <w:r>
        <w:rPr>
          <w:rFonts w:hint="eastAsia"/>
          <w:color w:val="auto"/>
          <w:sz w:val="24"/>
          <w:szCs w:val="24"/>
          <w:highlight w:val="none"/>
          <w:lang w:val="en-US" w:eastAsia="zh-CN"/>
        </w:rPr>
        <w:t>.</w:t>
      </w:r>
      <w:r>
        <w:rPr>
          <w:rFonts w:hint="eastAsia"/>
          <w:color w:val="auto"/>
          <w:sz w:val="24"/>
          <w:szCs w:val="24"/>
          <w:highlight w:val="none"/>
        </w:rPr>
        <w:t>有关本次招标之事宜，按如下联系方式以书面或电话等形式进行查询。</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采购人：深圳市南山区南山街道办事处</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地址：深圳市南山区前湾一路27号南山街道执法队</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联系人：陈工</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联系电话：0755-86240899</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color w:val="auto"/>
          <w:sz w:val="24"/>
          <w:szCs w:val="24"/>
          <w:highlight w:val="none"/>
        </w:rPr>
      </w:pPr>
      <w:r>
        <w:rPr>
          <w:rFonts w:hint="eastAsia"/>
          <w:color w:val="auto"/>
          <w:sz w:val="24"/>
          <w:szCs w:val="24"/>
          <w:highlight w:val="none"/>
        </w:rPr>
        <w:t>特此公告。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jc w:val="right"/>
        <w:textAlignment w:val="auto"/>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lang w:eastAsia="zh-CN"/>
        </w:rPr>
        <w:t>深圳市南山区南山街道办事处</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 w:val="24"/>
          <w:szCs w:val="24"/>
          <w:highlight w:val="none"/>
        </w:rPr>
      </w:pPr>
      <w:r>
        <w:rPr>
          <w:color w:val="auto"/>
          <w:sz w:val="24"/>
          <w:szCs w:val="24"/>
          <w:highlight w:val="none"/>
        </w:rPr>
        <w:t xml:space="preserve">  </w:t>
      </w:r>
      <w:r>
        <w:rPr>
          <w:rFonts w:hint="eastAsia"/>
          <w:color w:val="auto"/>
          <w:sz w:val="24"/>
          <w:szCs w:val="24"/>
          <w:highlight w:val="none"/>
          <w:lang w:val="en-US" w:eastAsia="zh-CN"/>
        </w:rPr>
        <w:t>2024</w:t>
      </w:r>
      <w:r>
        <w:rPr>
          <w:color w:val="auto"/>
          <w:sz w:val="24"/>
          <w:szCs w:val="24"/>
          <w:highlight w:val="none"/>
        </w:rPr>
        <w:t>年</w:t>
      </w:r>
      <w:r>
        <w:rPr>
          <w:rFonts w:hint="eastAsia"/>
          <w:color w:val="auto"/>
          <w:sz w:val="24"/>
          <w:szCs w:val="24"/>
          <w:highlight w:val="none"/>
          <w:lang w:val="en-US" w:eastAsia="zh-CN"/>
        </w:rPr>
        <w:t>09</w:t>
      </w:r>
      <w:r>
        <w:rPr>
          <w:rFonts w:hint="eastAsia"/>
          <w:color w:val="auto"/>
          <w:sz w:val="24"/>
          <w:szCs w:val="24"/>
          <w:highlight w:val="none"/>
        </w:rPr>
        <w:t>月</w:t>
      </w:r>
      <w:r>
        <w:rPr>
          <w:rFonts w:hint="eastAsia"/>
          <w:color w:val="auto"/>
          <w:sz w:val="24"/>
          <w:szCs w:val="24"/>
          <w:highlight w:val="none"/>
          <w:lang w:val="en-US" w:eastAsia="zh-CN"/>
        </w:rPr>
        <w:t>10</w:t>
      </w:r>
      <w:r>
        <w:rPr>
          <w:rFonts w:hint="eastAsia"/>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color w:val="auto"/>
          <w:sz w:val="24"/>
          <w:szCs w:val="24"/>
          <w:highlight w:val="none"/>
        </w:rPr>
      </w:pPr>
      <w:r>
        <w:rPr>
          <w:rFonts w:hint="eastAsia"/>
          <w:color w:val="auto"/>
          <w:sz w:val="24"/>
          <w:szCs w:val="24"/>
          <w:highlight w:val="none"/>
        </w:rPr>
        <w:t>（联系人：陈工，联系方式：0755-86240899）</w:t>
      </w:r>
    </w:p>
    <w:p>
      <w:pPr>
        <w:widowControl/>
        <w:jc w:val="left"/>
        <w:rPr>
          <w:b/>
          <w:bCs/>
          <w:color w:val="auto"/>
          <w:sz w:val="28"/>
          <w:szCs w:val="28"/>
          <w:highlight w:val="none"/>
        </w:rPr>
      </w:pPr>
      <w:r>
        <w:rPr>
          <w:b/>
          <w:bCs/>
          <w:color w:val="auto"/>
          <w:sz w:val="28"/>
          <w:szCs w:val="28"/>
          <w:highlight w:val="none"/>
        </w:rPr>
        <w:br w:type="page"/>
      </w:r>
    </w:p>
    <w:p>
      <w:pPr>
        <w:pStyle w:val="3"/>
        <w:jc w:val="center"/>
        <w:rPr>
          <w:rFonts w:asciiTheme="majorEastAsia" w:hAnsiTheme="majorEastAsia" w:eastAsiaTheme="majorEastAsia" w:cstheme="majorEastAsia"/>
          <w:color w:val="auto"/>
          <w:sz w:val="32"/>
          <w:szCs w:val="32"/>
          <w:highlight w:val="none"/>
        </w:rPr>
      </w:pPr>
      <w:bookmarkStart w:id="8" w:name="_Toc9213"/>
      <w:bookmarkStart w:id="9" w:name="_Toc8307300"/>
      <w:bookmarkStart w:id="10" w:name="_Toc12489_WPSOffice_Level1"/>
      <w:bookmarkStart w:id="11" w:name="_Toc77947871"/>
      <w:bookmarkStart w:id="12" w:name="_Toc2045"/>
      <w:r>
        <w:rPr>
          <w:rFonts w:hint="eastAsia" w:asciiTheme="majorEastAsia" w:hAnsiTheme="majorEastAsia" w:eastAsiaTheme="majorEastAsia" w:cstheme="majorEastAsia"/>
          <w:color w:val="auto"/>
          <w:sz w:val="32"/>
          <w:szCs w:val="32"/>
          <w:highlight w:val="none"/>
        </w:rPr>
        <w:t>第二章 投标资料表</w:t>
      </w:r>
      <w:bookmarkEnd w:id="6"/>
      <w:bookmarkEnd w:id="7"/>
      <w:bookmarkEnd w:id="8"/>
      <w:bookmarkEnd w:id="9"/>
      <w:bookmarkEnd w:id="10"/>
      <w:bookmarkEnd w:id="11"/>
      <w:bookmarkEnd w:id="12"/>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37"/>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8" w:type="dxa"/>
            <w:vAlign w:val="center"/>
          </w:tcPr>
          <w:p>
            <w:pPr>
              <w:jc w:val="center"/>
              <w:rPr>
                <w:rFonts w:ascii="宋体" w:hAnsi="宋体"/>
                <w:color w:val="auto"/>
                <w:szCs w:val="21"/>
                <w:highlight w:val="none"/>
              </w:rPr>
            </w:pPr>
            <w:r>
              <w:rPr>
                <w:rFonts w:ascii="宋体" w:hAnsi="宋体"/>
                <w:color w:val="auto"/>
                <w:szCs w:val="21"/>
                <w:highlight w:val="none"/>
              </w:rPr>
              <w:t>条款</w:t>
            </w:r>
            <w:r>
              <w:rPr>
                <w:rFonts w:hint="eastAsia" w:ascii="宋体" w:hAnsi="宋体"/>
                <w:color w:val="auto"/>
                <w:szCs w:val="21"/>
                <w:highlight w:val="none"/>
              </w:rPr>
              <w:t>项</w:t>
            </w:r>
            <w:r>
              <w:rPr>
                <w:rFonts w:ascii="宋体" w:hAnsi="宋体"/>
                <w:color w:val="auto"/>
                <w:szCs w:val="21"/>
                <w:highlight w:val="none"/>
              </w:rPr>
              <w:t>号</w:t>
            </w:r>
          </w:p>
        </w:tc>
        <w:tc>
          <w:tcPr>
            <w:tcW w:w="8000" w:type="dxa"/>
            <w:vAlign w:val="center"/>
          </w:tcPr>
          <w:p>
            <w:pPr>
              <w:jc w:val="center"/>
              <w:rPr>
                <w:rFonts w:ascii="宋体" w:hAnsi="宋体"/>
                <w:b/>
                <w:color w:val="auto"/>
                <w:szCs w:val="21"/>
                <w:highlight w:val="none"/>
              </w:rPr>
            </w:pPr>
            <w:r>
              <w:rPr>
                <w:rFonts w:ascii="宋体" w:hAnsi="宋体"/>
                <w:b/>
                <w:color w:val="auto"/>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8000" w:type="dxa"/>
            <w:vAlign w:val="center"/>
          </w:tcPr>
          <w:p>
            <w:pPr>
              <w:rPr>
                <w:rFonts w:ascii="宋体" w:hAnsi="宋体" w:cs="宋体"/>
                <w:color w:val="auto"/>
                <w:szCs w:val="21"/>
                <w:highlight w:val="none"/>
              </w:rPr>
            </w:pPr>
            <w:r>
              <w:rPr>
                <w:rFonts w:hint="eastAsia" w:ascii="宋体" w:hAnsi="宋体" w:cs="宋体"/>
                <w:color w:val="auto"/>
                <w:szCs w:val="21"/>
                <w:highlight w:val="none"/>
              </w:rPr>
              <w:t>资金来源</w:t>
            </w:r>
            <w:r>
              <w:rPr>
                <w:rFonts w:hint="eastAsia" w:ascii="宋体" w:hAnsi="宋体"/>
                <w:color w:val="auto"/>
                <w:szCs w:val="21"/>
                <w:highlight w:val="none"/>
              </w:rPr>
              <w:t>：</w:t>
            </w:r>
            <w:r>
              <w:rPr>
                <w:rFonts w:hint="eastAsia" w:ascii="宋体" w:hAnsi="宋体" w:cs="宋体"/>
                <w:color w:val="auto"/>
                <w:szCs w:val="21"/>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8000" w:type="dxa"/>
            <w:vAlign w:val="center"/>
          </w:tcPr>
          <w:p>
            <w:pPr>
              <w:adjustRightInd w:val="0"/>
              <w:snapToGrid w:val="0"/>
              <w:rPr>
                <w:rFonts w:ascii="宋体" w:hAnsi="宋体"/>
                <w:color w:val="auto"/>
                <w:szCs w:val="21"/>
                <w:highlight w:val="none"/>
              </w:rPr>
            </w:pPr>
            <w:r>
              <w:rPr>
                <w:rFonts w:hint="eastAsia" w:ascii="宋体" w:hAnsi="宋体"/>
                <w:b/>
                <w:bCs/>
                <w:color w:val="auto"/>
                <w:szCs w:val="21"/>
                <w:highlight w:val="none"/>
              </w:rPr>
              <w:t>现场考察或者召开开标前答疑会</w:t>
            </w:r>
            <w:r>
              <w:rPr>
                <w:rFonts w:hint="eastAsia" w:ascii="宋体" w:hAnsi="宋体"/>
                <w:color w:val="auto"/>
                <w:szCs w:val="21"/>
                <w:highlight w:val="none"/>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8" w:type="dxa"/>
            <w:vAlign w:val="center"/>
          </w:tcPr>
          <w:p>
            <w:pPr>
              <w:jc w:val="center"/>
              <w:rPr>
                <w:rFonts w:ascii="宋体" w:hAnsi="宋体"/>
                <w:dstrike/>
                <w:color w:val="auto"/>
                <w:szCs w:val="21"/>
                <w:highlight w:val="none"/>
                <w:em w:val="dot"/>
              </w:rPr>
            </w:pPr>
            <w:r>
              <w:rPr>
                <w:rFonts w:hint="eastAsia" w:ascii="宋体" w:hAnsi="宋体"/>
                <w:color w:val="auto"/>
                <w:szCs w:val="21"/>
                <w:highlight w:val="none"/>
              </w:rPr>
              <w:t>12.2.1</w:t>
            </w:r>
          </w:p>
        </w:tc>
        <w:tc>
          <w:tcPr>
            <w:tcW w:w="8000" w:type="dxa"/>
            <w:vAlign w:val="center"/>
          </w:tcPr>
          <w:p>
            <w:pPr>
              <w:adjustRightInd w:val="0"/>
              <w:snapToGrid w:val="0"/>
              <w:ind w:left="210" w:hanging="210"/>
              <w:rPr>
                <w:rFonts w:ascii="宋体" w:hAnsi="宋体"/>
                <w:color w:val="auto"/>
                <w:szCs w:val="21"/>
                <w:highlight w:val="none"/>
              </w:rPr>
            </w:pPr>
            <w:r>
              <w:rPr>
                <w:rFonts w:hint="eastAsia" w:ascii="宋体" w:hAnsi="宋体"/>
                <w:color w:val="auto"/>
                <w:szCs w:val="21"/>
                <w:highlight w:val="none"/>
              </w:rPr>
              <w:t>（境外货物）</w:t>
            </w:r>
            <w:r>
              <w:rPr>
                <w:rFonts w:hint="eastAsia" w:ascii="宋体" w:hAnsi="宋体" w:cs="宋体"/>
                <w:color w:val="auto"/>
                <w:szCs w:val="21"/>
                <w:highlight w:val="none"/>
                <w:lang w:val="zh-CN"/>
              </w:rPr>
              <w:t>进口环节关税和增值税：无。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8000" w:type="dxa"/>
            <w:vAlign w:val="center"/>
          </w:tcPr>
          <w:p>
            <w:pPr>
              <w:rPr>
                <w:rFonts w:ascii="宋体" w:hAnsi="宋体"/>
                <w:color w:val="auto"/>
                <w:szCs w:val="21"/>
                <w:highlight w:val="none"/>
              </w:rPr>
            </w:pPr>
            <w:r>
              <w:rPr>
                <w:rFonts w:ascii="宋体" w:hAnsi="宋体"/>
                <w:color w:val="auto"/>
                <w:szCs w:val="21"/>
                <w:highlight w:val="none"/>
              </w:rPr>
              <w:t>投标有效期：90天</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8000" w:type="dxa"/>
            <w:vAlign w:val="center"/>
          </w:tcPr>
          <w:p>
            <w:pPr>
              <w:rPr>
                <w:rFonts w:ascii="宋体" w:hAnsi="宋体"/>
                <w:color w:val="auto"/>
                <w:szCs w:val="21"/>
                <w:highlight w:val="none"/>
              </w:rPr>
            </w:pPr>
            <w:r>
              <w:rPr>
                <w:rFonts w:ascii="宋体" w:hAnsi="宋体"/>
                <w:color w:val="auto"/>
                <w:szCs w:val="21"/>
                <w:highlight w:val="none"/>
              </w:rPr>
              <w:t>投标文件份数：正本一份，副本</w:t>
            </w:r>
            <w:r>
              <w:rPr>
                <w:rFonts w:hint="eastAsia" w:ascii="宋体" w:hAnsi="宋体"/>
                <w:color w:val="auto"/>
                <w:szCs w:val="21"/>
                <w:highlight w:val="none"/>
              </w:rPr>
              <w:t>四</w:t>
            </w:r>
            <w:r>
              <w:rPr>
                <w:rFonts w:ascii="宋体" w:hAnsi="宋体"/>
                <w:color w:val="auto"/>
                <w:szCs w:val="21"/>
                <w:highlight w:val="none"/>
              </w:rPr>
              <w:t>份，电子文件</w:t>
            </w:r>
            <w:r>
              <w:rPr>
                <w:rFonts w:hint="eastAsia" w:ascii="宋体" w:hAnsi="宋体"/>
                <w:color w:val="auto"/>
                <w:szCs w:val="21"/>
                <w:highlight w:val="none"/>
              </w:rPr>
              <w:t>一</w:t>
            </w:r>
            <w:r>
              <w:rPr>
                <w:rFonts w:ascii="宋体" w:hAnsi="宋体"/>
                <w:color w:val="auto"/>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2.1.3</w:t>
            </w:r>
          </w:p>
        </w:tc>
        <w:tc>
          <w:tcPr>
            <w:tcW w:w="8000" w:type="dxa"/>
            <w:vAlign w:val="center"/>
          </w:tcPr>
          <w:p>
            <w:pPr>
              <w:rPr>
                <w:rFonts w:ascii="宋体" w:hAnsi="宋体" w:cs="宋体"/>
                <w:color w:val="auto"/>
                <w:szCs w:val="21"/>
                <w:highlight w:val="none"/>
              </w:rPr>
            </w:pPr>
            <w:r>
              <w:rPr>
                <w:rFonts w:hint="eastAsia" w:ascii="宋体" w:hAnsi="宋体" w:cs="宋体"/>
                <w:color w:val="auto"/>
                <w:szCs w:val="21"/>
                <w:highlight w:val="none"/>
              </w:rPr>
              <w:t>质疑函接收的方式：</w:t>
            </w:r>
          </w:p>
          <w:p>
            <w:pPr>
              <w:rPr>
                <w:rFonts w:ascii="宋体" w:hAnsi="宋体"/>
                <w:color w:val="auto"/>
                <w:szCs w:val="21"/>
                <w:highlight w:val="none"/>
              </w:rPr>
            </w:pPr>
            <w:r>
              <w:rPr>
                <w:rFonts w:hint="eastAsia" w:ascii="宋体" w:hAnsi="宋体" w:cs="宋体"/>
                <w:bCs/>
                <w:color w:val="auto"/>
                <w:szCs w:val="20"/>
                <w:highlight w:val="none"/>
              </w:rPr>
              <w:t>2024年</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18</w:t>
            </w:r>
            <w:r>
              <w:rPr>
                <w:rFonts w:hint="eastAsia" w:ascii="宋体" w:hAnsi="宋体" w:cs="宋体"/>
                <w:bCs/>
                <w:color w:val="auto"/>
                <w:szCs w:val="20"/>
                <w:highlight w:val="none"/>
              </w:rPr>
              <w:t>日</w:t>
            </w:r>
            <w:r>
              <w:rPr>
                <w:rFonts w:hint="eastAsia" w:ascii="宋体" w:hAnsi="宋体"/>
                <w:color w:val="auto"/>
                <w:szCs w:val="21"/>
                <w:highlight w:val="none"/>
              </w:rPr>
              <w:t>上午12:00前，凡对招标文件的疑问（包括认为招标文件的技术指标或参数存在排他性或歧视性条款），投标人须以书面形式加盖单位公章送达我街道办，逾期不予受理。我街道将通过官网公告的形式发布答疑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26.1</w:t>
            </w:r>
          </w:p>
        </w:tc>
        <w:tc>
          <w:tcPr>
            <w:tcW w:w="8000" w:type="dxa"/>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履约保证金：无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8000" w:type="dxa"/>
            <w:vAlign w:val="center"/>
          </w:tcPr>
          <w:p>
            <w:pPr>
              <w:rPr>
                <w:rFonts w:ascii="宋体" w:hAnsi="宋体"/>
                <w:color w:val="auto"/>
                <w:szCs w:val="21"/>
                <w:highlight w:val="none"/>
              </w:rPr>
            </w:pPr>
            <w:r>
              <w:rPr>
                <w:rFonts w:hint="eastAsia" w:ascii="宋体" w:hAnsi="宋体"/>
                <w:bCs/>
                <w:color w:val="auto"/>
                <w:highlight w:val="none"/>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8000" w:type="dxa"/>
            <w:vAlign w:val="center"/>
          </w:tcPr>
          <w:p>
            <w:pPr>
              <w:autoSpaceDE w:val="0"/>
              <w:autoSpaceDN w:val="0"/>
              <w:adjustRightInd w:val="0"/>
              <w:snapToGrid w:val="0"/>
              <w:rPr>
                <w:rFonts w:ascii="宋体" w:hAnsi="宋体"/>
                <w:color w:val="auto"/>
                <w:kern w:val="0"/>
                <w:sz w:val="24"/>
                <w:highlight w:val="none"/>
              </w:rPr>
            </w:pPr>
            <w:r>
              <w:rPr>
                <w:rFonts w:hint="eastAsia" w:ascii="宋体" w:hAnsi="宋体" w:cs="宋体"/>
                <w:bCs/>
                <w:color w:val="auto"/>
                <w:szCs w:val="20"/>
                <w:highlight w:val="none"/>
              </w:rPr>
              <w:t>采购代理服务费：招标代理机构向</w:t>
            </w:r>
            <w:r>
              <w:rPr>
                <w:rFonts w:hint="eastAsia" w:ascii="宋体" w:hAnsi="宋体" w:cs="宋体"/>
                <w:bCs/>
                <w:color w:val="auto"/>
                <w:szCs w:val="20"/>
                <w:highlight w:val="none"/>
                <w:lang w:val="en-US" w:eastAsia="zh-CN"/>
              </w:rPr>
              <w:t>中标</w:t>
            </w:r>
            <w:r>
              <w:rPr>
                <w:rFonts w:hint="eastAsia" w:ascii="宋体" w:hAnsi="宋体" w:cs="宋体"/>
                <w:bCs/>
                <w:color w:val="auto"/>
                <w:szCs w:val="20"/>
                <w:highlight w:val="none"/>
              </w:rPr>
              <w:t>人收取招标代理服务费，金额为人民币</w:t>
            </w:r>
            <w:r>
              <w:rPr>
                <w:rFonts w:hint="eastAsia" w:ascii="宋体" w:hAnsi="宋体" w:cs="宋体"/>
                <w:bCs/>
                <w:color w:val="auto"/>
                <w:szCs w:val="20"/>
                <w:highlight w:val="none"/>
                <w:lang w:val="en-US" w:eastAsia="zh-CN"/>
              </w:rPr>
              <w:t>14700</w:t>
            </w:r>
            <w:r>
              <w:rPr>
                <w:rFonts w:hint="eastAsia" w:ascii="宋体" w:hAnsi="宋体" w:cs="宋体"/>
                <w:bCs/>
                <w:color w:val="auto"/>
                <w:szCs w:val="20"/>
                <w:highlight w:val="none"/>
              </w:rPr>
              <w:t>.00元</w:t>
            </w:r>
            <w:r>
              <w:rPr>
                <w:rFonts w:hint="eastAsia" w:ascii="宋体" w:hAnsi="宋体"/>
                <w:color w:val="auto"/>
                <w:szCs w:val="21"/>
                <w:highlight w:val="none"/>
              </w:rPr>
              <w:t>。</w:t>
            </w:r>
          </w:p>
        </w:tc>
      </w:tr>
    </w:tbl>
    <w:p>
      <w:pPr>
        <w:rPr>
          <w:rStyle w:val="45"/>
          <w:rFonts w:asciiTheme="minorHAnsi" w:hAnsiTheme="minorHAnsi" w:eastAsiaTheme="minorEastAsia" w:cstheme="minorBidi"/>
          <w:color w:val="auto"/>
          <w:highlight w:val="none"/>
        </w:rPr>
      </w:pPr>
      <w:r>
        <w:rPr>
          <w:color w:val="auto"/>
          <w:highlight w:val="none"/>
        </w:rPr>
        <w:br w:type="page"/>
      </w:r>
      <w:bookmarkStart w:id="13" w:name="_Toc435115054"/>
      <w:bookmarkStart w:id="14" w:name="_Toc435514849"/>
      <w:bookmarkStart w:id="15" w:name="_Toc8307303"/>
      <w:bookmarkStart w:id="16" w:name="_Toc8307302"/>
    </w:p>
    <w:p>
      <w:pPr>
        <w:rPr>
          <w:rStyle w:val="45"/>
          <w:rFonts w:asciiTheme="minorHAnsi" w:hAnsiTheme="minorHAnsi" w:eastAsiaTheme="minorEastAsia" w:cstheme="minorBidi"/>
          <w:color w:val="auto"/>
          <w:highlight w:val="none"/>
        </w:rPr>
      </w:pPr>
    </w:p>
    <w:p>
      <w:pPr>
        <w:pStyle w:val="3"/>
        <w:jc w:val="center"/>
        <w:rPr>
          <w:rFonts w:asciiTheme="majorEastAsia" w:hAnsiTheme="majorEastAsia" w:eastAsiaTheme="majorEastAsia" w:cstheme="majorEastAsia"/>
          <w:color w:val="auto"/>
          <w:sz w:val="32"/>
          <w:szCs w:val="32"/>
          <w:highlight w:val="none"/>
        </w:rPr>
      </w:pPr>
      <w:bookmarkStart w:id="17" w:name="_Toc77947872"/>
      <w:bookmarkStart w:id="18" w:name="_Toc22038"/>
      <w:bookmarkStart w:id="19" w:name="_Toc13175"/>
      <w:bookmarkStart w:id="20" w:name="_Toc24913_WPSOffice_Level1"/>
      <w:r>
        <w:rPr>
          <w:rFonts w:hint="eastAsia" w:asciiTheme="majorEastAsia" w:hAnsiTheme="majorEastAsia" w:eastAsiaTheme="majorEastAsia" w:cstheme="majorEastAsia"/>
          <w:color w:val="auto"/>
          <w:sz w:val="32"/>
          <w:szCs w:val="32"/>
          <w:highlight w:val="none"/>
        </w:rPr>
        <w:t>第三章 用户需求书</w:t>
      </w:r>
      <w:bookmarkEnd w:id="13"/>
      <w:bookmarkEnd w:id="14"/>
      <w:bookmarkEnd w:id="15"/>
      <w:bookmarkEnd w:id="17"/>
      <w:bookmarkEnd w:id="18"/>
      <w:bookmarkEnd w:id="19"/>
      <w:bookmarkEnd w:id="20"/>
    </w:p>
    <w:p>
      <w:pPr>
        <w:snapToGrid w:val="0"/>
        <w:spacing w:line="360" w:lineRule="auto"/>
        <w:rPr>
          <w:rFonts w:ascii="宋体"/>
          <w:b/>
          <w:bCs/>
          <w:color w:val="auto"/>
          <w:szCs w:val="20"/>
          <w:highlight w:val="none"/>
        </w:rPr>
      </w:pPr>
      <w:r>
        <w:rPr>
          <w:rFonts w:hint="eastAsia" w:ascii="宋体"/>
          <w:b/>
          <w:bCs/>
          <w:color w:val="auto"/>
          <w:szCs w:val="20"/>
          <w:highlight w:val="none"/>
        </w:rPr>
        <w:t>说明：</w:t>
      </w:r>
    </w:p>
    <w:p>
      <w:pPr>
        <w:numPr>
          <w:ilvl w:val="0"/>
          <w:numId w:val="1"/>
        </w:numPr>
        <w:snapToGrid w:val="0"/>
        <w:spacing w:line="360" w:lineRule="auto"/>
        <w:ind w:left="422" w:hanging="421" w:hangingChars="200"/>
        <w:rPr>
          <w:rFonts w:ascii="宋体"/>
          <w:b/>
          <w:bCs/>
          <w:color w:val="auto"/>
          <w:szCs w:val="20"/>
          <w:highlight w:val="none"/>
        </w:rPr>
      </w:pPr>
      <w:r>
        <w:rPr>
          <w:rFonts w:hint="eastAsia" w:ascii="宋体"/>
          <w:b/>
          <w:bCs/>
          <w:color w:val="auto"/>
          <w:szCs w:val="20"/>
          <w:highlight w:val="none"/>
        </w:rPr>
        <w:t>投标人须对本项目的</w:t>
      </w:r>
      <w:r>
        <w:rPr>
          <w:rFonts w:hint="eastAsia" w:asciiTheme="minorEastAsia" w:hAnsiTheme="minorEastAsia" w:eastAsiaTheme="minorEastAsia"/>
          <w:b/>
          <w:bCs/>
          <w:color w:val="auto"/>
          <w:szCs w:val="21"/>
          <w:highlight w:val="none"/>
        </w:rPr>
        <w:t>采购标的或服务内容</w:t>
      </w:r>
      <w:r>
        <w:rPr>
          <w:rFonts w:hint="eastAsia" w:ascii="宋体"/>
          <w:b/>
          <w:bCs/>
          <w:color w:val="auto"/>
          <w:szCs w:val="20"/>
          <w:highlight w:val="none"/>
        </w:rPr>
        <w:t>进行整体响应，任何只对</w:t>
      </w:r>
      <w:r>
        <w:rPr>
          <w:rFonts w:hint="eastAsia" w:asciiTheme="minorEastAsia" w:hAnsiTheme="minorEastAsia" w:eastAsiaTheme="minorEastAsia"/>
          <w:b/>
          <w:bCs/>
          <w:color w:val="auto"/>
          <w:szCs w:val="21"/>
          <w:highlight w:val="none"/>
        </w:rPr>
        <w:t>采购标的或服务内容</w:t>
      </w:r>
      <w:r>
        <w:rPr>
          <w:rFonts w:hint="eastAsia" w:ascii="宋体"/>
          <w:b/>
          <w:bCs/>
          <w:color w:val="auto"/>
          <w:szCs w:val="20"/>
          <w:highlight w:val="none"/>
        </w:rPr>
        <w:t>其中一部分内容进行的响应都被视为无效投标。</w:t>
      </w:r>
    </w:p>
    <w:p>
      <w:pPr>
        <w:numPr>
          <w:ilvl w:val="0"/>
          <w:numId w:val="1"/>
        </w:numPr>
        <w:snapToGrid w:val="0"/>
        <w:spacing w:line="360" w:lineRule="auto"/>
        <w:ind w:left="422" w:hanging="421" w:hanging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用户需求书中打</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号条款为实质性条款，有任何一条负偏离则导致无效投标。（如有）</w:t>
      </w:r>
    </w:p>
    <w:p>
      <w:pPr>
        <w:numPr>
          <w:ilvl w:val="0"/>
          <w:numId w:val="1"/>
        </w:numPr>
        <w:snapToGrid w:val="0"/>
        <w:spacing w:line="360" w:lineRule="auto"/>
        <w:ind w:left="422" w:hanging="421" w:hangingChars="200"/>
        <w:rPr>
          <w:rFonts w:ascii="宋体"/>
          <w:b/>
          <w:bCs/>
          <w:color w:val="auto"/>
          <w:szCs w:val="20"/>
          <w:highlight w:val="none"/>
        </w:rPr>
      </w:pPr>
      <w:r>
        <w:rPr>
          <w:rFonts w:hint="eastAsia" w:ascii="宋体"/>
          <w:b/>
          <w:bCs/>
          <w:color w:val="auto"/>
          <w:szCs w:val="20"/>
          <w:highlight w:val="none"/>
        </w:rPr>
        <w:t>用户需求书中打</w:t>
      </w:r>
      <w:r>
        <w:rPr>
          <w:rFonts w:ascii="宋体"/>
          <w:b/>
          <w:bCs/>
          <w:color w:val="auto"/>
          <w:szCs w:val="20"/>
          <w:highlight w:val="none"/>
        </w:rPr>
        <w:t>“</w:t>
      </w:r>
      <w:r>
        <w:rPr>
          <w:rFonts w:hint="eastAsia" w:ascii="宋体"/>
          <w:b/>
          <w:bCs/>
          <w:color w:val="auto"/>
          <w:szCs w:val="20"/>
          <w:highlight w:val="none"/>
        </w:rPr>
        <w:t>▲</w:t>
      </w:r>
      <w:r>
        <w:rPr>
          <w:rFonts w:ascii="宋体"/>
          <w:b/>
          <w:bCs/>
          <w:color w:val="auto"/>
          <w:szCs w:val="20"/>
          <w:highlight w:val="none"/>
        </w:rPr>
        <w:t>”</w:t>
      </w:r>
      <w:r>
        <w:rPr>
          <w:rFonts w:hint="eastAsia" w:ascii="宋体"/>
          <w:b/>
          <w:bCs/>
          <w:color w:val="auto"/>
          <w:szCs w:val="20"/>
          <w:highlight w:val="none"/>
        </w:rPr>
        <w:t>号条款为重要技术参数，但不作为无效投标条款。</w:t>
      </w:r>
      <w:r>
        <w:rPr>
          <w:rFonts w:hint="eastAsia" w:asciiTheme="minorEastAsia" w:hAnsiTheme="minorEastAsia" w:eastAsiaTheme="minorEastAsia"/>
          <w:b/>
          <w:bCs/>
          <w:color w:val="auto"/>
          <w:szCs w:val="21"/>
          <w:highlight w:val="none"/>
        </w:rPr>
        <w:t>（如有）</w:t>
      </w:r>
    </w:p>
    <w:p>
      <w:pPr>
        <w:pStyle w:val="113"/>
        <w:numPr>
          <w:ilvl w:val="0"/>
          <w:numId w:val="1"/>
        </w:numPr>
        <w:spacing w:line="400" w:lineRule="exact"/>
        <w:ind w:firstLineChars="0"/>
        <w:rPr>
          <w:b/>
          <w:color w:val="auto"/>
          <w:szCs w:val="21"/>
          <w:highlight w:val="none"/>
        </w:rPr>
      </w:pPr>
      <w:r>
        <w:rPr>
          <w:rFonts w:hint="eastAsia"/>
          <w:b/>
          <w:color w:val="auto"/>
          <w:highlight w:val="none"/>
        </w:rPr>
        <w:t>招标技术要求中，用红色字体标注的条款为要求提供证明资料的条款，其余为未要求提供证明资料的条款，无需提供相关证明资料。</w:t>
      </w:r>
      <w:r>
        <w:rPr>
          <w:rFonts w:hint="eastAsia" w:asciiTheme="minorEastAsia" w:hAnsiTheme="minorEastAsia" w:eastAsiaTheme="minorEastAsia"/>
          <w:b/>
          <w:bCs/>
          <w:color w:val="auto"/>
          <w:szCs w:val="21"/>
          <w:highlight w:val="none"/>
        </w:rPr>
        <w:t>（如有）</w:t>
      </w:r>
    </w:p>
    <w:p>
      <w:pPr>
        <w:pStyle w:val="113"/>
        <w:numPr>
          <w:ilvl w:val="0"/>
          <w:numId w:val="1"/>
        </w:numPr>
        <w:spacing w:line="400" w:lineRule="exact"/>
        <w:ind w:firstLineChars="0"/>
        <w:rPr>
          <w:color w:val="auto"/>
          <w:highlight w:val="none"/>
        </w:rPr>
      </w:pPr>
      <w:r>
        <w:rPr>
          <w:rFonts w:hint="eastAsia"/>
          <w:b/>
          <w:color w:val="auto"/>
          <w:highlight w:val="none"/>
        </w:rPr>
        <w:t>说明：投标人须如实填写《技术规格偏离表》，并按招标文件的要求提供相关证明资料。提供的证明资料与投标响应情况不相符的，视为《技术规格偏离表》填写不实，按负偏离扣分处理。</w:t>
      </w:r>
      <w:r>
        <w:rPr>
          <w:rFonts w:hint="eastAsia" w:asciiTheme="minorEastAsia" w:hAnsiTheme="minorEastAsia" w:eastAsiaTheme="minorEastAsia"/>
          <w:b/>
          <w:bCs/>
          <w:color w:val="auto"/>
          <w:szCs w:val="21"/>
          <w:highlight w:val="none"/>
        </w:rPr>
        <w:t>（如有）</w:t>
      </w:r>
    </w:p>
    <w:p>
      <w:pPr>
        <w:pStyle w:val="123"/>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Style w:val="124"/>
        </w:rPr>
      </w:pPr>
      <w:bookmarkStart w:id="21" w:name="_Toc29460"/>
      <w:bookmarkStart w:id="22" w:name="_Toc28953521"/>
      <w:r>
        <w:rPr>
          <w:rStyle w:val="124"/>
          <w:rFonts w:ascii="宋体" w:hAnsi="宋体" w:cs="宋体"/>
          <w:szCs w:val="21"/>
        </w:rPr>
        <w:t>第一节</w:t>
      </w:r>
      <w:r>
        <w:rPr>
          <w:rStyle w:val="124"/>
          <w:rFonts w:hint="eastAsia" w:ascii="宋体" w:hAnsi="宋体" w:cs="宋体"/>
          <w:szCs w:val="21"/>
        </w:rPr>
        <w:t xml:space="preserve"> </w:t>
      </w:r>
      <w:r>
        <w:rPr>
          <w:rStyle w:val="124"/>
          <w:rFonts w:hint="eastAsia" w:ascii="宋体" w:hAnsi="宋体" w:cs="宋体"/>
          <w:szCs w:val="21"/>
          <w:lang w:val="en-US" w:eastAsia="zh-CN"/>
        </w:rPr>
        <w:t>技术（服务）</w:t>
      </w:r>
      <w:r>
        <w:rPr>
          <w:rStyle w:val="124"/>
          <w:rFonts w:hint="eastAsia"/>
          <w:sz w:val="28"/>
          <w:szCs w:val="28"/>
        </w:rPr>
        <w:t>要</w:t>
      </w:r>
      <w:r>
        <w:rPr>
          <w:rStyle w:val="124"/>
        </w:rPr>
        <w:t>求</w:t>
      </w:r>
      <w:bookmarkEnd w:id="21"/>
    </w:p>
    <w:p>
      <w:pPr>
        <w:pStyle w:val="3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bCs/>
          <w:color w:val="auto"/>
          <w:sz w:val="24"/>
          <w:szCs w:val="24"/>
          <w:highlight w:val="none"/>
          <w:lang w:val="en-US" w:eastAsia="zh-CN"/>
        </w:rPr>
      </w:pPr>
      <w:bookmarkStart w:id="23" w:name="_Toc22280"/>
      <w:r>
        <w:rPr>
          <w:rFonts w:hint="eastAsia" w:asciiTheme="minorEastAsia" w:hAnsiTheme="minorEastAsia" w:eastAsiaTheme="minorEastAsia" w:cstheme="minorEastAsia"/>
          <w:b/>
          <w:bCs/>
          <w:color w:val="auto"/>
          <w:sz w:val="24"/>
          <w:szCs w:val="24"/>
          <w:highlight w:val="none"/>
          <w:lang w:val="en-US" w:eastAsia="zh-CN"/>
        </w:rPr>
        <w:t>一、采购项目概况</w:t>
      </w:r>
    </w:p>
    <w:p>
      <w:pPr>
        <w:pStyle w:val="125"/>
        <w:keepNext w:val="0"/>
        <w:keepLines w:val="0"/>
        <w:pageBreakBefore w:val="0"/>
        <w:kinsoku/>
        <w:wordWrap/>
        <w:overflowPunct/>
        <w:topLinePunct w:val="0"/>
        <w:bidi w:val="0"/>
        <w:snapToGrid/>
        <w:spacing w:line="360" w:lineRule="auto"/>
        <w:ind w:left="420" w:leftChars="200" w:firstLine="0" w:firstLineChars="0"/>
        <w:rPr>
          <w:rFonts w:hint="eastAsia" w:ascii="宋体" w:hAnsi="宋体" w:cs="宋体"/>
          <w:sz w:val="22"/>
          <w:szCs w:val="22"/>
          <w:highlight w:val="none"/>
          <w:lang w:val="en-US" w:eastAsia="zh-CN"/>
        </w:rPr>
      </w:pPr>
      <w:r>
        <w:rPr>
          <w:rFonts w:hint="eastAsia" w:ascii="宋体" w:hAnsi="宋体" w:eastAsia="宋体" w:cs="宋体"/>
          <w:sz w:val="22"/>
          <w:szCs w:val="22"/>
          <w:highlight w:val="none"/>
          <w:lang w:val="en-US" w:eastAsia="zh-CN"/>
        </w:rPr>
        <w:t>1.项目名称：南山街道非经营性国储用地日常管理服务</w:t>
      </w:r>
    </w:p>
    <w:p>
      <w:pPr>
        <w:pStyle w:val="125"/>
        <w:keepNext w:val="0"/>
        <w:keepLines w:val="0"/>
        <w:pageBreakBefore w:val="0"/>
        <w:kinsoku/>
        <w:wordWrap/>
        <w:overflowPunct/>
        <w:topLinePunct w:val="0"/>
        <w:bidi w:val="0"/>
        <w:snapToGrid/>
        <w:spacing w:line="360" w:lineRule="auto"/>
        <w:ind w:left="420" w:leftChars="20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2.★项目预算金额：</w:t>
      </w:r>
    </w:p>
    <w:p>
      <w:pPr>
        <w:pStyle w:val="125"/>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人民币</w:t>
      </w:r>
      <w:r>
        <w:rPr>
          <w:rFonts w:hint="eastAsia" w:ascii="宋体" w:hAnsi="宋体" w:cs="宋体"/>
          <w:sz w:val="22"/>
          <w:szCs w:val="22"/>
          <w:highlight w:val="none"/>
          <w:lang w:val="en-US" w:eastAsia="zh-CN"/>
        </w:rPr>
        <w:t>980,000.00</w:t>
      </w:r>
      <w:r>
        <w:rPr>
          <w:rFonts w:hint="eastAsia" w:ascii="宋体" w:hAnsi="宋体" w:eastAsia="宋体" w:cs="宋体"/>
          <w:sz w:val="22"/>
          <w:szCs w:val="22"/>
          <w:highlight w:val="none"/>
          <w:lang w:val="en-US" w:eastAsia="zh-CN"/>
        </w:rPr>
        <w:t>元</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3.★项目</w:t>
      </w:r>
      <w:r>
        <w:rPr>
          <w:rFonts w:hint="eastAsia" w:ascii="宋体" w:hAnsi="宋体" w:cs="宋体"/>
          <w:sz w:val="22"/>
          <w:szCs w:val="22"/>
          <w:highlight w:val="none"/>
          <w:lang w:val="en-US" w:eastAsia="zh-CN"/>
        </w:rPr>
        <w:t>概况</w:t>
      </w:r>
      <w:r>
        <w:rPr>
          <w:rFonts w:hint="eastAsia" w:ascii="宋体" w:hAnsi="宋体" w:eastAsia="宋体" w:cs="宋体"/>
          <w:sz w:val="22"/>
          <w:szCs w:val="22"/>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40" w:firstLineChars="200"/>
        <w:jc w:val="both"/>
        <w:textAlignment w:val="auto"/>
        <w:rPr>
          <w:rStyle w:val="124"/>
          <w:rFonts w:hint="eastAsia" w:ascii="宋体" w:hAnsi="宋体" w:cs="宋体"/>
          <w:sz w:val="22"/>
          <w:szCs w:val="22"/>
          <w:highlight w:val="none"/>
          <w:lang w:val="en-US" w:eastAsia="zh-CN"/>
        </w:rPr>
      </w:pPr>
      <w:r>
        <w:rPr>
          <w:rFonts w:hint="eastAsia" w:ascii="宋体" w:hAnsi="宋体" w:eastAsia="宋体" w:cs="宋体"/>
          <w:kern w:val="0"/>
          <w:sz w:val="22"/>
          <w:szCs w:val="22"/>
          <w:highlight w:val="none"/>
          <w:lang w:val="en-US" w:eastAsia="zh-CN" w:bidi="ar-SA"/>
        </w:rPr>
        <w:t>派遣保安员负责协助</w:t>
      </w:r>
      <w:r>
        <w:rPr>
          <w:rFonts w:hint="eastAsia" w:ascii="宋体" w:hAnsi="宋体" w:cs="宋体"/>
          <w:kern w:val="0"/>
          <w:sz w:val="22"/>
          <w:szCs w:val="22"/>
          <w:highlight w:val="none"/>
          <w:lang w:val="en-US" w:eastAsia="zh-CN" w:bidi="ar-SA"/>
        </w:rPr>
        <w:t>采购人</w:t>
      </w:r>
      <w:r>
        <w:rPr>
          <w:rFonts w:hint="eastAsia" w:ascii="宋体" w:hAnsi="宋体" w:eastAsia="宋体" w:cs="宋体"/>
          <w:kern w:val="0"/>
          <w:sz w:val="22"/>
          <w:szCs w:val="22"/>
          <w:highlight w:val="none"/>
          <w:lang w:val="en-US" w:eastAsia="zh-CN" w:bidi="ar-SA"/>
        </w:rPr>
        <w:t>非经营性国储用地日常管理和巡查工作(发现并制止委托管理地块内的违法侵占行为，保证委托管理地块不被侵占和破坏。维护委托管理地块内的环境卫生，配合</w:t>
      </w:r>
      <w:r>
        <w:rPr>
          <w:rFonts w:hint="eastAsia" w:ascii="宋体" w:hAnsi="宋体" w:cs="宋体"/>
          <w:kern w:val="0"/>
          <w:sz w:val="22"/>
          <w:szCs w:val="22"/>
          <w:highlight w:val="none"/>
          <w:lang w:val="en-US" w:eastAsia="zh-CN" w:bidi="ar-SA"/>
        </w:rPr>
        <w:t>采购单位</w:t>
      </w:r>
      <w:r>
        <w:rPr>
          <w:rFonts w:hint="eastAsia" w:ascii="宋体" w:hAnsi="宋体" w:eastAsia="宋体" w:cs="宋体"/>
          <w:kern w:val="0"/>
          <w:sz w:val="22"/>
          <w:szCs w:val="22"/>
          <w:highlight w:val="none"/>
          <w:lang w:val="en-US" w:eastAsia="zh-CN" w:bidi="ar-SA"/>
        </w:rPr>
        <w:t>开展卫生消杀、清除新生杂草、防治薇甘菊、红火蚁等有害生物等。配合</w:t>
      </w:r>
      <w:r>
        <w:rPr>
          <w:rFonts w:hint="eastAsia" w:ascii="宋体" w:hAnsi="宋体" w:cs="宋体"/>
          <w:kern w:val="0"/>
          <w:sz w:val="22"/>
          <w:szCs w:val="22"/>
          <w:highlight w:val="none"/>
          <w:lang w:val="en-US" w:eastAsia="zh-CN" w:bidi="ar-SA"/>
        </w:rPr>
        <w:t>采购人</w:t>
      </w:r>
      <w:r>
        <w:rPr>
          <w:rFonts w:hint="eastAsia" w:ascii="宋体" w:hAnsi="宋体" w:eastAsia="宋体" w:cs="宋体"/>
          <w:kern w:val="0"/>
          <w:sz w:val="22"/>
          <w:szCs w:val="22"/>
          <w:highlight w:val="none"/>
          <w:lang w:val="en-US" w:eastAsia="zh-CN" w:bidi="ar-SA"/>
        </w:rPr>
        <w:t>和政府相关部门开展储备土地上的各种专项行动，如安全生产、卫生消杀、历史遗留违法建筑和违法占地清理等)。</w:t>
      </w:r>
    </w:p>
    <w:p>
      <w:pPr>
        <w:pStyle w:val="3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二、服务内容及其他要求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2"/>
          <w:szCs w:val="22"/>
          <w:highlight w:val="none"/>
          <w:lang w:val="en-US" w:eastAsia="zh-CN" w:bidi="ar-SA"/>
        </w:rPr>
      </w:pPr>
      <w:r>
        <w:rPr>
          <w:rFonts w:hint="eastAsia" w:ascii="宋体" w:hAnsi="宋体" w:eastAsia="宋体" w:cs="宋体"/>
          <w:b/>
          <w:bCs/>
          <w:kern w:val="0"/>
          <w:sz w:val="22"/>
          <w:szCs w:val="22"/>
          <w:highlight w:val="none"/>
          <w:lang w:val="en-US" w:eastAsia="zh-CN" w:bidi="ar-SA"/>
        </w:rPr>
        <w:t>(一)服务内容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1.对辖区内所有国有储备地地块开展日常巡查，加大日常巡逻管护，及时发现并阻止非法侵占、破坏储备土地的行为。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2.制止向储备土地排放污染物，防止土壤污染的行为。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3.按储备地实际管理需要，可设界桩、标志牌、围挡围网:进行必要的绿化、复绿，相关费用及支付主体由双方协商后确定。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4.管理和保护储备士地上的市政设施、基础设施以及其他已补偿的经济作物、建(构)筑物。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5.对可能存在安全隐患的地块及时采取必要的安全防护措施，并向相关职能部门报告。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6.建立并及时更新储备用地管理台账。台账要做到“四清楚”，即地块编号和地块位置要清楚、隐患内容和数量要清楚、安全防护(整治)措施和标准要清楚、巡查或整治责任主体要清楚。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7.法律法规规定以及采购人临时交办与储备土地相关的日常管理工作。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2"/>
          <w:szCs w:val="22"/>
          <w:highlight w:val="none"/>
          <w:lang w:val="en-US" w:eastAsia="zh-CN" w:bidi="ar-SA"/>
        </w:rPr>
      </w:pPr>
      <w:r>
        <w:rPr>
          <w:rFonts w:hint="eastAsia" w:ascii="宋体" w:hAnsi="宋体" w:eastAsia="宋体" w:cs="宋体"/>
          <w:b/>
          <w:bCs/>
          <w:kern w:val="0"/>
          <w:sz w:val="22"/>
          <w:szCs w:val="22"/>
          <w:highlight w:val="none"/>
          <w:lang w:val="en-US" w:eastAsia="zh-CN" w:bidi="ar-SA"/>
        </w:rPr>
        <w:t>(二)服务要求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中标供应商定期开展业务指导，规范和完善辅助管理人员的管理不断增强组织纪律性，提升思想素质、责任意识和业务水平，提高辅助管理人员的管理工作能力。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2"/>
          <w:szCs w:val="22"/>
          <w:highlight w:val="none"/>
          <w:lang w:val="en-US" w:eastAsia="zh-CN" w:bidi="ar-SA"/>
        </w:rPr>
      </w:pPr>
      <w:r>
        <w:rPr>
          <w:rFonts w:hint="eastAsia" w:ascii="宋体" w:hAnsi="宋体" w:eastAsia="宋体" w:cs="宋体"/>
          <w:b/>
          <w:bCs/>
          <w:kern w:val="0"/>
          <w:sz w:val="22"/>
          <w:szCs w:val="22"/>
          <w:highlight w:val="none"/>
          <w:lang w:val="en-US" w:eastAsia="zh-CN" w:bidi="ar-SA"/>
        </w:rPr>
        <w:t>(三)工作时间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按照《中华人民共和国劳动合同法》等相关法律法规的规定，保证派驻人员休息时间，合理做好人员安排。因工作需要，中标单位派驻人员需无条件服从节假日、夜间、专项整治等机动上班安排，保证满足采购单位工作要求及服务质量，事后中标单位可安排调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2"/>
          <w:szCs w:val="22"/>
          <w:highlight w:val="none"/>
          <w:lang w:val="en-US" w:eastAsia="zh-CN" w:bidi="ar-SA"/>
        </w:rPr>
      </w:pPr>
      <w:r>
        <w:rPr>
          <w:rFonts w:hint="eastAsia" w:ascii="宋体" w:hAnsi="宋体" w:eastAsia="宋体" w:cs="宋体"/>
          <w:b/>
          <w:bCs/>
          <w:kern w:val="0"/>
          <w:sz w:val="22"/>
          <w:szCs w:val="22"/>
          <w:highlight w:val="none"/>
          <w:lang w:val="en-US" w:eastAsia="zh-CN" w:bidi="ar-SA"/>
        </w:rPr>
        <w:t>（四）工作质量要求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提供国有储备用地日常管理服务，维护国有土地不被占用、搭建，有效避免工作人员管理疏忽造成采购人损失，满足采购人管理需求。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1.重大节假日及上级检查活动时,需无条件配合采购人工作安排；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2.对辖区范围内进行日常巡视，保证未发生私人占用国有储备用地；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3.严防各类违法搭建活动，当遇应急突发事件时，应及时妥善处理，如超出中标单位管理职责，应及时与采购人汇报；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4.以良好的服务和素质来体现采购方的形象。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2"/>
          <w:szCs w:val="22"/>
          <w:highlight w:val="none"/>
          <w:lang w:val="en-US" w:eastAsia="zh-CN" w:bidi="ar-SA"/>
        </w:rPr>
      </w:pPr>
      <w:r>
        <w:rPr>
          <w:rFonts w:hint="eastAsia" w:ascii="宋体" w:hAnsi="宋体" w:eastAsia="宋体" w:cs="宋体"/>
          <w:b/>
          <w:bCs/>
          <w:kern w:val="0"/>
          <w:sz w:val="22"/>
          <w:szCs w:val="22"/>
          <w:highlight w:val="none"/>
          <w:lang w:val="en-US" w:eastAsia="zh-CN" w:bidi="ar-SA"/>
        </w:rPr>
        <w:t>(五)人员标准及设备要求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1.中标供应商需对所配备的保安员进行专业业务指导，达到以下基本素质要求，方可上岗: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(1)队长:①热爱保安工作，责任心强；②身体健康；③男性。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(2)保安员:①热爱联防工作，责任心强；②身体健康；③男性。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2.设备要求(设备名称、数量):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(1)所有人员的制服、设备均由中标供应商负责配备发放。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(2)设备:移动巡查设备(平板电脑移动4G)≧2个，GPS定位仪≧2个、应急套装设备(警戒、警戒线、应急药箱、头盔)≧4套、对讲机≧4个、消防器材(灭火器、打火把、消防斧)≧4套、手电筒≧4个。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(3)质量及维护:设备设施应满足提供服务的要求，对设备设施进行适当维护，确保设备设施始终处于完好有效状态。</w:t>
      </w:r>
    </w:p>
    <w:p>
      <w:pPr>
        <w:pStyle w:val="3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三、总体管理服务标准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(一)严格遵循《深圳市物业管理条例》、《（深圳市招标方安全管理条例）实施细则》、《深圳市物业管理考核评比标准》有关规定和要求，利用现代化管理手段进行管理服务。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(二)无因管理服务造成的安全事故、质量事故。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(三)确保国有储备用地安全，让采购单位满意、放心。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(四)管理服务人员配置符合采购单位要求。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(五)公共配套设备、设施完好。</w:t>
      </w:r>
    </w:p>
    <w:p>
      <w:pPr>
        <w:rPr>
          <w:rFonts w:hint="default"/>
          <w:lang w:val="en-US" w:eastAsia="zh-CN"/>
        </w:rPr>
      </w:pPr>
    </w:p>
    <w:p>
      <w:pPr>
        <w:pStyle w:val="5"/>
        <w:numPr>
          <w:ilvl w:val="0"/>
          <w:numId w:val="0"/>
        </w:numPr>
        <w:spacing w:line="360" w:lineRule="auto"/>
        <w:jc w:val="center"/>
        <w:outlineLvl w:val="2"/>
        <w:rPr>
          <w:rFonts w:hint="eastAsia" w:ascii="宋体" w:hAnsi="宋体" w:eastAsia="宋体" w:cs="宋体"/>
          <w:b/>
          <w:bCs/>
          <w:color w:val="000000" w:themeColor="text1"/>
          <w:szCs w:val="40"/>
          <w14:textFill>
            <w14:solidFill>
              <w14:schemeClr w14:val="tx1"/>
            </w14:solidFill>
          </w14:textFill>
        </w:rPr>
      </w:pPr>
      <w:bookmarkStart w:id="24" w:name="_Toc9989"/>
      <w:bookmarkStart w:id="25" w:name="_Toc26166"/>
      <w:r>
        <w:rPr>
          <w:rFonts w:hint="eastAsia" w:ascii="宋体" w:hAnsi="宋体" w:eastAsia="宋体" w:cs="宋体"/>
          <w:b/>
          <w:bCs/>
          <w:color w:val="000000" w:themeColor="text1"/>
          <w:szCs w:val="40"/>
          <w:lang w:val="en-US" w:eastAsia="zh-CN"/>
          <w14:textFill>
            <w14:solidFill>
              <w14:schemeClr w14:val="tx1"/>
            </w14:solidFill>
          </w14:textFill>
        </w:rPr>
        <w:t xml:space="preserve">第二节 </w:t>
      </w:r>
      <w:r>
        <w:rPr>
          <w:rFonts w:hint="eastAsia" w:ascii="宋体" w:hAnsi="宋体" w:eastAsia="宋体" w:cs="宋体"/>
          <w:b/>
          <w:bCs/>
          <w:color w:val="000000" w:themeColor="text1"/>
          <w:szCs w:val="40"/>
          <w14:textFill>
            <w14:solidFill>
              <w14:schemeClr w14:val="tx1"/>
            </w14:solidFill>
          </w14:textFill>
        </w:rPr>
        <w:t>商务要求</w:t>
      </w:r>
      <w:bookmarkEnd w:id="23"/>
      <w:bookmarkEnd w:id="24"/>
      <w:bookmarkEnd w:id="25"/>
    </w:p>
    <w:p>
      <w:pPr>
        <w:pStyle w:val="3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一、★服务期限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自2024年10月10日至2025年10月9日止。</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本项目为长期服务项目，合同期满可以续签，但合同履行期限最长不得超过三十六个月。如甲方对履约情况不满意，甲方不再续约。</w:t>
      </w:r>
    </w:p>
    <w:p>
      <w:pPr>
        <w:pStyle w:val="3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二、★服务地点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南山区南山道辖区范围内国有储备用地。</w:t>
      </w:r>
    </w:p>
    <w:p>
      <w:pPr>
        <w:pStyle w:val="3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三、★报价要求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1、本项目预算金额为人民币玖拾捌万元整（980000.00元），投标报价超出预算限额的将为无效投标。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2、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3、投标供应商应当根据本企业的成本自行决定报价，但不得以低于其企业成本的报价投标。</w:t>
      </w:r>
    </w:p>
    <w:p>
      <w:pPr>
        <w:pStyle w:val="3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四、付款方式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本项目分三期支付，支付时间和方式如下: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1、第一期款:委托管理地块交接之日起3个月内，支付委托管理合同管理费的70%。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2、第二期款:合同生效之日起的第6至9月，支付委托管理合同管理费的20%。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3、第三期款:合同期限届满，采购方对中标方在合同期间履行管理情况进行全面核查,若中标方已全部按本合同约定履行其受托管理义务，则采购方应支付中标方委托管理合同管理费剩余部分；若本合同提前终止或解除，则采购方按照日平均管理费用的计算方式按实结算管理费。</w:t>
      </w:r>
    </w:p>
    <w:p>
      <w:pPr>
        <w:pStyle w:val="3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1、★为满足采购单位工作需求，中标单位承诺:已和派驻人员就可能存在的加班问题(含超时加班)达成一致，且保证中标单位派驻人员已同意按采购单位安排进行工作，其工作时间包括但不限于加班(含超时加班)、夜班，所有费用由中标单位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2、如因中标单位及其派驻人员原因或者因采购单位要求更换派驻人员，造成采购单位工作岗位空缺，中标单位应于两日内调配人员补足，以满足采购单位工作需求。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3、中标单位派驻人员因工作失职造成采购单位财物损失的，中标单位和直接责任人承担连带赔偿责任,相应赔偿费用采购单位可直接在当月服务费中扣减；情节严重的，送交司法机关追究其法律责任。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4、中标单位派驻人员在执行采购单位工作任务过程中遭受人身损害的，采购单位有义务及时向中标单位通报，中标单位应及时派遣工作人员进行处理。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5、中标单位派驻人员在执行采购单位工作任务过程中造成他人人身或者财产损害的，中标单位应承担相应的损害赔偿责任，若采购单位已经承担赔偿责任的，有权向中标单位追偿。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6、因发生不可抗拒事件(如地震、战争、灾害等)造成损失，双方互不承担任何责任。</w:t>
      </w:r>
    </w:p>
    <w:p>
      <w:pPr>
        <w:spacing w:line="360" w:lineRule="auto"/>
        <w:ind w:left="420"/>
        <w:rPr>
          <w:rFonts w:cs="宋体" w:asciiTheme="minorEastAsia" w:hAnsiTheme="minorEastAsia" w:eastAsiaTheme="minorEastAsia"/>
          <w:color w:val="auto"/>
          <w:szCs w:val="21"/>
          <w:highlight w:val="none"/>
        </w:rPr>
      </w:pPr>
      <w:r>
        <w:rPr>
          <w:rFonts w:hint="eastAsia" w:ascii="宋体" w:hAnsi="宋体" w:eastAsia="宋体" w:cs="宋体"/>
          <w:kern w:val="0"/>
          <w:sz w:val="22"/>
          <w:szCs w:val="22"/>
          <w:highlight w:val="none"/>
          <w:lang w:val="en-US" w:eastAsia="zh-CN" w:bidi="ar-SA"/>
        </w:rPr>
        <w:t>7、中标单位及其派驻人员有义务根据采购单位要求向采购单位提供派驻人员身体健康证明、无不良记录证明、有效身份证明等采购单位需要的材料。</w:t>
      </w:r>
    </w:p>
    <w:bookmarkEnd w:id="22"/>
    <w:p>
      <w:pPr>
        <w:rPr>
          <w:b/>
          <w:bCs/>
          <w:color w:val="auto"/>
          <w:sz w:val="28"/>
          <w:szCs w:val="28"/>
          <w:highlight w:val="none"/>
        </w:rPr>
      </w:pPr>
      <w:r>
        <w:rPr>
          <w:rFonts w:hint="eastAsia"/>
          <w:b/>
          <w:bCs/>
          <w:color w:val="auto"/>
          <w:sz w:val="28"/>
          <w:szCs w:val="28"/>
          <w:highlight w:val="none"/>
        </w:rPr>
        <w:br w:type="page"/>
      </w:r>
    </w:p>
    <w:p>
      <w:pPr>
        <w:pStyle w:val="3"/>
        <w:jc w:val="center"/>
        <w:rPr>
          <w:rFonts w:asciiTheme="majorEastAsia" w:hAnsiTheme="majorEastAsia" w:eastAsiaTheme="majorEastAsia" w:cstheme="majorEastAsia"/>
          <w:color w:val="auto"/>
          <w:sz w:val="32"/>
          <w:szCs w:val="32"/>
          <w:highlight w:val="none"/>
        </w:rPr>
      </w:pPr>
      <w:bookmarkStart w:id="26" w:name="_Toc5667_WPSOffice_Level1"/>
      <w:bookmarkStart w:id="27" w:name="_Toc7253"/>
      <w:bookmarkStart w:id="28" w:name="_Toc4019"/>
      <w:bookmarkStart w:id="29" w:name="_Toc77947873"/>
      <w:r>
        <w:rPr>
          <w:rFonts w:hint="eastAsia" w:asciiTheme="majorEastAsia" w:hAnsiTheme="majorEastAsia" w:eastAsiaTheme="majorEastAsia" w:cstheme="majorEastAsia"/>
          <w:color w:val="auto"/>
          <w:sz w:val="32"/>
          <w:szCs w:val="32"/>
          <w:highlight w:val="none"/>
        </w:rPr>
        <w:t>第四章 评标、定标</w:t>
      </w:r>
      <w:bookmarkEnd w:id="16"/>
      <w:bookmarkEnd w:id="26"/>
      <w:bookmarkEnd w:id="27"/>
      <w:bookmarkEnd w:id="28"/>
      <w:bookmarkEnd w:id="29"/>
      <w:bookmarkStart w:id="30" w:name="_Toc435514846"/>
    </w:p>
    <w:p>
      <w:pPr>
        <w:pStyle w:val="4"/>
        <w:numPr>
          <w:ilvl w:val="0"/>
          <w:numId w:val="2"/>
        </w:numPr>
        <w:spacing w:line="240" w:lineRule="auto"/>
        <w:jc w:val="center"/>
        <w:rPr>
          <w:rFonts w:asciiTheme="majorEastAsia" w:hAnsiTheme="majorEastAsia" w:eastAsiaTheme="majorEastAsia"/>
          <w:color w:val="auto"/>
          <w:sz w:val="30"/>
          <w:szCs w:val="30"/>
          <w:highlight w:val="none"/>
        </w:rPr>
      </w:pPr>
      <w:bookmarkStart w:id="31" w:name="_Toc15209"/>
      <w:bookmarkStart w:id="32" w:name="_Toc77947874"/>
      <w:r>
        <w:rPr>
          <w:rFonts w:hint="eastAsia" w:asciiTheme="majorEastAsia" w:hAnsiTheme="majorEastAsia" w:eastAsiaTheme="majorEastAsia"/>
          <w:color w:val="auto"/>
          <w:sz w:val="30"/>
          <w:szCs w:val="30"/>
          <w:highlight w:val="none"/>
        </w:rPr>
        <w:t>资格性审查表</w:t>
      </w:r>
      <w:bookmarkEnd w:id="31"/>
      <w:bookmarkEnd w:id="32"/>
    </w:p>
    <w:tbl>
      <w:tblPr>
        <w:tblStyle w:val="37"/>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color w:val="auto"/>
                <w:highlight w:val="none"/>
              </w:rPr>
            </w:pPr>
            <w:r>
              <w:rPr>
                <w:rFonts w:hint="eastAsia" w:ascii="宋体" w:cs="宋体"/>
                <w:b/>
                <w:color w:val="auto"/>
                <w:highlight w:val="none"/>
              </w:rPr>
              <w:t>序号</w:t>
            </w:r>
          </w:p>
        </w:tc>
        <w:tc>
          <w:tcPr>
            <w:tcW w:w="7499"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具备招标文件中规定资格要求的及资格证明文件齐全；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投标人资格声明函已提交并符合招标文件要求的；</w:t>
            </w:r>
          </w:p>
        </w:tc>
      </w:tr>
    </w:tbl>
    <w:p>
      <w:pPr>
        <w:adjustRightInd w:val="0"/>
        <w:snapToGrid w:val="0"/>
        <w:spacing w:line="360" w:lineRule="auto"/>
        <w:jc w:val="left"/>
        <w:outlineLvl w:val="9"/>
        <w:rPr>
          <w:rFonts w:ascii="宋体" w:hAnsi="宋体"/>
          <w:color w:val="auto"/>
          <w:highlight w:val="none"/>
        </w:rPr>
      </w:pPr>
      <w:bookmarkStart w:id="33" w:name="_Toc15975"/>
      <w:r>
        <w:rPr>
          <w:rFonts w:hint="eastAsia" w:ascii="宋体" w:hAnsi="宋体" w:cs="宋体"/>
          <w:color w:val="auto"/>
          <w:highlight w:val="none"/>
        </w:rPr>
        <w:t>说明：</w:t>
      </w:r>
      <w:r>
        <w:rPr>
          <w:rFonts w:hint="eastAsia" w:ascii="宋体" w:hAnsi="宋体"/>
          <w:color w:val="auto"/>
          <w:highlight w:val="none"/>
        </w:rPr>
        <w:t>投标人必须严格按照《资格性审查表》的评审内容的要求如实提供证明材料</w:t>
      </w:r>
      <w:r>
        <w:rPr>
          <w:rFonts w:hint="eastAsia" w:ascii="宋体" w:hAnsi="宋体"/>
          <w:bCs/>
          <w:color w:val="auto"/>
          <w:highlight w:val="none"/>
        </w:rPr>
        <w:t>并应加盖投标人公章，</w:t>
      </w:r>
      <w:r>
        <w:rPr>
          <w:rFonts w:hint="eastAsia" w:ascii="宋体" w:hAnsi="宋体"/>
          <w:color w:val="auto"/>
          <w:highlight w:val="none"/>
        </w:rPr>
        <w:t>对缺漏或不符合项将直接导致无效投标</w:t>
      </w:r>
      <w:r>
        <w:rPr>
          <w:rFonts w:hint="eastAsia" w:ascii="宋体" w:cs="宋体"/>
          <w:color w:val="auto"/>
          <w:szCs w:val="21"/>
          <w:highlight w:val="none"/>
        </w:rPr>
        <w:t>。</w:t>
      </w:r>
      <w:bookmarkEnd w:id="33"/>
    </w:p>
    <w:p>
      <w:pPr>
        <w:rPr>
          <w:color w:val="auto"/>
          <w:highlight w:val="none"/>
        </w:rPr>
      </w:pPr>
    </w:p>
    <w:p>
      <w:pPr>
        <w:pStyle w:val="4"/>
        <w:numPr>
          <w:ilvl w:val="0"/>
          <w:numId w:val="2"/>
        </w:numPr>
        <w:spacing w:line="240" w:lineRule="auto"/>
        <w:jc w:val="center"/>
        <w:rPr>
          <w:rFonts w:asciiTheme="majorEastAsia" w:hAnsiTheme="majorEastAsia" w:eastAsiaTheme="majorEastAsia"/>
          <w:color w:val="auto"/>
          <w:sz w:val="30"/>
          <w:szCs w:val="30"/>
          <w:highlight w:val="none"/>
        </w:rPr>
      </w:pPr>
      <w:bookmarkStart w:id="34" w:name="_Toc77947875"/>
      <w:bookmarkStart w:id="35" w:name="_Toc13229"/>
      <w:r>
        <w:rPr>
          <w:rFonts w:hint="eastAsia" w:asciiTheme="majorEastAsia" w:hAnsiTheme="majorEastAsia" w:eastAsiaTheme="majorEastAsia"/>
          <w:color w:val="auto"/>
          <w:sz w:val="30"/>
          <w:szCs w:val="30"/>
          <w:highlight w:val="none"/>
        </w:rPr>
        <w:t>符合性审查表</w:t>
      </w:r>
      <w:bookmarkEnd w:id="34"/>
      <w:bookmarkEnd w:id="35"/>
    </w:p>
    <w:tbl>
      <w:tblPr>
        <w:tblStyle w:val="37"/>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jc w:val="center"/>
              <w:rPr>
                <w:rFonts w:ascii="宋体" w:cs="宋体"/>
                <w:b/>
                <w:color w:val="auto"/>
                <w:highlight w:val="none"/>
              </w:rPr>
            </w:pPr>
            <w:r>
              <w:rPr>
                <w:rFonts w:hint="eastAsia" w:ascii="宋体" w:cs="宋体"/>
                <w:b/>
                <w:color w:val="auto"/>
                <w:highlight w:val="none"/>
              </w:rPr>
              <w:t>序号</w:t>
            </w:r>
          </w:p>
        </w:tc>
        <w:tc>
          <w:tcPr>
            <w:tcW w:w="7499"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按照招标文件规定要求签署、盖章且投标文件有法定代表人签字或盖章（或签字人有法定代表人有效授权书）的；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投标函已提交并符合招标文件要求的，且</w:t>
            </w:r>
            <w:r>
              <w:rPr>
                <w:rFonts w:hint="eastAsia" w:ascii="宋体" w:hAnsi="宋体"/>
                <w:color w:val="auto"/>
                <w:szCs w:val="21"/>
                <w:highlight w:val="none"/>
              </w:rPr>
              <w:t>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bCs/>
                <w:color w:val="auto"/>
                <w:szCs w:val="20"/>
                <w:highlight w:val="none"/>
              </w:rPr>
              <w:t>投标人按招标文件要求提供本国产品\服务</w:t>
            </w:r>
            <w:r>
              <w:rPr>
                <w:rStyle w:val="45"/>
                <w:rFonts w:hint="eastAsia" w:asciiTheme="minorHAnsi" w:hAnsiTheme="minorHAnsi" w:eastAsiaTheme="minorEastAsia" w:cstheme="minorBid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hAnsi="宋体" w:cs="宋体"/>
                <w:color w:val="auto"/>
                <w:highlight w:val="none"/>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hAnsi="宋体" w:cs="宋体"/>
                <w:color w:val="auto"/>
                <w:highlight w:val="none"/>
              </w:rPr>
              <w:t>按有关法律法规、规章不属于投标无效的。</w:t>
            </w:r>
          </w:p>
        </w:tc>
      </w:tr>
    </w:tbl>
    <w:p>
      <w:pPr>
        <w:tabs>
          <w:tab w:val="left" w:pos="420"/>
          <w:tab w:val="left" w:pos="630"/>
        </w:tabs>
        <w:autoSpaceDE w:val="0"/>
        <w:autoSpaceDN w:val="0"/>
        <w:adjustRightInd w:val="0"/>
        <w:spacing w:line="360" w:lineRule="auto"/>
        <w:rPr>
          <w:b/>
          <w:bCs/>
          <w:color w:val="auto"/>
          <w:sz w:val="28"/>
          <w:szCs w:val="28"/>
          <w:highlight w:val="none"/>
        </w:rPr>
      </w:pPr>
      <w:r>
        <w:rPr>
          <w:rFonts w:hint="eastAsia" w:ascii="宋体" w:hAnsi="宋体"/>
          <w:color w:val="auto"/>
          <w:szCs w:val="21"/>
          <w:highlight w:val="none"/>
        </w:rPr>
        <w:t>说明：</w:t>
      </w:r>
      <w:r>
        <w:rPr>
          <w:rFonts w:hint="eastAsia" w:ascii="宋体" w:hAnsi="宋体"/>
          <w:color w:val="auto"/>
          <w:highlight w:val="none"/>
        </w:rPr>
        <w:t>投标人必须严格按照《符合性审查表》的评审内容的要求如实提供证明材料</w:t>
      </w:r>
      <w:r>
        <w:rPr>
          <w:rFonts w:hint="eastAsia" w:ascii="宋体" w:hAnsi="宋体"/>
          <w:bCs/>
          <w:color w:val="auto"/>
          <w:highlight w:val="none"/>
        </w:rPr>
        <w:t>并应加盖投标人公章，</w:t>
      </w:r>
      <w:r>
        <w:rPr>
          <w:rFonts w:hint="eastAsia" w:ascii="宋体" w:hAnsi="宋体"/>
          <w:color w:val="auto"/>
          <w:highlight w:val="none"/>
        </w:rPr>
        <w:t>对缺漏或不符合项将直接导致无效投标</w:t>
      </w:r>
      <w:r>
        <w:rPr>
          <w:rFonts w:hint="eastAsia" w:ascii="宋体" w:cs="宋体"/>
          <w:color w:val="auto"/>
          <w:szCs w:val="21"/>
          <w:highlight w:val="none"/>
        </w:rPr>
        <w:t>。</w:t>
      </w:r>
    </w:p>
    <w:p>
      <w:pPr>
        <w:pStyle w:val="4"/>
        <w:numPr>
          <w:ilvl w:val="0"/>
          <w:numId w:val="2"/>
        </w:numPr>
        <w:spacing w:line="240" w:lineRule="auto"/>
        <w:jc w:val="center"/>
        <w:rPr>
          <w:rFonts w:ascii="黑体" w:hAnsi="宋体" w:cs="宋体"/>
          <w:color w:val="auto"/>
          <w:sz w:val="28"/>
          <w:szCs w:val="28"/>
          <w:highlight w:val="none"/>
        </w:rPr>
      </w:pPr>
      <w:r>
        <w:rPr>
          <w:rFonts w:ascii="黑体" w:hAnsi="宋体" w:cs="宋体"/>
          <w:color w:val="auto"/>
          <w:sz w:val="28"/>
          <w:szCs w:val="28"/>
          <w:highlight w:val="none"/>
        </w:rPr>
        <w:br w:type="page"/>
      </w:r>
      <w:bookmarkStart w:id="36" w:name="_Toc77947876"/>
      <w:r>
        <w:rPr>
          <w:rFonts w:hint="eastAsia" w:asciiTheme="majorEastAsia" w:hAnsiTheme="majorEastAsia" w:eastAsiaTheme="majorEastAsia"/>
          <w:color w:val="auto"/>
          <w:sz w:val="30"/>
          <w:szCs w:val="30"/>
          <w:highlight w:val="none"/>
        </w:rPr>
        <w:t>综合评分表</w:t>
      </w:r>
      <w:bookmarkEnd w:id="36"/>
    </w:p>
    <w:tbl>
      <w:tblPr>
        <w:tblStyle w:val="37"/>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评审部分</w:t>
            </w:r>
          </w:p>
        </w:tc>
        <w:tc>
          <w:tcPr>
            <w:tcW w:w="1355"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评审因素</w:t>
            </w:r>
          </w:p>
        </w:tc>
        <w:tc>
          <w:tcPr>
            <w:tcW w:w="5635"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评分细则</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权重</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hint="eastAsia" w:cs="宋体" w:asciiTheme="minorEastAsia" w:hAnsiTheme="minorEastAsia" w:eastAsiaTheme="minorEastAsia"/>
                <w:b/>
                <w:color w:val="auto"/>
                <w:szCs w:val="21"/>
                <w:highlight w:val="none"/>
                <w:lang w:val="en-US" w:eastAsia="zh-CN"/>
              </w:rPr>
            </w:pPr>
            <w:r>
              <w:rPr>
                <w:rFonts w:hint="eastAsia" w:cs="宋体" w:asciiTheme="minorEastAsia" w:hAnsiTheme="minorEastAsia" w:eastAsiaTheme="minorEastAsia"/>
                <w:b/>
                <w:color w:val="auto"/>
                <w:szCs w:val="21"/>
                <w:highlight w:val="none"/>
                <w:lang w:val="en-US" w:eastAsia="zh-CN"/>
              </w:rPr>
              <w:t>一</w:t>
            </w:r>
          </w:p>
        </w:tc>
        <w:tc>
          <w:tcPr>
            <w:tcW w:w="8467" w:type="dxa"/>
            <w:gridSpan w:val="4"/>
            <w:vAlign w:val="center"/>
          </w:tcPr>
          <w:p>
            <w:pPr>
              <w:ind w:left="-78" w:leftChars="-37" w:right="-73" w:rightChars="-35"/>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价格</w:t>
            </w:r>
            <w:r>
              <w:rPr>
                <w:rFonts w:hint="eastAsia" w:asciiTheme="minorEastAsia" w:hAnsiTheme="minorEastAsia" w:eastAsiaTheme="minorEastAsia"/>
                <w:b/>
                <w:color w:val="auto"/>
                <w:szCs w:val="21"/>
                <w:highlight w:val="none"/>
              </w:rPr>
              <w:t>部分（</w:t>
            </w:r>
            <w:r>
              <w:rPr>
                <w:rFonts w:hint="eastAsia" w:asciiTheme="minorEastAsia" w:hAnsiTheme="minorEastAsia" w:eastAsiaTheme="minorEastAsia"/>
                <w:b/>
                <w:color w:val="auto"/>
                <w:szCs w:val="21"/>
                <w:highlight w:val="none"/>
                <w:lang w:val="en-US" w:eastAsia="zh-CN"/>
              </w:rPr>
              <w:t>10</w:t>
            </w:r>
            <w:r>
              <w:rPr>
                <w:rFonts w:hint="eastAsia" w:asciiTheme="minorEastAsia" w:hAnsiTheme="minorEastAsia" w:eastAsiaTheme="minorEastAsia"/>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80" w:type="dxa"/>
            <w:vAlign w:val="center"/>
          </w:tcPr>
          <w:p>
            <w:pPr>
              <w:ind w:left="-78" w:leftChars="-37" w:right="-73" w:rightChars="-35"/>
              <w:jc w:val="center"/>
              <w:rPr>
                <w:rFonts w:hint="eastAsia" w:cs="宋体" w:asciiTheme="minorEastAsia" w:hAnsiTheme="minorEastAsia" w:eastAsiaTheme="minorEastAsia"/>
                <w:b/>
                <w:color w:val="auto"/>
                <w:szCs w:val="21"/>
                <w:highlight w:val="none"/>
              </w:rPr>
            </w:pPr>
          </w:p>
        </w:tc>
        <w:tc>
          <w:tcPr>
            <w:tcW w:w="8467"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textAlignment w:val="auto"/>
              <w:rPr>
                <w:color w:val="auto"/>
                <w:highlight w:val="none"/>
              </w:rPr>
            </w:pPr>
            <w:r>
              <w:rPr>
                <w:color w:val="auto"/>
                <w:highlight w:val="none"/>
              </w:rPr>
              <w:t>采用新的价格分规则：价格分应当采用低价优先法计算，即满足招标文件要求且投标价格最低的投标报价为评标基准价，其价格分为满分。其他投标人的价格分统一按照下列公式计算：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rPr>
                <w:rFonts w:hint="eastAsia" w:asciiTheme="minorEastAsia" w:hAnsiTheme="minorEastAsia" w:eastAsiaTheme="minorEastAsia"/>
                <w:b/>
                <w:color w:val="auto"/>
                <w:szCs w:val="21"/>
                <w:highlight w:val="none"/>
              </w:rPr>
            </w:pPr>
            <w:r>
              <w:rPr>
                <w:color w:val="auto"/>
                <w:highlight w:val="none"/>
              </w:rPr>
              <w:t>投标报价得分=(评标基准价／投标报价)×权重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hint="eastAsia" w:cs="宋体" w:asciiTheme="minorEastAsia" w:hAnsiTheme="minorEastAsia" w:eastAsiaTheme="minorEastAsia"/>
                <w:b/>
                <w:color w:val="auto"/>
                <w:szCs w:val="21"/>
                <w:highlight w:val="none"/>
                <w:lang w:eastAsia="zh-CN"/>
              </w:rPr>
            </w:pPr>
            <w:r>
              <w:rPr>
                <w:rFonts w:hint="eastAsia" w:cs="宋体" w:asciiTheme="minorEastAsia" w:hAnsiTheme="minorEastAsia" w:eastAsiaTheme="minorEastAsia"/>
                <w:b/>
                <w:color w:val="auto"/>
                <w:szCs w:val="21"/>
                <w:highlight w:val="none"/>
                <w:lang w:val="en-US" w:eastAsia="zh-CN"/>
              </w:rPr>
              <w:t>二</w:t>
            </w:r>
          </w:p>
        </w:tc>
        <w:tc>
          <w:tcPr>
            <w:tcW w:w="8467" w:type="dxa"/>
            <w:gridSpan w:val="4"/>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技术部分（</w:t>
            </w:r>
            <w:r>
              <w:rPr>
                <w:rFonts w:hint="eastAsia" w:asciiTheme="minorEastAsia" w:hAnsiTheme="minorEastAsia" w:eastAsiaTheme="minorEastAsia"/>
                <w:b/>
                <w:color w:val="auto"/>
                <w:szCs w:val="21"/>
                <w:highlight w:val="none"/>
                <w:lang w:val="en-US" w:eastAsia="zh-CN"/>
              </w:rPr>
              <w:t>63</w:t>
            </w:r>
            <w:r>
              <w:rPr>
                <w:rFonts w:hint="eastAsia" w:asciiTheme="minorEastAsia" w:hAnsiTheme="minorEastAsia" w:eastAsiaTheme="minorEastAsia"/>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3"/>
              <w:numPr>
                <w:ilvl w:val="0"/>
                <w:numId w:val="5"/>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看护管养服务方案</w:t>
            </w:r>
          </w:p>
        </w:tc>
        <w:tc>
          <w:tcPr>
            <w:tcW w:w="5635" w:type="dxa"/>
            <w:vAlign w:val="top"/>
          </w:tcPr>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lang w:val="en-US" w:eastAsia="zh-CN"/>
              </w:rPr>
              <w:t>评审</w:t>
            </w:r>
            <w:r>
              <w:rPr>
                <w:rFonts w:hint="eastAsia" w:ascii="宋体" w:hAnsi="宋体" w:eastAsia="宋体" w:cs="宋体"/>
                <w:b/>
                <w:bCs/>
                <w:sz w:val="22"/>
                <w:szCs w:val="22"/>
                <w:highlight w:val="none"/>
              </w:rPr>
              <w:t>内容：</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投标人提供以下国有土地看护管养的各方面方案：</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（1）对标段现状情况的分析；</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（2）日常及各项看护管养工作的组织形式和技术措施；</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（3）各项保障措施及培训方案；</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（4）看护管养目标及服务承诺。</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w:t>
            </w:r>
            <w:r>
              <w:rPr>
                <w:rFonts w:hint="eastAsia" w:ascii="宋体" w:hAnsi="宋体" w:eastAsia="宋体" w:cs="宋体"/>
                <w:b/>
                <w:bCs/>
                <w:sz w:val="22"/>
                <w:szCs w:val="22"/>
                <w:highlight w:val="none"/>
                <w:lang w:val="en-US" w:eastAsia="zh-CN"/>
              </w:rPr>
              <w:t>评分依据</w:t>
            </w:r>
            <w:r>
              <w:rPr>
                <w:rFonts w:hint="eastAsia" w:ascii="宋体" w:hAnsi="宋体" w:eastAsia="宋体" w:cs="宋体"/>
                <w:b/>
                <w:bCs/>
                <w:sz w:val="22"/>
                <w:szCs w:val="22"/>
                <w:highlight w:val="none"/>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lang w:val="en-GB"/>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投标人实施方案详细，安排合理，</w:t>
            </w:r>
            <w:r>
              <w:rPr>
                <w:rFonts w:hint="eastAsia" w:ascii="宋体" w:hAnsi="宋体" w:eastAsia="宋体" w:cs="宋体"/>
                <w:sz w:val="22"/>
                <w:szCs w:val="22"/>
                <w:highlight w:val="none"/>
                <w:lang w:val="en-US" w:eastAsia="zh-CN"/>
              </w:rPr>
              <w:t>评价为优</w:t>
            </w:r>
            <w:r>
              <w:rPr>
                <w:rFonts w:hint="eastAsia" w:ascii="宋体" w:hAnsi="宋体" w:eastAsia="宋体" w:cs="宋体"/>
                <w:sz w:val="22"/>
                <w:szCs w:val="22"/>
                <w:highlight w:val="none"/>
                <w:lang w:val="en-GB"/>
              </w:rPr>
              <w:t>得</w:t>
            </w:r>
            <w:r>
              <w:rPr>
                <w:rFonts w:hint="eastAsia" w:ascii="宋体" w:hAnsi="宋体" w:eastAsia="宋体" w:cs="宋体"/>
                <w:sz w:val="22"/>
                <w:szCs w:val="22"/>
                <w:highlight w:val="none"/>
                <w:lang w:val="en-US" w:eastAsia="zh-CN"/>
              </w:rPr>
              <w:t>20</w:t>
            </w:r>
            <w:r>
              <w:rPr>
                <w:rFonts w:hint="eastAsia" w:ascii="宋体" w:hAnsi="宋体" w:eastAsia="宋体" w:cs="宋体"/>
                <w:sz w:val="22"/>
                <w:szCs w:val="22"/>
                <w:highlight w:val="none"/>
                <w:lang w:val="en-GB"/>
              </w:rPr>
              <w:t>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lang w:val="en-GB"/>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投标人实施方案一般，安排一般，</w:t>
            </w:r>
            <w:r>
              <w:rPr>
                <w:rFonts w:hint="eastAsia" w:ascii="宋体" w:hAnsi="宋体" w:eastAsia="宋体" w:cs="宋体"/>
                <w:sz w:val="22"/>
                <w:szCs w:val="22"/>
                <w:highlight w:val="none"/>
                <w:lang w:val="en-US" w:eastAsia="zh-CN"/>
              </w:rPr>
              <w:t>评价为良</w:t>
            </w:r>
            <w:r>
              <w:rPr>
                <w:rFonts w:hint="eastAsia" w:ascii="宋体" w:hAnsi="宋体" w:eastAsia="宋体" w:cs="宋体"/>
                <w:sz w:val="22"/>
                <w:szCs w:val="22"/>
                <w:highlight w:val="none"/>
                <w:lang w:val="en-GB"/>
              </w:rPr>
              <w:t>得</w:t>
            </w:r>
            <w:r>
              <w:rPr>
                <w:rFonts w:hint="eastAsia" w:ascii="宋体" w:hAnsi="宋体" w:eastAsia="宋体" w:cs="宋体"/>
                <w:sz w:val="22"/>
                <w:szCs w:val="22"/>
                <w:highlight w:val="none"/>
                <w:lang w:val="en-US" w:eastAsia="zh-CN"/>
              </w:rPr>
              <w:t>15</w:t>
            </w:r>
            <w:r>
              <w:rPr>
                <w:rFonts w:hint="eastAsia" w:ascii="宋体" w:hAnsi="宋体" w:eastAsia="宋体" w:cs="宋体"/>
                <w:sz w:val="22"/>
                <w:szCs w:val="22"/>
                <w:highlight w:val="none"/>
                <w:lang w:val="en-GB"/>
              </w:rPr>
              <w:t>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lang w:val="en-GB"/>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投标人实施方案不详细，安排</w:t>
            </w:r>
            <w:r>
              <w:rPr>
                <w:rFonts w:hint="eastAsia" w:ascii="宋体" w:hAnsi="宋体" w:eastAsia="宋体" w:cs="宋体"/>
                <w:sz w:val="22"/>
                <w:szCs w:val="22"/>
                <w:highlight w:val="none"/>
                <w:lang w:val="en-US" w:eastAsia="zh-CN"/>
              </w:rPr>
              <w:t>不合理</w:t>
            </w:r>
            <w:r>
              <w:rPr>
                <w:rFonts w:hint="eastAsia" w:ascii="宋体" w:hAnsi="宋体" w:eastAsia="宋体" w:cs="宋体"/>
                <w:sz w:val="22"/>
                <w:szCs w:val="22"/>
                <w:highlight w:val="none"/>
                <w:lang w:val="en-GB"/>
              </w:rPr>
              <w:t>，</w:t>
            </w:r>
            <w:r>
              <w:rPr>
                <w:rFonts w:hint="eastAsia" w:ascii="宋体" w:hAnsi="宋体" w:eastAsia="宋体" w:cs="宋体"/>
                <w:sz w:val="22"/>
                <w:szCs w:val="22"/>
                <w:highlight w:val="none"/>
                <w:lang w:val="en-US" w:eastAsia="zh-CN"/>
              </w:rPr>
              <w:t>评价为中</w:t>
            </w:r>
            <w:r>
              <w:rPr>
                <w:rFonts w:hint="eastAsia" w:ascii="宋体" w:hAnsi="宋体" w:eastAsia="宋体" w:cs="宋体"/>
                <w:sz w:val="22"/>
                <w:szCs w:val="22"/>
                <w:highlight w:val="none"/>
                <w:lang w:val="en-GB"/>
              </w:rPr>
              <w:t>得</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lang w:val="en-GB"/>
              </w:rPr>
              <w:t>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投标人实施方案</w:t>
            </w:r>
            <w:r>
              <w:rPr>
                <w:rFonts w:hint="eastAsia" w:ascii="宋体" w:hAnsi="宋体" w:eastAsia="宋体" w:cs="宋体"/>
                <w:sz w:val="22"/>
                <w:szCs w:val="22"/>
                <w:highlight w:val="none"/>
                <w:lang w:val="en-US" w:eastAsia="zh-CN"/>
              </w:rPr>
              <w:t>较差得5分。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cs="宋体" w:asciiTheme="minorEastAsia" w:hAnsiTheme="minorEastAsia" w:eastAsiaTheme="minorEastAsia"/>
                <w:color w:val="auto"/>
                <w:szCs w:val="21"/>
                <w:highlight w:val="none"/>
              </w:rPr>
            </w:pPr>
            <w:r>
              <w:rPr>
                <w:rFonts w:hint="eastAsia" w:ascii="宋体" w:hAnsi="宋体" w:eastAsia="宋体" w:cs="宋体"/>
                <w:sz w:val="22"/>
                <w:szCs w:val="22"/>
                <w:highlight w:val="none"/>
                <w:lang w:val="en-GB"/>
              </w:rPr>
              <w:t>不提供实施方案的不得分。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20</w:t>
            </w:r>
            <w:r>
              <w:rPr>
                <w:rFonts w:cs="宋体"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20</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3"/>
              <w:numPr>
                <w:ilvl w:val="0"/>
                <w:numId w:val="5"/>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val="0"/>
              <w:autoSpaceDN w:val="0"/>
              <w:bidi w:val="0"/>
              <w:adjustRightInd w:val="0"/>
              <w:snapToGrid/>
              <w:spacing w:line="400" w:lineRule="exact"/>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项目重点难点分析、应对措施及相应的合理化建议</w:t>
            </w:r>
          </w:p>
        </w:tc>
        <w:tc>
          <w:tcPr>
            <w:tcW w:w="5635" w:type="dxa"/>
            <w:vAlign w:val="center"/>
          </w:tcPr>
          <w:p>
            <w:pPr>
              <w:keepNext w:val="0"/>
              <w:keepLines w:val="0"/>
              <w:pageBreakBefore w:val="0"/>
              <w:kinsoku/>
              <w:overflowPunct/>
              <w:topLinePunct w:val="0"/>
              <w:autoSpaceDE w:val="0"/>
              <w:autoSpaceDN w:val="0"/>
              <w:bidi w:val="0"/>
              <w:adjustRightInd w:val="0"/>
              <w:snapToGrid/>
              <w:spacing w:line="400" w:lineRule="exact"/>
              <w:jc w:val="left"/>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1、</w:t>
            </w:r>
            <w:r>
              <w:rPr>
                <w:rFonts w:hint="eastAsia" w:ascii="宋体" w:hAnsi="宋体" w:eastAsia="宋体" w:cs="宋体"/>
                <w:b/>
                <w:bCs/>
                <w:sz w:val="22"/>
                <w:szCs w:val="22"/>
                <w:highlight w:val="none"/>
                <w:lang w:val="en-US" w:eastAsia="zh-CN"/>
              </w:rPr>
              <w:t>评审</w:t>
            </w:r>
            <w:r>
              <w:rPr>
                <w:rFonts w:hint="eastAsia" w:ascii="宋体" w:hAnsi="宋体" w:eastAsia="宋体" w:cs="宋体"/>
                <w:b/>
                <w:kern w:val="0"/>
                <w:sz w:val="22"/>
                <w:szCs w:val="22"/>
                <w:highlight w:val="none"/>
              </w:rPr>
              <w:t>内容：</w:t>
            </w:r>
          </w:p>
          <w:p>
            <w:pPr>
              <w:pStyle w:val="15"/>
              <w:keepNext w:val="0"/>
              <w:keepLines w:val="0"/>
              <w:pageBreakBefore w:val="0"/>
              <w:kinsoku/>
              <w:overflowPunct/>
              <w:topLinePunct w:val="0"/>
              <w:bidi w:val="0"/>
              <w:snapToGrid/>
              <w:spacing w:line="40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投标人提供以下项目重点难点分析、应对措施及相应的合理化建议：</w:t>
            </w:r>
          </w:p>
          <w:p>
            <w:pPr>
              <w:keepNext w:val="0"/>
              <w:keepLines w:val="0"/>
              <w:pageBreakBefore w:val="0"/>
              <w:kinsoku/>
              <w:overflowPunct/>
              <w:topLinePunct w:val="0"/>
              <w:autoSpaceDE w:val="0"/>
              <w:autoSpaceDN w:val="0"/>
              <w:bidi w:val="0"/>
              <w:adjustRightInd w:val="0"/>
              <w:snapToGrid/>
              <w:spacing w:line="4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（1）投标人对土地管理和养护的重点和难点问题把握及分析；</w:t>
            </w:r>
          </w:p>
          <w:p>
            <w:pPr>
              <w:keepNext w:val="0"/>
              <w:keepLines w:val="0"/>
              <w:pageBreakBefore w:val="0"/>
              <w:kinsoku/>
              <w:overflowPunct/>
              <w:topLinePunct w:val="0"/>
              <w:autoSpaceDE w:val="0"/>
              <w:autoSpaceDN w:val="0"/>
              <w:bidi w:val="0"/>
              <w:adjustRightInd w:val="0"/>
              <w:snapToGrid/>
              <w:spacing w:line="4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（2）对于土地管养的应对措施及相关合理化建议。</w:t>
            </w:r>
          </w:p>
          <w:p>
            <w:pPr>
              <w:keepNext w:val="0"/>
              <w:keepLines w:val="0"/>
              <w:pageBreakBefore w:val="0"/>
              <w:kinsoku/>
              <w:overflowPunct/>
              <w:topLinePunct w:val="0"/>
              <w:autoSpaceDE w:val="0"/>
              <w:autoSpaceDN w:val="0"/>
              <w:bidi w:val="0"/>
              <w:adjustRightInd w:val="0"/>
              <w:snapToGrid/>
              <w:spacing w:line="400" w:lineRule="exact"/>
              <w:jc w:val="left"/>
              <w:rPr>
                <w:rFonts w:hint="eastAsia" w:ascii="宋体" w:hAnsi="宋体" w:eastAsia="宋体" w:cs="宋体"/>
                <w:kern w:val="0"/>
                <w:sz w:val="22"/>
                <w:szCs w:val="22"/>
                <w:highlight w:val="none"/>
              </w:rPr>
            </w:pPr>
            <w:r>
              <w:rPr>
                <w:rFonts w:hint="eastAsia" w:ascii="宋体" w:hAnsi="宋体" w:eastAsia="宋体" w:cs="宋体"/>
                <w:b/>
                <w:kern w:val="0"/>
                <w:sz w:val="22"/>
                <w:szCs w:val="22"/>
                <w:highlight w:val="none"/>
              </w:rPr>
              <w:t>2、</w:t>
            </w:r>
            <w:r>
              <w:rPr>
                <w:rFonts w:hint="eastAsia" w:ascii="宋体" w:hAnsi="宋体" w:eastAsia="宋体" w:cs="宋体"/>
                <w:b/>
                <w:bCs/>
                <w:sz w:val="22"/>
                <w:szCs w:val="22"/>
                <w:highlight w:val="none"/>
                <w:lang w:val="en-US" w:eastAsia="zh-CN"/>
              </w:rPr>
              <w:t>评分依据</w:t>
            </w:r>
            <w:r>
              <w:rPr>
                <w:rFonts w:hint="eastAsia" w:ascii="宋体" w:hAnsi="宋体" w:eastAsia="宋体" w:cs="宋体"/>
                <w:kern w:val="0"/>
                <w:sz w:val="22"/>
                <w:szCs w:val="22"/>
                <w:highlight w:val="none"/>
              </w:rPr>
              <w:t>：</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lang w:val="en-GB"/>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投标人方案详细，安排合理，</w:t>
            </w:r>
            <w:r>
              <w:rPr>
                <w:rFonts w:hint="eastAsia" w:ascii="宋体" w:hAnsi="宋体" w:eastAsia="宋体" w:cs="宋体"/>
                <w:sz w:val="22"/>
                <w:szCs w:val="22"/>
                <w:highlight w:val="none"/>
                <w:lang w:val="en-US" w:eastAsia="zh-CN"/>
              </w:rPr>
              <w:t>评价为优</w:t>
            </w:r>
            <w:r>
              <w:rPr>
                <w:rFonts w:hint="eastAsia" w:ascii="宋体" w:hAnsi="宋体" w:eastAsia="宋体" w:cs="宋体"/>
                <w:sz w:val="22"/>
                <w:szCs w:val="22"/>
                <w:highlight w:val="none"/>
                <w:lang w:val="en-GB"/>
              </w:rPr>
              <w:t>得</w:t>
            </w: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en-GB"/>
              </w:rPr>
              <w:t>分；</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lang w:val="en-GB"/>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投标人方案一般，安排一般，</w:t>
            </w:r>
            <w:r>
              <w:rPr>
                <w:rFonts w:hint="eastAsia" w:ascii="宋体" w:hAnsi="宋体" w:eastAsia="宋体" w:cs="宋体"/>
                <w:sz w:val="22"/>
                <w:szCs w:val="22"/>
                <w:highlight w:val="none"/>
                <w:lang w:val="en-US" w:eastAsia="zh-CN"/>
              </w:rPr>
              <w:t>评价为良</w:t>
            </w:r>
            <w:r>
              <w:rPr>
                <w:rFonts w:hint="eastAsia" w:ascii="宋体" w:hAnsi="宋体" w:eastAsia="宋体" w:cs="宋体"/>
                <w:sz w:val="22"/>
                <w:szCs w:val="22"/>
                <w:highlight w:val="none"/>
                <w:lang w:val="en-GB"/>
              </w:rPr>
              <w:t>得</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lang w:val="en-GB"/>
              </w:rPr>
              <w:t>分；</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lang w:val="en-GB"/>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投标人方案不详细，安排</w:t>
            </w:r>
            <w:r>
              <w:rPr>
                <w:rFonts w:hint="eastAsia" w:ascii="宋体" w:hAnsi="宋体" w:eastAsia="宋体" w:cs="宋体"/>
                <w:sz w:val="22"/>
                <w:szCs w:val="22"/>
                <w:highlight w:val="none"/>
                <w:lang w:val="en-US" w:eastAsia="zh-CN"/>
              </w:rPr>
              <w:t>不合理</w:t>
            </w:r>
            <w:r>
              <w:rPr>
                <w:rFonts w:hint="eastAsia" w:ascii="宋体" w:hAnsi="宋体" w:eastAsia="宋体" w:cs="宋体"/>
                <w:sz w:val="22"/>
                <w:szCs w:val="22"/>
                <w:highlight w:val="none"/>
                <w:lang w:val="en-GB"/>
              </w:rPr>
              <w:t>，</w:t>
            </w:r>
            <w:r>
              <w:rPr>
                <w:rFonts w:hint="eastAsia" w:ascii="宋体" w:hAnsi="宋体" w:eastAsia="宋体" w:cs="宋体"/>
                <w:sz w:val="22"/>
                <w:szCs w:val="22"/>
                <w:highlight w:val="none"/>
                <w:lang w:val="en-US" w:eastAsia="zh-CN"/>
              </w:rPr>
              <w:t>评价为中</w:t>
            </w:r>
            <w:r>
              <w:rPr>
                <w:rFonts w:hint="eastAsia" w:ascii="宋体" w:hAnsi="宋体" w:eastAsia="宋体" w:cs="宋体"/>
                <w:sz w:val="22"/>
                <w:szCs w:val="22"/>
                <w:highlight w:val="none"/>
                <w:lang w:val="en-GB"/>
              </w:rPr>
              <w:t>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en-GB"/>
              </w:rPr>
              <w:t>分。</w:t>
            </w:r>
          </w:p>
          <w:p>
            <w:pPr>
              <w:keepNext w:val="0"/>
              <w:keepLines w:val="0"/>
              <w:pageBreakBefore w:val="0"/>
              <w:kinsoku/>
              <w:overflowPunct/>
              <w:topLinePunct w:val="0"/>
              <w:autoSpaceDE w:val="0"/>
              <w:autoSpaceDN w:val="0"/>
              <w:bidi w:val="0"/>
              <w:adjustRightInd w:val="0"/>
              <w:snapToGrid/>
              <w:spacing w:line="400" w:lineRule="exact"/>
              <w:jc w:val="left"/>
              <w:rPr>
                <w:rFonts w:cs="宋体" w:asciiTheme="minorEastAsia" w:hAnsiTheme="minorEastAsia" w:eastAsiaTheme="minorEastAsia"/>
                <w:color w:val="auto"/>
                <w:szCs w:val="21"/>
                <w:highlight w:val="none"/>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投标人方案</w:t>
            </w:r>
            <w:r>
              <w:rPr>
                <w:rFonts w:hint="eastAsia" w:ascii="宋体" w:hAnsi="宋体" w:eastAsia="宋体" w:cs="宋体"/>
                <w:sz w:val="22"/>
                <w:szCs w:val="22"/>
                <w:highlight w:val="none"/>
                <w:lang w:val="en-US" w:eastAsia="zh-CN"/>
              </w:rPr>
              <w:t>较差不得分，</w:t>
            </w:r>
            <w:r>
              <w:rPr>
                <w:rFonts w:hint="eastAsia" w:ascii="宋体" w:hAnsi="宋体" w:eastAsia="宋体" w:cs="宋体"/>
                <w:sz w:val="22"/>
                <w:szCs w:val="22"/>
                <w:highlight w:val="none"/>
                <w:lang w:val="en-GB"/>
              </w:rPr>
              <w:t>不提供方案的不得分。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lang w:val="en-US" w:eastAsia="zh-CN"/>
              </w:rPr>
              <w:t>15</w:t>
            </w:r>
            <w:r>
              <w:rPr>
                <w:rFonts w:cs="宋体" w:asciiTheme="minorEastAsia" w:hAnsiTheme="minorEastAsia" w:eastAsiaTheme="minorEastAsia"/>
                <w:color w:val="auto"/>
                <w:szCs w:val="21"/>
                <w:highlight w:val="none"/>
              </w:rPr>
              <w:t>%</w:t>
            </w:r>
          </w:p>
        </w:tc>
        <w:tc>
          <w:tcPr>
            <w:tcW w:w="697" w:type="dxa"/>
            <w:tcBorders>
              <w:lef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lang w:val="en-US" w:eastAsia="zh-CN"/>
              </w:rPr>
              <w:t>15</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680" w:type="dxa"/>
            <w:tcBorders>
              <w:top w:val="single" w:color="auto" w:sz="4" w:space="0"/>
              <w:bottom w:val="single" w:color="auto" w:sz="4" w:space="0"/>
            </w:tcBorders>
            <w:vAlign w:val="center"/>
          </w:tcPr>
          <w:p>
            <w:pPr>
              <w:pStyle w:val="83"/>
              <w:numPr>
                <w:ilvl w:val="0"/>
                <w:numId w:val="5"/>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val="0"/>
              <w:autoSpaceDN w:val="0"/>
              <w:bidi w:val="0"/>
              <w:adjustRightInd w:val="0"/>
              <w:snapToGrid/>
              <w:spacing w:line="400" w:lineRule="exact"/>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napToGrid w:val="0"/>
                <w:spacing w:val="20"/>
                <w:kern w:val="0"/>
                <w:sz w:val="22"/>
                <w:szCs w:val="22"/>
                <w:highlight w:val="none"/>
              </w:rPr>
              <w:t>应急处理突发能力</w:t>
            </w:r>
          </w:p>
        </w:tc>
        <w:tc>
          <w:tcPr>
            <w:tcW w:w="5635" w:type="dxa"/>
            <w:vAlign w:val="center"/>
          </w:tcPr>
          <w:p>
            <w:pPr>
              <w:keepNext w:val="0"/>
              <w:keepLines w:val="0"/>
              <w:pageBreakBefore w:val="0"/>
              <w:kinsoku/>
              <w:overflowPunct/>
              <w:topLinePunct w:val="0"/>
              <w:autoSpaceDE w:val="0"/>
              <w:autoSpaceDN w:val="0"/>
              <w:bidi w:val="0"/>
              <w:adjustRightInd w:val="0"/>
              <w:snapToGrid/>
              <w:spacing w:line="400" w:lineRule="exact"/>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1</w:t>
            </w:r>
            <w:r>
              <w:rPr>
                <w:rFonts w:hint="eastAsia" w:ascii="宋体" w:hAnsi="宋体" w:eastAsia="宋体" w:cs="宋体"/>
                <w:b/>
                <w:kern w:val="0"/>
                <w:sz w:val="22"/>
                <w:szCs w:val="22"/>
                <w:highlight w:val="none"/>
                <w:lang w:eastAsia="zh-CN"/>
              </w:rPr>
              <w:t>、</w:t>
            </w:r>
            <w:r>
              <w:rPr>
                <w:rFonts w:hint="eastAsia" w:ascii="宋体" w:hAnsi="宋体" w:eastAsia="宋体" w:cs="宋体"/>
                <w:b/>
                <w:bCs/>
                <w:sz w:val="22"/>
                <w:szCs w:val="22"/>
                <w:highlight w:val="none"/>
                <w:lang w:val="en-US" w:eastAsia="zh-CN"/>
              </w:rPr>
              <w:t>评审</w:t>
            </w:r>
            <w:r>
              <w:rPr>
                <w:rFonts w:hint="eastAsia" w:ascii="宋体" w:hAnsi="宋体" w:eastAsia="宋体" w:cs="宋体"/>
                <w:b/>
                <w:kern w:val="0"/>
                <w:sz w:val="22"/>
                <w:szCs w:val="22"/>
                <w:highlight w:val="none"/>
              </w:rPr>
              <w:t>内容：</w:t>
            </w:r>
          </w:p>
          <w:p>
            <w:pPr>
              <w:keepNext w:val="0"/>
              <w:keepLines w:val="0"/>
              <w:pageBreakBefore w:val="0"/>
              <w:kinsoku/>
              <w:overflowPunct/>
              <w:topLinePunct w:val="0"/>
              <w:autoSpaceDE w:val="0"/>
              <w:autoSpaceDN w:val="0"/>
              <w:bidi w:val="0"/>
              <w:adjustRightInd w:val="0"/>
              <w:snapToGrid/>
              <w:spacing w:line="40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投标人提供以下突发事件的应急预案：</w:t>
            </w:r>
          </w:p>
          <w:p>
            <w:pPr>
              <w:keepNext w:val="0"/>
              <w:keepLines w:val="0"/>
              <w:pageBreakBefore w:val="0"/>
              <w:kinsoku/>
              <w:overflowPunct/>
              <w:topLinePunct w:val="0"/>
              <w:autoSpaceDE w:val="0"/>
              <w:autoSpaceDN w:val="0"/>
              <w:bidi w:val="0"/>
              <w:adjustRightInd w:val="0"/>
              <w:snapToGrid/>
              <w:spacing w:line="40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（1）违法抢建和抢种、不可预估的自然灾害、地质灾害、违法倾倒淤泥渣土、生活垃圾等情况；</w:t>
            </w:r>
          </w:p>
          <w:p>
            <w:pPr>
              <w:keepNext w:val="0"/>
              <w:keepLines w:val="0"/>
              <w:pageBreakBefore w:val="0"/>
              <w:kinsoku/>
              <w:overflowPunct/>
              <w:topLinePunct w:val="0"/>
              <w:autoSpaceDE w:val="0"/>
              <w:autoSpaceDN w:val="0"/>
              <w:bidi w:val="0"/>
              <w:adjustRightInd w:val="0"/>
              <w:snapToGrid/>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（2）防御突发状况发生的应对措施；</w:t>
            </w:r>
          </w:p>
          <w:p>
            <w:pPr>
              <w:keepNext w:val="0"/>
              <w:keepLines w:val="0"/>
              <w:pageBreakBefore w:val="0"/>
              <w:kinsoku/>
              <w:overflowPunct/>
              <w:topLinePunct w:val="0"/>
              <w:autoSpaceDE w:val="0"/>
              <w:autoSpaceDN w:val="0"/>
              <w:bidi w:val="0"/>
              <w:adjustRightInd w:val="0"/>
              <w:snapToGrid/>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（3）面对可能出现突发事件的处理措施。</w:t>
            </w:r>
          </w:p>
          <w:p>
            <w:pPr>
              <w:keepNext w:val="0"/>
              <w:keepLines w:val="0"/>
              <w:pageBreakBefore w:val="0"/>
              <w:kinsoku/>
              <w:overflowPunct/>
              <w:topLinePunct w:val="0"/>
              <w:autoSpaceDE w:val="0"/>
              <w:autoSpaceDN w:val="0"/>
              <w:bidi w:val="0"/>
              <w:adjustRightInd w:val="0"/>
              <w:snapToGrid/>
              <w:spacing w:line="400" w:lineRule="exact"/>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2、</w:t>
            </w:r>
            <w:r>
              <w:rPr>
                <w:rFonts w:hint="eastAsia" w:ascii="宋体" w:hAnsi="宋体" w:eastAsia="宋体" w:cs="宋体"/>
                <w:b/>
                <w:bCs/>
                <w:sz w:val="22"/>
                <w:szCs w:val="22"/>
                <w:highlight w:val="none"/>
                <w:lang w:val="en-US" w:eastAsia="zh-CN"/>
              </w:rPr>
              <w:t>评分依据</w:t>
            </w:r>
            <w:r>
              <w:rPr>
                <w:rFonts w:hint="eastAsia" w:ascii="宋体" w:hAnsi="宋体" w:eastAsia="宋体" w:cs="宋体"/>
                <w:b/>
                <w:kern w:val="0"/>
                <w:sz w:val="22"/>
                <w:szCs w:val="22"/>
                <w:highlight w:val="none"/>
              </w:rPr>
              <w:t>：</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lang w:val="en-GB"/>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w:t>
            </w:r>
            <w:r>
              <w:rPr>
                <w:rFonts w:hint="eastAsia" w:ascii="宋体" w:hAnsi="宋体" w:eastAsia="宋体" w:cs="宋体"/>
                <w:snapToGrid w:val="0"/>
                <w:spacing w:val="20"/>
                <w:kern w:val="0"/>
                <w:sz w:val="22"/>
                <w:szCs w:val="22"/>
                <w:highlight w:val="none"/>
              </w:rPr>
              <w:t>应急突发</w:t>
            </w:r>
            <w:r>
              <w:rPr>
                <w:rFonts w:hint="eastAsia" w:ascii="宋体" w:hAnsi="宋体" w:eastAsia="宋体" w:cs="宋体"/>
                <w:sz w:val="22"/>
                <w:szCs w:val="22"/>
                <w:highlight w:val="none"/>
                <w:lang w:val="en-GB"/>
              </w:rPr>
              <w:t>方案详细，安排合理，</w:t>
            </w:r>
            <w:r>
              <w:rPr>
                <w:rFonts w:hint="eastAsia" w:ascii="宋体" w:hAnsi="宋体" w:eastAsia="宋体" w:cs="宋体"/>
                <w:sz w:val="22"/>
                <w:szCs w:val="22"/>
                <w:highlight w:val="none"/>
                <w:lang w:val="en-US" w:eastAsia="zh-CN"/>
              </w:rPr>
              <w:t>评价为优</w:t>
            </w:r>
            <w:r>
              <w:rPr>
                <w:rFonts w:hint="eastAsia" w:ascii="宋体" w:hAnsi="宋体" w:eastAsia="宋体" w:cs="宋体"/>
                <w:sz w:val="22"/>
                <w:szCs w:val="22"/>
                <w:highlight w:val="none"/>
                <w:lang w:val="en-GB"/>
              </w:rPr>
              <w:t>得</w:t>
            </w: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en-GB"/>
              </w:rPr>
              <w:t>分；</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lang w:val="en-GB"/>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w:t>
            </w:r>
            <w:r>
              <w:rPr>
                <w:rFonts w:hint="eastAsia" w:ascii="宋体" w:hAnsi="宋体" w:eastAsia="宋体" w:cs="宋体"/>
                <w:snapToGrid w:val="0"/>
                <w:spacing w:val="20"/>
                <w:kern w:val="0"/>
                <w:sz w:val="22"/>
                <w:szCs w:val="22"/>
                <w:highlight w:val="none"/>
              </w:rPr>
              <w:t>应急突发</w:t>
            </w:r>
            <w:r>
              <w:rPr>
                <w:rFonts w:hint="eastAsia" w:ascii="宋体" w:hAnsi="宋体" w:eastAsia="宋体" w:cs="宋体"/>
                <w:sz w:val="22"/>
                <w:szCs w:val="22"/>
                <w:highlight w:val="none"/>
                <w:lang w:val="en-GB"/>
              </w:rPr>
              <w:t>方案一般，安排一般，</w:t>
            </w:r>
            <w:r>
              <w:rPr>
                <w:rFonts w:hint="eastAsia" w:ascii="宋体" w:hAnsi="宋体" w:eastAsia="宋体" w:cs="宋体"/>
                <w:sz w:val="22"/>
                <w:szCs w:val="22"/>
                <w:highlight w:val="none"/>
                <w:lang w:val="en-US" w:eastAsia="zh-CN"/>
              </w:rPr>
              <w:t>评价为良</w:t>
            </w:r>
            <w:r>
              <w:rPr>
                <w:rFonts w:hint="eastAsia" w:ascii="宋体" w:hAnsi="宋体" w:eastAsia="宋体" w:cs="宋体"/>
                <w:sz w:val="22"/>
                <w:szCs w:val="22"/>
                <w:highlight w:val="none"/>
                <w:lang w:val="en-GB"/>
              </w:rPr>
              <w:t>得</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lang w:val="en-GB"/>
              </w:rPr>
              <w:t>分；</w:t>
            </w:r>
          </w:p>
          <w:p>
            <w:pPr>
              <w:keepNext w:val="0"/>
              <w:keepLines w:val="0"/>
              <w:pageBreakBefore w:val="0"/>
              <w:widowControl w:val="0"/>
              <w:kinsoku/>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宋体" w:cs="宋体"/>
                <w:sz w:val="22"/>
                <w:szCs w:val="22"/>
                <w:highlight w:val="none"/>
                <w:lang w:val="en-GB"/>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w:t>
            </w:r>
            <w:r>
              <w:rPr>
                <w:rFonts w:hint="eastAsia" w:ascii="宋体" w:hAnsi="宋体" w:eastAsia="宋体" w:cs="宋体"/>
                <w:snapToGrid w:val="0"/>
                <w:spacing w:val="20"/>
                <w:kern w:val="0"/>
                <w:sz w:val="22"/>
                <w:szCs w:val="22"/>
                <w:highlight w:val="none"/>
              </w:rPr>
              <w:t>应急突发</w:t>
            </w:r>
            <w:r>
              <w:rPr>
                <w:rFonts w:hint="eastAsia" w:ascii="宋体" w:hAnsi="宋体" w:eastAsia="宋体" w:cs="宋体"/>
                <w:sz w:val="22"/>
                <w:szCs w:val="22"/>
                <w:highlight w:val="none"/>
                <w:lang w:val="en-GB"/>
              </w:rPr>
              <w:t>方案不详细，安排</w:t>
            </w:r>
            <w:r>
              <w:rPr>
                <w:rFonts w:hint="eastAsia" w:ascii="宋体" w:hAnsi="宋体" w:eastAsia="宋体" w:cs="宋体"/>
                <w:sz w:val="22"/>
                <w:szCs w:val="22"/>
                <w:highlight w:val="none"/>
                <w:lang w:val="en-US" w:eastAsia="zh-CN"/>
              </w:rPr>
              <w:t>不合理</w:t>
            </w:r>
            <w:r>
              <w:rPr>
                <w:rFonts w:hint="eastAsia" w:ascii="宋体" w:hAnsi="宋体" w:eastAsia="宋体" w:cs="宋体"/>
                <w:sz w:val="22"/>
                <w:szCs w:val="22"/>
                <w:highlight w:val="none"/>
                <w:lang w:val="en-GB"/>
              </w:rPr>
              <w:t>，</w:t>
            </w:r>
            <w:r>
              <w:rPr>
                <w:rFonts w:hint="eastAsia" w:ascii="宋体" w:hAnsi="宋体" w:eastAsia="宋体" w:cs="宋体"/>
                <w:sz w:val="22"/>
                <w:szCs w:val="22"/>
                <w:highlight w:val="none"/>
                <w:lang w:val="en-US" w:eastAsia="zh-CN"/>
              </w:rPr>
              <w:t>评价为中</w:t>
            </w:r>
            <w:r>
              <w:rPr>
                <w:rFonts w:hint="eastAsia" w:ascii="宋体" w:hAnsi="宋体" w:eastAsia="宋体" w:cs="宋体"/>
                <w:sz w:val="22"/>
                <w:szCs w:val="22"/>
                <w:highlight w:val="none"/>
                <w:lang w:val="en-GB"/>
              </w:rPr>
              <w:t>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en-GB"/>
              </w:rPr>
              <w:t>分。</w:t>
            </w:r>
          </w:p>
          <w:p>
            <w:pPr>
              <w:keepNext w:val="0"/>
              <w:keepLines w:val="0"/>
              <w:pageBreakBefore w:val="0"/>
              <w:kinsoku/>
              <w:overflowPunct/>
              <w:topLinePunct w:val="0"/>
              <w:autoSpaceDE w:val="0"/>
              <w:autoSpaceDN w:val="0"/>
              <w:bidi w:val="0"/>
              <w:adjustRightInd w:val="0"/>
              <w:snapToGrid/>
              <w:spacing w:line="400" w:lineRule="exact"/>
              <w:rPr>
                <w:rFonts w:cs="宋体" w:asciiTheme="minorEastAsia" w:hAnsiTheme="minorEastAsia" w:eastAsiaTheme="minorEastAsia"/>
                <w:color w:val="auto"/>
                <w:szCs w:val="21"/>
                <w:highlight w:val="none"/>
              </w:rPr>
            </w:pP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en-GB" w:eastAsia="zh-CN"/>
              </w:rPr>
              <w:t>）</w:t>
            </w:r>
            <w:r>
              <w:rPr>
                <w:rFonts w:hint="eastAsia" w:ascii="宋体" w:hAnsi="宋体" w:eastAsia="宋体" w:cs="宋体"/>
                <w:sz w:val="22"/>
                <w:szCs w:val="22"/>
                <w:highlight w:val="none"/>
                <w:lang w:val="en-GB"/>
              </w:rPr>
              <w:t>投标人</w:t>
            </w:r>
            <w:r>
              <w:rPr>
                <w:rFonts w:hint="eastAsia" w:ascii="宋体" w:hAnsi="宋体" w:eastAsia="宋体" w:cs="宋体"/>
                <w:snapToGrid w:val="0"/>
                <w:spacing w:val="20"/>
                <w:kern w:val="0"/>
                <w:sz w:val="22"/>
                <w:szCs w:val="22"/>
                <w:highlight w:val="none"/>
              </w:rPr>
              <w:t>应急突发</w:t>
            </w:r>
            <w:r>
              <w:rPr>
                <w:rFonts w:hint="eastAsia" w:ascii="宋体" w:hAnsi="宋体" w:eastAsia="宋体" w:cs="宋体"/>
                <w:sz w:val="22"/>
                <w:szCs w:val="22"/>
                <w:highlight w:val="none"/>
                <w:lang w:val="en-GB"/>
              </w:rPr>
              <w:t>方案</w:t>
            </w:r>
            <w:r>
              <w:rPr>
                <w:rFonts w:hint="eastAsia" w:ascii="宋体" w:hAnsi="宋体" w:eastAsia="宋体" w:cs="宋体"/>
                <w:sz w:val="22"/>
                <w:szCs w:val="22"/>
                <w:highlight w:val="none"/>
                <w:lang w:val="en-US" w:eastAsia="zh-CN"/>
              </w:rPr>
              <w:t>较差不得分，</w:t>
            </w:r>
            <w:r>
              <w:rPr>
                <w:rFonts w:hint="eastAsia" w:ascii="宋体" w:hAnsi="宋体" w:eastAsia="宋体" w:cs="宋体"/>
                <w:sz w:val="22"/>
                <w:szCs w:val="22"/>
                <w:highlight w:val="none"/>
                <w:lang w:val="en-GB"/>
              </w:rPr>
              <w:t>不提供</w:t>
            </w:r>
            <w:r>
              <w:rPr>
                <w:rFonts w:hint="eastAsia" w:ascii="宋体" w:hAnsi="宋体" w:eastAsia="宋体" w:cs="宋体"/>
                <w:snapToGrid w:val="0"/>
                <w:spacing w:val="20"/>
                <w:kern w:val="0"/>
                <w:sz w:val="22"/>
                <w:szCs w:val="22"/>
                <w:highlight w:val="none"/>
              </w:rPr>
              <w:t>应急突发</w:t>
            </w:r>
            <w:r>
              <w:rPr>
                <w:rFonts w:hint="eastAsia" w:ascii="宋体" w:hAnsi="宋体" w:eastAsia="宋体" w:cs="宋体"/>
                <w:sz w:val="22"/>
                <w:szCs w:val="22"/>
                <w:highlight w:val="none"/>
                <w:lang w:val="en-GB"/>
              </w:rPr>
              <w:t>方案的不得分。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lang w:val="en-US" w:eastAsia="zh-CN"/>
              </w:rPr>
              <w:t>15</w:t>
            </w:r>
            <w:r>
              <w:rPr>
                <w:rFonts w:cs="宋体" w:asciiTheme="minorEastAsia" w:hAnsiTheme="minorEastAsia" w:eastAsiaTheme="minorEastAsia"/>
                <w:color w:val="auto"/>
                <w:szCs w:val="21"/>
                <w:highlight w:val="none"/>
              </w:rPr>
              <w:t>%</w:t>
            </w:r>
          </w:p>
        </w:tc>
        <w:tc>
          <w:tcPr>
            <w:tcW w:w="697" w:type="dxa"/>
            <w:tcBorders>
              <w:lef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lang w:val="en-US" w:eastAsia="zh-CN"/>
              </w:rPr>
              <w:t>15</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3"/>
              <w:numPr>
                <w:ilvl w:val="0"/>
                <w:numId w:val="5"/>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val="0"/>
              <w:autoSpaceDN w:val="0"/>
              <w:bidi w:val="0"/>
              <w:adjustRightInd w:val="0"/>
              <w:snapToGrid/>
              <w:spacing w:line="400" w:lineRule="exact"/>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rPr>
              <w:t>服务团队配置方案</w:t>
            </w:r>
          </w:p>
        </w:tc>
        <w:tc>
          <w:tcPr>
            <w:tcW w:w="5635" w:type="dxa"/>
            <w:vAlign w:val="center"/>
          </w:tcPr>
          <w:p>
            <w:pPr>
              <w:keepNext w:val="0"/>
              <w:keepLines w:val="0"/>
              <w:pageBreakBefore w:val="0"/>
              <w:kinsoku/>
              <w:overflowPunct/>
              <w:topLinePunct w:val="0"/>
              <w:bidi w:val="0"/>
              <w:snapToGrid/>
              <w:spacing w:line="400" w:lineRule="exact"/>
              <w:rPr>
                <w:rFonts w:hint="eastAsia" w:ascii="宋体" w:hAnsi="宋体" w:eastAsia="宋体" w:cs="宋体"/>
                <w:b/>
                <w:sz w:val="22"/>
                <w:szCs w:val="22"/>
              </w:rPr>
            </w:pPr>
            <w:r>
              <w:rPr>
                <w:rFonts w:hint="eastAsia" w:ascii="宋体" w:hAnsi="宋体" w:eastAsia="宋体" w:cs="宋体"/>
                <w:b/>
                <w:sz w:val="22"/>
                <w:szCs w:val="22"/>
              </w:rPr>
              <w:t>（一）评审内容：</w:t>
            </w:r>
          </w:p>
          <w:p>
            <w:pPr>
              <w:keepNext w:val="0"/>
              <w:keepLines w:val="0"/>
              <w:pageBreakBefore w:val="0"/>
              <w:kinsoku/>
              <w:overflowPunct/>
              <w:topLinePunct w:val="0"/>
              <w:bidi w:val="0"/>
              <w:snapToGrid/>
              <w:spacing w:line="400" w:lineRule="exact"/>
              <w:rPr>
                <w:rFonts w:hint="eastAsia" w:ascii="宋体" w:hAnsi="宋体" w:eastAsia="宋体" w:cs="宋体"/>
                <w:sz w:val="22"/>
                <w:szCs w:val="22"/>
              </w:rPr>
            </w:pPr>
            <w:r>
              <w:rPr>
                <w:rFonts w:hint="eastAsia" w:ascii="宋体" w:hAnsi="宋体" w:eastAsia="宋体" w:cs="宋体"/>
                <w:sz w:val="22"/>
                <w:szCs w:val="22"/>
              </w:rPr>
              <w:t>投标人提供本项目服务团队配置方案。</w:t>
            </w:r>
          </w:p>
          <w:p>
            <w:pPr>
              <w:keepNext w:val="0"/>
              <w:keepLines w:val="0"/>
              <w:pageBreakBefore w:val="0"/>
              <w:kinsoku/>
              <w:overflowPunct/>
              <w:topLinePunct w:val="0"/>
              <w:bidi w:val="0"/>
              <w:snapToGrid/>
              <w:spacing w:line="400" w:lineRule="exact"/>
              <w:rPr>
                <w:rFonts w:hint="eastAsia" w:ascii="宋体" w:hAnsi="宋体" w:eastAsia="宋体" w:cs="宋体"/>
                <w:b/>
                <w:sz w:val="22"/>
                <w:szCs w:val="22"/>
              </w:rPr>
            </w:pPr>
            <w:r>
              <w:rPr>
                <w:rFonts w:hint="eastAsia" w:ascii="宋体" w:hAnsi="宋体" w:eastAsia="宋体" w:cs="宋体"/>
                <w:b/>
                <w:sz w:val="22"/>
                <w:szCs w:val="22"/>
              </w:rPr>
              <w:t>（二）评分标准：</w:t>
            </w:r>
          </w:p>
          <w:p>
            <w:pPr>
              <w:keepNext w:val="0"/>
              <w:keepLines w:val="0"/>
              <w:pageBreakBefore w:val="0"/>
              <w:kinsoku/>
              <w:overflowPunct/>
              <w:topLinePunct w:val="0"/>
              <w:bidi w:val="0"/>
              <w:snapToGrid/>
              <w:spacing w:line="400" w:lineRule="exact"/>
              <w:rPr>
                <w:rFonts w:hint="eastAsia" w:ascii="宋体" w:hAnsi="宋体" w:eastAsia="宋体" w:cs="宋体"/>
                <w:sz w:val="22"/>
                <w:szCs w:val="22"/>
              </w:rPr>
            </w:pPr>
            <w:r>
              <w:rPr>
                <w:rFonts w:hint="eastAsia" w:ascii="宋体" w:hAnsi="宋体" w:eastAsia="宋体" w:cs="宋体"/>
                <w:sz w:val="22"/>
                <w:szCs w:val="22"/>
              </w:rPr>
              <w:t>1.投标人服务团队配置方案科学、合理的，得</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p>
            <w:pPr>
              <w:keepNext w:val="0"/>
              <w:keepLines w:val="0"/>
              <w:pageBreakBefore w:val="0"/>
              <w:kinsoku/>
              <w:overflowPunct/>
              <w:topLinePunct w:val="0"/>
              <w:bidi w:val="0"/>
              <w:snapToGrid/>
              <w:spacing w:line="400" w:lineRule="exact"/>
              <w:rPr>
                <w:rFonts w:hint="eastAsia" w:ascii="宋体" w:hAnsi="宋体" w:eastAsia="宋体" w:cs="宋体"/>
                <w:sz w:val="22"/>
                <w:szCs w:val="22"/>
              </w:rPr>
            </w:pPr>
            <w:r>
              <w:rPr>
                <w:rFonts w:hint="eastAsia" w:ascii="宋体" w:hAnsi="宋体" w:eastAsia="宋体" w:cs="宋体"/>
                <w:sz w:val="22"/>
                <w:szCs w:val="22"/>
              </w:rPr>
              <w:t>2.投标人服务团队配置方案较科学、合理的，得</w:t>
            </w:r>
            <w:r>
              <w:rPr>
                <w:rFonts w:hint="eastAsia" w:ascii="宋体" w:hAnsi="宋体" w:eastAsia="宋体" w:cs="宋体"/>
                <w:sz w:val="22"/>
                <w:szCs w:val="22"/>
                <w:lang w:val="en-US" w:eastAsia="zh-CN"/>
              </w:rPr>
              <w:t>7</w:t>
            </w:r>
            <w:r>
              <w:rPr>
                <w:rFonts w:hint="eastAsia" w:ascii="宋体" w:hAnsi="宋体" w:eastAsia="宋体" w:cs="宋体"/>
                <w:sz w:val="22"/>
                <w:szCs w:val="22"/>
              </w:rPr>
              <w:t>分；</w:t>
            </w:r>
          </w:p>
          <w:p>
            <w:pPr>
              <w:keepNext w:val="0"/>
              <w:keepLines w:val="0"/>
              <w:pageBreakBefore w:val="0"/>
              <w:kinsoku/>
              <w:overflowPunct/>
              <w:topLinePunct w:val="0"/>
              <w:autoSpaceDE w:val="0"/>
              <w:autoSpaceDN w:val="0"/>
              <w:bidi w:val="0"/>
              <w:adjustRightInd w:val="0"/>
              <w:snapToGrid/>
              <w:spacing w:line="400" w:lineRule="exact"/>
              <w:rPr>
                <w:rFonts w:hint="eastAsia" w:ascii="宋体" w:hAnsi="宋体" w:eastAsia="宋体" w:cs="宋体"/>
                <w:snapToGrid w:val="0"/>
                <w:spacing w:val="20"/>
                <w:kern w:val="0"/>
                <w:sz w:val="22"/>
                <w:szCs w:val="22"/>
                <w:highlight w:val="none"/>
              </w:rPr>
            </w:pPr>
            <w:r>
              <w:rPr>
                <w:rFonts w:hint="eastAsia" w:ascii="宋体" w:hAnsi="宋体" w:eastAsia="宋体" w:cs="宋体"/>
                <w:sz w:val="22"/>
                <w:szCs w:val="22"/>
              </w:rPr>
              <w:t>3</w:t>
            </w:r>
            <w:r>
              <w:rPr>
                <w:rFonts w:hint="eastAsia" w:ascii="宋体" w:hAnsi="宋体" w:eastAsia="宋体" w:cs="宋体"/>
                <w:snapToGrid w:val="0"/>
                <w:spacing w:val="20"/>
                <w:kern w:val="0"/>
                <w:sz w:val="22"/>
                <w:szCs w:val="22"/>
                <w:highlight w:val="none"/>
              </w:rPr>
              <w:t>.投标人服务团队配置方案一般的，得</w:t>
            </w:r>
            <w:r>
              <w:rPr>
                <w:rFonts w:hint="eastAsia" w:ascii="宋体" w:hAnsi="宋体" w:eastAsia="宋体" w:cs="宋体"/>
                <w:snapToGrid w:val="0"/>
                <w:spacing w:val="20"/>
                <w:kern w:val="0"/>
                <w:sz w:val="22"/>
                <w:szCs w:val="22"/>
                <w:highlight w:val="none"/>
                <w:lang w:val="en-US" w:eastAsia="zh-CN"/>
              </w:rPr>
              <w:t>4</w:t>
            </w:r>
            <w:r>
              <w:rPr>
                <w:rFonts w:hint="eastAsia" w:ascii="宋体" w:hAnsi="宋体" w:eastAsia="宋体" w:cs="宋体"/>
                <w:snapToGrid w:val="0"/>
                <w:spacing w:val="20"/>
                <w:kern w:val="0"/>
                <w:sz w:val="22"/>
                <w:szCs w:val="22"/>
                <w:highlight w:val="none"/>
              </w:rPr>
              <w:t>分；</w:t>
            </w:r>
          </w:p>
          <w:p>
            <w:pPr>
              <w:keepNext w:val="0"/>
              <w:keepLines w:val="0"/>
              <w:pageBreakBefore w:val="0"/>
              <w:kinsoku/>
              <w:overflowPunct/>
              <w:topLinePunct w:val="0"/>
              <w:autoSpaceDE w:val="0"/>
              <w:autoSpaceDN w:val="0"/>
              <w:bidi w:val="0"/>
              <w:adjustRightInd w:val="0"/>
              <w:snapToGrid/>
              <w:spacing w:line="400" w:lineRule="exact"/>
              <w:rPr>
                <w:rFonts w:cs="宋体" w:asciiTheme="minorEastAsia" w:hAnsiTheme="minorEastAsia" w:eastAsiaTheme="minorEastAsia"/>
                <w:color w:val="auto"/>
                <w:szCs w:val="21"/>
                <w:highlight w:val="none"/>
              </w:rPr>
            </w:pPr>
            <w:r>
              <w:rPr>
                <w:rFonts w:hint="eastAsia" w:ascii="宋体" w:hAnsi="宋体" w:eastAsia="宋体" w:cs="宋体"/>
                <w:snapToGrid w:val="0"/>
                <w:spacing w:val="20"/>
                <w:kern w:val="0"/>
                <w:sz w:val="22"/>
                <w:szCs w:val="22"/>
                <w:highlight w:val="none"/>
              </w:rPr>
              <w:t>4.投标人服务团队配置方案不合理或不提供方案的</w:t>
            </w:r>
            <w:r>
              <w:rPr>
                <w:rFonts w:hint="eastAsia" w:ascii="宋体" w:hAnsi="宋体" w:eastAsia="宋体" w:cs="宋体"/>
                <w:snapToGrid w:val="0"/>
                <w:spacing w:val="20"/>
                <w:kern w:val="0"/>
                <w:sz w:val="22"/>
                <w:szCs w:val="22"/>
                <w:highlight w:val="none"/>
                <w:lang w:val="en-US" w:eastAsia="zh-CN"/>
              </w:rPr>
              <w:t>不</w:t>
            </w:r>
            <w:r>
              <w:rPr>
                <w:rFonts w:hint="eastAsia" w:ascii="宋体" w:hAnsi="宋体" w:eastAsia="宋体" w:cs="宋体"/>
                <w:snapToGrid w:val="0"/>
                <w:spacing w:val="20"/>
                <w:kern w:val="0"/>
                <w:sz w:val="22"/>
                <w:szCs w:val="22"/>
                <w:highlight w:val="none"/>
              </w:rPr>
              <w:t>得分。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ind w:left="-78" w:leftChars="-37" w:right="-73" w:rightChars="-35"/>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10</w:t>
            </w:r>
            <w:r>
              <w:rPr>
                <w:rFonts w:cs="宋体" w:asciiTheme="minorEastAsia" w:hAnsiTheme="minorEastAsia" w:eastAsiaTheme="minorEastAsia"/>
                <w:color w:val="auto"/>
                <w:szCs w:val="21"/>
                <w:highlight w:val="none"/>
              </w:rPr>
              <w:t>%</w:t>
            </w:r>
          </w:p>
        </w:tc>
        <w:tc>
          <w:tcPr>
            <w:tcW w:w="697" w:type="dxa"/>
            <w:tcBorders>
              <w:left w:val="single" w:color="auto" w:sz="4" w:space="0"/>
            </w:tcBorders>
            <w:shd w:val="clear" w:color="auto" w:fill="auto"/>
            <w:vAlign w:val="center"/>
          </w:tcPr>
          <w:p>
            <w:pPr>
              <w:ind w:left="-78" w:leftChars="-37" w:right="-73" w:rightChars="-35"/>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3"/>
              <w:numPr>
                <w:ilvl w:val="0"/>
                <w:numId w:val="5"/>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val="0"/>
              <w:autoSpaceDN w:val="0"/>
              <w:bidi w:val="0"/>
              <w:adjustRightInd w:val="0"/>
              <w:snapToGrid/>
              <w:spacing w:line="400" w:lineRule="exact"/>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违约承诺</w:t>
            </w:r>
          </w:p>
        </w:tc>
        <w:tc>
          <w:tcPr>
            <w:tcW w:w="5635" w:type="dxa"/>
            <w:vAlign w:val="center"/>
          </w:tcPr>
          <w:p>
            <w:pPr>
              <w:keepNext w:val="0"/>
              <w:keepLines w:val="0"/>
              <w:pageBreakBefore w:val="0"/>
              <w:kinsoku/>
              <w:overflowPunct/>
              <w:topLinePunct w:val="0"/>
              <w:bidi w:val="0"/>
              <w:snapToGrid/>
              <w:spacing w:line="400" w:lineRule="exact"/>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1、考察内容：</w:t>
            </w:r>
          </w:p>
          <w:p>
            <w:pPr>
              <w:keepNext w:val="0"/>
              <w:keepLines w:val="0"/>
              <w:pageBreakBefore w:val="0"/>
              <w:kinsoku/>
              <w:overflowPunct/>
              <w:topLinePunct w:val="0"/>
              <w:bidi w:val="0"/>
              <w:snapToGrid/>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投标人承诺以下全部三项的得</w:t>
            </w:r>
            <w:r>
              <w:rPr>
                <w:rFonts w:hint="eastAsia" w:ascii="宋体" w:hAnsi="宋体" w:eastAsia="宋体" w:cs="宋体"/>
                <w:sz w:val="22"/>
                <w:szCs w:val="22"/>
                <w:highlight w:val="none"/>
                <w:lang w:val="en-US" w:eastAsia="zh-CN"/>
              </w:rPr>
              <w:t>满</w:t>
            </w:r>
            <w:r>
              <w:rPr>
                <w:rFonts w:hint="eastAsia" w:ascii="宋体" w:hAnsi="宋体" w:eastAsia="宋体" w:cs="宋体"/>
                <w:sz w:val="22"/>
                <w:szCs w:val="22"/>
                <w:highlight w:val="none"/>
                <w:lang w:eastAsia="zh-CN"/>
              </w:rPr>
              <w:t>分</w:t>
            </w:r>
            <w:r>
              <w:rPr>
                <w:rFonts w:hint="eastAsia" w:ascii="宋体" w:hAnsi="宋体" w:eastAsia="宋体" w:cs="宋体"/>
                <w:sz w:val="22"/>
                <w:szCs w:val="22"/>
                <w:highlight w:val="none"/>
              </w:rPr>
              <w:t>，否则不得分。</w:t>
            </w:r>
          </w:p>
          <w:p>
            <w:pPr>
              <w:keepNext w:val="0"/>
              <w:keepLines w:val="0"/>
              <w:pageBreakBefore w:val="0"/>
              <w:kinsoku/>
              <w:overflowPunct/>
              <w:topLinePunct w:val="0"/>
              <w:bidi w:val="0"/>
              <w:snapToGrid/>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（1）人员严格按照招标文件及投标承诺配置；</w:t>
            </w:r>
          </w:p>
          <w:p>
            <w:pPr>
              <w:keepNext w:val="0"/>
              <w:keepLines w:val="0"/>
              <w:pageBreakBefore w:val="0"/>
              <w:kinsoku/>
              <w:overflowPunct/>
              <w:topLinePunct w:val="0"/>
              <w:bidi w:val="0"/>
              <w:snapToGrid/>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（2）服务质量达到招标文件要求；</w:t>
            </w:r>
          </w:p>
          <w:p>
            <w:pPr>
              <w:keepNext w:val="0"/>
              <w:keepLines w:val="0"/>
              <w:pageBreakBefore w:val="0"/>
              <w:kinsoku/>
              <w:overflowPunct/>
              <w:topLinePunct w:val="0"/>
              <w:bidi w:val="0"/>
              <w:snapToGrid/>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（3）对未能达到管理要求承担相应管理责任。</w:t>
            </w:r>
          </w:p>
          <w:p>
            <w:pPr>
              <w:keepNext w:val="0"/>
              <w:keepLines w:val="0"/>
              <w:pageBreakBefore w:val="0"/>
              <w:kinsoku/>
              <w:overflowPunct/>
              <w:topLinePunct w:val="0"/>
              <w:bidi w:val="0"/>
              <w:snapToGrid/>
              <w:spacing w:line="400" w:lineRule="exact"/>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2、</w:t>
            </w:r>
            <w:r>
              <w:rPr>
                <w:rFonts w:hint="eastAsia" w:ascii="宋体" w:hAnsi="宋体" w:eastAsia="宋体" w:cs="宋体"/>
                <w:b/>
                <w:bCs/>
                <w:sz w:val="22"/>
                <w:szCs w:val="22"/>
                <w:highlight w:val="none"/>
                <w:lang w:val="en-US" w:eastAsia="zh-CN"/>
              </w:rPr>
              <w:t>评分依据</w:t>
            </w:r>
            <w:r>
              <w:rPr>
                <w:rFonts w:hint="eastAsia" w:ascii="宋体" w:hAnsi="宋体" w:eastAsia="宋体" w:cs="宋体"/>
                <w:b/>
                <w:sz w:val="22"/>
                <w:szCs w:val="22"/>
                <w:highlight w:val="none"/>
              </w:rPr>
              <w:t>：</w:t>
            </w:r>
          </w:p>
          <w:p>
            <w:pPr>
              <w:keepNext w:val="0"/>
              <w:keepLines w:val="0"/>
              <w:pageBreakBefore w:val="0"/>
              <w:kinsoku/>
              <w:overflowPunct/>
              <w:topLinePunct w:val="0"/>
              <w:autoSpaceDE w:val="0"/>
              <w:autoSpaceDN w:val="0"/>
              <w:bidi w:val="0"/>
              <w:adjustRightInd w:val="0"/>
              <w:snapToGrid/>
              <w:spacing w:line="400" w:lineRule="exact"/>
              <w:jc w:val="left"/>
              <w:rPr>
                <w:rFonts w:cs="宋体" w:asciiTheme="minorEastAsia" w:hAnsiTheme="minorEastAsia" w:eastAsiaTheme="minorEastAsia"/>
                <w:color w:val="auto"/>
                <w:szCs w:val="21"/>
                <w:highlight w:val="none"/>
              </w:rPr>
            </w:pPr>
            <w:r>
              <w:rPr>
                <w:rFonts w:hint="eastAsia" w:ascii="宋体" w:hAnsi="宋体" w:eastAsia="宋体" w:cs="宋体"/>
                <w:sz w:val="22"/>
                <w:szCs w:val="22"/>
                <w:highlight w:val="none"/>
                <w:lang w:val="en-US" w:eastAsia="zh-CN"/>
              </w:rPr>
              <w:t>按要求</w:t>
            </w:r>
            <w:r>
              <w:rPr>
                <w:rFonts w:hint="eastAsia" w:ascii="宋体" w:hAnsi="宋体" w:eastAsia="宋体" w:cs="宋体"/>
                <w:sz w:val="22"/>
                <w:szCs w:val="22"/>
                <w:highlight w:val="none"/>
              </w:rPr>
              <w:t>提</w:t>
            </w:r>
            <w:r>
              <w:rPr>
                <w:rFonts w:hint="eastAsia" w:ascii="宋体" w:hAnsi="宋体" w:eastAsia="宋体" w:cs="宋体"/>
                <w:sz w:val="22"/>
                <w:szCs w:val="22"/>
                <w:highlight w:val="none"/>
                <w:lang w:val="en-US" w:eastAsia="zh-CN"/>
              </w:rPr>
              <w:t>供违约</w:t>
            </w:r>
            <w:r>
              <w:rPr>
                <w:rFonts w:hint="eastAsia" w:ascii="宋体" w:hAnsi="宋体" w:eastAsia="宋体" w:cs="宋体"/>
                <w:sz w:val="22"/>
                <w:szCs w:val="22"/>
                <w:highlight w:val="none"/>
              </w:rPr>
              <w:t>承诺的，得</w:t>
            </w:r>
            <w:r>
              <w:rPr>
                <w:rFonts w:hint="eastAsia" w:ascii="宋体" w:hAnsi="宋体" w:eastAsia="宋体" w:cs="宋体"/>
                <w:sz w:val="22"/>
                <w:szCs w:val="22"/>
                <w:highlight w:val="none"/>
                <w:lang w:val="en-US" w:eastAsia="zh-CN"/>
              </w:rPr>
              <w:t>满</w:t>
            </w:r>
            <w:r>
              <w:rPr>
                <w:rFonts w:hint="eastAsia" w:ascii="宋体" w:hAnsi="宋体" w:eastAsia="宋体" w:cs="宋体"/>
                <w:sz w:val="22"/>
                <w:szCs w:val="22"/>
                <w:highlight w:val="none"/>
                <w:lang w:eastAsia="zh-CN"/>
              </w:rPr>
              <w:t>分</w:t>
            </w:r>
            <w:r>
              <w:rPr>
                <w:rFonts w:hint="eastAsia" w:ascii="宋体" w:hAnsi="宋体" w:eastAsia="宋体" w:cs="宋体"/>
                <w:sz w:val="22"/>
                <w:szCs w:val="22"/>
                <w:highlight w:val="none"/>
              </w:rPr>
              <w:t>。要求提供承诺</w:t>
            </w:r>
            <w:r>
              <w:rPr>
                <w:rFonts w:hint="eastAsia" w:ascii="宋体" w:hAnsi="宋体" w:eastAsia="宋体" w:cs="宋体"/>
                <w:sz w:val="22"/>
                <w:szCs w:val="22"/>
                <w:highlight w:val="none"/>
                <w:lang w:val="en-US" w:eastAsia="zh-CN"/>
              </w:rPr>
              <w:t>函</w:t>
            </w:r>
            <w:r>
              <w:rPr>
                <w:rFonts w:hint="eastAsia" w:ascii="宋体" w:hAnsi="宋体" w:eastAsia="宋体" w:cs="宋体"/>
                <w:sz w:val="22"/>
                <w:szCs w:val="22"/>
                <w:highlight w:val="none"/>
              </w:rPr>
              <w:t>（格式自定）作为得分依据，未提供承诺</w:t>
            </w:r>
            <w:r>
              <w:rPr>
                <w:rFonts w:hint="eastAsia" w:ascii="宋体" w:hAnsi="宋体" w:eastAsia="宋体" w:cs="宋体"/>
                <w:sz w:val="22"/>
                <w:szCs w:val="22"/>
                <w:highlight w:val="none"/>
                <w:lang w:val="en-US" w:eastAsia="zh-CN"/>
              </w:rPr>
              <w:t>函</w:t>
            </w:r>
            <w:r>
              <w:rPr>
                <w:rFonts w:hint="eastAsia" w:ascii="宋体" w:hAnsi="宋体" w:eastAsia="宋体" w:cs="宋体"/>
                <w:sz w:val="22"/>
                <w:szCs w:val="22"/>
                <w:highlight w:val="none"/>
              </w:rPr>
              <w:t>或承诺内容不满足要求不得分。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hint="eastAsia" w:cs="宋体" w:asciiTheme="minorEastAsia" w:hAnsiTheme="minorEastAsia" w:eastAsiaTheme="minorEastAsia"/>
                <w:b/>
                <w:color w:val="auto"/>
                <w:szCs w:val="21"/>
                <w:highlight w:val="none"/>
                <w:lang w:eastAsia="zh-CN"/>
              </w:rPr>
            </w:pPr>
            <w:r>
              <w:rPr>
                <w:rFonts w:hint="eastAsia" w:cs="宋体" w:asciiTheme="minorEastAsia" w:hAnsiTheme="minorEastAsia" w:eastAsiaTheme="minorEastAsia"/>
                <w:b/>
                <w:color w:val="auto"/>
                <w:szCs w:val="21"/>
                <w:highlight w:val="none"/>
                <w:lang w:val="en-US" w:eastAsia="zh-CN"/>
              </w:rPr>
              <w:t>三</w:t>
            </w:r>
          </w:p>
        </w:tc>
        <w:tc>
          <w:tcPr>
            <w:tcW w:w="8467" w:type="dxa"/>
            <w:gridSpan w:val="4"/>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商务部分</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lang w:val="en-US" w:eastAsia="zh-CN"/>
              </w:rPr>
              <w:t>22</w:t>
            </w:r>
            <w:r>
              <w:rPr>
                <w:rFonts w:hint="eastAsia" w:asciiTheme="minorEastAsia" w:hAnsiTheme="minorEastAsia" w:eastAsiaTheme="minorEastAsia"/>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3"/>
              <w:numPr>
                <w:ilvl w:val="0"/>
                <w:numId w:val="0"/>
              </w:numPr>
              <w:ind w:left="420" w:leftChars="0" w:hanging="420" w:firstLineChars="0"/>
              <w:jc w:val="center"/>
              <w:rPr>
                <w:rFonts w:asciiTheme="minorEastAsia" w:hAnsiTheme="minorEastAsia" w:eastAsiaTheme="minorEastAsia"/>
                <w:color w:val="auto"/>
                <w:szCs w:val="21"/>
                <w:highlight w:val="none"/>
              </w:rPr>
            </w:pPr>
            <w:r>
              <w:rPr>
                <w:rFonts w:cs="Times New Roman" w:asciiTheme="minorEastAsia" w:hAnsiTheme="minorEastAsia" w:eastAsiaTheme="minorEastAsia"/>
                <w:color w:val="auto"/>
                <w:kern w:val="2"/>
                <w:sz w:val="21"/>
                <w:szCs w:val="21"/>
                <w:lang w:val="en-US" w:eastAsia="zh-CN" w:bidi="ar-SA"/>
              </w:rPr>
              <w:t>1.</w:t>
            </w: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val="0"/>
              <w:autoSpaceDN w:val="0"/>
              <w:bidi w:val="0"/>
              <w:adjustRightInd w:val="0"/>
              <w:snapToGrid/>
              <w:spacing w:line="400" w:lineRule="exact"/>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0"/>
                <w:sz w:val="22"/>
                <w:szCs w:val="22"/>
                <w:highlight w:val="none"/>
              </w:rPr>
              <w:t>同类</w:t>
            </w:r>
            <w:r>
              <w:rPr>
                <w:rFonts w:hint="eastAsia" w:ascii="宋体" w:hAnsi="宋体" w:eastAsia="宋体" w:cs="宋体"/>
                <w:kern w:val="0"/>
                <w:sz w:val="22"/>
                <w:szCs w:val="22"/>
                <w:highlight w:val="none"/>
                <w:lang w:val="zh-CN"/>
              </w:rPr>
              <w:t>项目业绩</w:t>
            </w:r>
          </w:p>
        </w:tc>
        <w:tc>
          <w:tcPr>
            <w:tcW w:w="5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bidi w:val="0"/>
              <w:snapToGrid/>
              <w:spacing w:line="400" w:lineRule="exact"/>
              <w:rPr>
                <w:rFonts w:hint="eastAsia" w:ascii="宋体" w:hAnsi="宋体" w:eastAsia="宋体" w:cs="宋体"/>
                <w:b/>
                <w:sz w:val="22"/>
                <w:szCs w:val="22"/>
              </w:rPr>
            </w:pPr>
            <w:r>
              <w:rPr>
                <w:rFonts w:hint="eastAsia" w:ascii="宋体" w:hAnsi="宋体" w:eastAsia="宋体" w:cs="宋体"/>
                <w:b/>
                <w:sz w:val="22"/>
                <w:szCs w:val="22"/>
              </w:rPr>
              <w:t>（一）评审内容：</w:t>
            </w:r>
          </w:p>
          <w:p>
            <w:pPr>
              <w:keepNext w:val="0"/>
              <w:keepLines w:val="0"/>
              <w:pageBreakBefore w:val="0"/>
              <w:kinsoku/>
              <w:overflowPunct/>
              <w:topLinePunct w:val="0"/>
              <w:bidi w:val="0"/>
              <w:snapToGrid/>
              <w:spacing w:line="400" w:lineRule="exact"/>
              <w:rPr>
                <w:rFonts w:hint="eastAsia" w:ascii="宋体" w:hAnsi="宋体" w:eastAsia="宋体" w:cs="宋体"/>
                <w:sz w:val="22"/>
                <w:szCs w:val="22"/>
              </w:rPr>
            </w:pPr>
            <w:r>
              <w:rPr>
                <w:rFonts w:hint="eastAsia" w:ascii="宋体" w:hAnsi="宋体" w:eastAsia="宋体" w:cs="宋体"/>
                <w:sz w:val="22"/>
                <w:szCs w:val="22"/>
              </w:rPr>
              <w:t>投标人提供本项目</w:t>
            </w:r>
            <w:r>
              <w:rPr>
                <w:rFonts w:hint="eastAsia" w:ascii="宋体" w:hAnsi="宋体" w:eastAsia="宋体" w:cs="宋体"/>
                <w:kern w:val="0"/>
                <w:sz w:val="22"/>
                <w:szCs w:val="22"/>
                <w:highlight w:val="none"/>
              </w:rPr>
              <w:t>同类</w:t>
            </w:r>
            <w:r>
              <w:rPr>
                <w:rFonts w:hint="eastAsia" w:ascii="宋体" w:hAnsi="宋体" w:eastAsia="宋体" w:cs="宋体"/>
                <w:kern w:val="0"/>
                <w:sz w:val="22"/>
                <w:szCs w:val="22"/>
                <w:highlight w:val="none"/>
                <w:lang w:val="zh-CN"/>
              </w:rPr>
              <w:t>业绩（</w:t>
            </w:r>
            <w:r>
              <w:rPr>
                <w:rFonts w:hint="eastAsia" w:ascii="宋体" w:hAnsi="宋体" w:eastAsia="宋体" w:cs="宋体"/>
                <w:kern w:val="0"/>
                <w:sz w:val="22"/>
                <w:szCs w:val="22"/>
                <w:highlight w:val="none"/>
                <w:lang w:val="en-US" w:eastAsia="zh-CN"/>
              </w:rPr>
              <w:t>具体指：物业管理、土地巡查类业绩）</w:t>
            </w:r>
            <w:r>
              <w:rPr>
                <w:rFonts w:hint="eastAsia" w:ascii="宋体" w:hAnsi="宋体" w:eastAsia="宋体" w:cs="宋体"/>
                <w:kern w:val="0"/>
                <w:sz w:val="22"/>
                <w:szCs w:val="22"/>
                <w:highlight w:val="none"/>
                <w:lang w:val="zh-CN"/>
              </w:rPr>
              <w:t>，</w:t>
            </w:r>
            <w:r>
              <w:rPr>
                <w:rFonts w:hint="eastAsia" w:ascii="宋体" w:hAnsi="宋体" w:eastAsia="宋体" w:cs="宋体"/>
                <w:kern w:val="0"/>
                <w:sz w:val="22"/>
                <w:szCs w:val="22"/>
                <w:highlight w:val="none"/>
                <w:lang w:val="en-US" w:eastAsia="zh-CN"/>
              </w:rPr>
              <w:t>根据所提供的业绩情况进行横向比较</w:t>
            </w:r>
            <w:r>
              <w:rPr>
                <w:rFonts w:hint="eastAsia" w:ascii="宋体" w:hAnsi="宋体" w:eastAsia="宋体" w:cs="宋体"/>
                <w:sz w:val="22"/>
                <w:szCs w:val="22"/>
              </w:rPr>
              <w:t>。</w:t>
            </w:r>
          </w:p>
          <w:p>
            <w:pPr>
              <w:keepNext w:val="0"/>
              <w:keepLines w:val="0"/>
              <w:pageBreakBefore w:val="0"/>
              <w:kinsoku/>
              <w:overflowPunct/>
              <w:topLinePunct w:val="0"/>
              <w:bidi w:val="0"/>
              <w:snapToGrid/>
              <w:spacing w:line="400" w:lineRule="exact"/>
              <w:rPr>
                <w:rFonts w:hint="eastAsia" w:ascii="宋体" w:hAnsi="宋体" w:eastAsia="宋体" w:cs="宋体"/>
                <w:b/>
                <w:sz w:val="22"/>
                <w:szCs w:val="22"/>
              </w:rPr>
            </w:pPr>
            <w:r>
              <w:rPr>
                <w:rFonts w:hint="eastAsia" w:ascii="宋体" w:hAnsi="宋体" w:eastAsia="宋体" w:cs="宋体"/>
                <w:b/>
                <w:sz w:val="22"/>
                <w:szCs w:val="22"/>
              </w:rPr>
              <w:t>（二）评分标准：</w:t>
            </w:r>
          </w:p>
          <w:p>
            <w:pPr>
              <w:keepNext w:val="0"/>
              <w:keepLines w:val="0"/>
              <w:pageBreakBefore w:val="0"/>
              <w:kinsoku/>
              <w:overflowPunct/>
              <w:topLinePunct w:val="0"/>
              <w:autoSpaceDE w:val="0"/>
              <w:autoSpaceDN w:val="0"/>
              <w:bidi w:val="0"/>
              <w:adjustRightInd w:val="0"/>
              <w:snapToGrid/>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专家根据优劣情况打分：评价为优得</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分，评价为良得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分，评价为中得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分，评价为差得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w:t>
            </w:r>
          </w:p>
          <w:p>
            <w:pPr>
              <w:keepNext w:val="0"/>
              <w:keepLines w:val="0"/>
              <w:pageBreakBefore w:val="0"/>
              <w:kinsoku/>
              <w:overflowPunct/>
              <w:topLinePunct w:val="0"/>
              <w:autoSpaceDE w:val="0"/>
              <w:autoSpaceDN w:val="0"/>
              <w:bidi w:val="0"/>
              <w:adjustRightInd w:val="0"/>
              <w:snapToGrid/>
              <w:spacing w:line="400" w:lineRule="exact"/>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注：须提供合同关键页</w:t>
            </w:r>
            <w:r>
              <w:rPr>
                <w:rFonts w:hint="eastAsia" w:ascii="宋体" w:hAnsi="宋体" w:eastAsia="宋体" w:cs="宋体"/>
                <w:sz w:val="22"/>
                <w:szCs w:val="22"/>
                <w:highlight w:val="none"/>
                <w:lang w:val="en-US" w:eastAsia="zh-CN"/>
              </w:rPr>
              <w:t>等</w:t>
            </w:r>
            <w:r>
              <w:rPr>
                <w:rFonts w:hint="eastAsia" w:ascii="宋体" w:hAnsi="宋体" w:eastAsia="宋体" w:cs="宋体"/>
                <w:sz w:val="22"/>
                <w:szCs w:val="22"/>
                <w:highlight w:val="none"/>
              </w:rPr>
              <w:t>相关证明材料加盖投标人公章</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原件备查</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3"/>
              <w:numPr>
                <w:ilvl w:val="0"/>
                <w:numId w:val="0"/>
              </w:numPr>
              <w:ind w:left="420" w:leftChars="0" w:hanging="420" w:firstLineChars="0"/>
              <w:jc w:val="center"/>
              <w:rPr>
                <w:rFonts w:asciiTheme="minorEastAsia" w:hAnsiTheme="minorEastAsia" w:eastAsiaTheme="minorEastAsia"/>
                <w:color w:val="auto"/>
                <w:szCs w:val="21"/>
                <w:highlight w:val="none"/>
              </w:rPr>
            </w:pPr>
            <w:r>
              <w:rPr>
                <w:rFonts w:cs="Times New Roman" w:asciiTheme="minorEastAsia" w:hAnsiTheme="minorEastAsia" w:eastAsiaTheme="minorEastAsia"/>
                <w:color w:val="auto"/>
                <w:kern w:val="2"/>
                <w:sz w:val="21"/>
                <w:szCs w:val="21"/>
                <w:lang w:val="en-US" w:eastAsia="zh-CN" w:bidi="ar-SA"/>
              </w:rPr>
              <w:t>2.</w:t>
            </w: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val="0"/>
              <w:autoSpaceDN w:val="0"/>
              <w:bidi w:val="0"/>
              <w:adjustRightInd w:val="0"/>
              <w:snapToGrid/>
              <w:spacing w:line="400" w:lineRule="exact"/>
              <w:jc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企业获得荣誉</w:t>
            </w:r>
          </w:p>
        </w:tc>
        <w:tc>
          <w:tcPr>
            <w:tcW w:w="5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bidi w:val="0"/>
              <w:snapToGrid/>
              <w:spacing w:line="400" w:lineRule="exact"/>
              <w:rPr>
                <w:rFonts w:hint="eastAsia" w:ascii="宋体" w:hAnsi="宋体" w:eastAsia="宋体" w:cs="宋体"/>
                <w:b/>
                <w:sz w:val="22"/>
                <w:szCs w:val="22"/>
              </w:rPr>
            </w:pPr>
            <w:r>
              <w:rPr>
                <w:rFonts w:hint="eastAsia" w:ascii="宋体" w:hAnsi="宋体" w:eastAsia="宋体" w:cs="宋体"/>
                <w:b/>
                <w:sz w:val="22"/>
                <w:szCs w:val="22"/>
              </w:rPr>
              <w:t>（一）评审内容：</w:t>
            </w:r>
          </w:p>
          <w:p>
            <w:pPr>
              <w:keepNext w:val="0"/>
              <w:keepLines w:val="0"/>
              <w:pageBreakBefore w:val="0"/>
              <w:kinsoku/>
              <w:overflowPunct/>
              <w:topLinePunct w:val="0"/>
              <w:bidi w:val="0"/>
              <w:snapToGrid/>
              <w:spacing w:line="400" w:lineRule="exact"/>
              <w:rPr>
                <w:rFonts w:hint="eastAsia" w:ascii="宋体" w:hAnsi="宋体" w:eastAsia="宋体" w:cs="宋体"/>
                <w:sz w:val="22"/>
                <w:szCs w:val="22"/>
              </w:rPr>
            </w:pPr>
            <w:r>
              <w:rPr>
                <w:rFonts w:hint="eastAsia" w:ascii="宋体" w:hAnsi="宋体" w:eastAsia="宋体" w:cs="宋体"/>
                <w:sz w:val="22"/>
                <w:szCs w:val="22"/>
              </w:rPr>
              <w:t>投标人提供</w:t>
            </w:r>
            <w:r>
              <w:rPr>
                <w:rFonts w:hint="eastAsia" w:ascii="宋体" w:hAnsi="宋体" w:eastAsia="宋体" w:cs="宋体"/>
                <w:sz w:val="22"/>
                <w:szCs w:val="22"/>
                <w:lang w:val="en-US" w:eastAsia="zh-CN"/>
              </w:rPr>
              <w:t>企业获得荣誉</w:t>
            </w:r>
            <w:r>
              <w:rPr>
                <w:rFonts w:hint="eastAsia" w:ascii="宋体" w:hAnsi="宋体" w:eastAsia="宋体" w:cs="宋体"/>
                <w:kern w:val="0"/>
                <w:sz w:val="22"/>
                <w:szCs w:val="22"/>
                <w:highlight w:val="none"/>
                <w:lang w:val="zh-CN"/>
              </w:rPr>
              <w:t>，</w:t>
            </w:r>
            <w:r>
              <w:rPr>
                <w:rFonts w:hint="eastAsia" w:ascii="宋体" w:hAnsi="宋体" w:eastAsia="宋体" w:cs="宋体"/>
                <w:kern w:val="0"/>
                <w:sz w:val="22"/>
                <w:szCs w:val="22"/>
                <w:highlight w:val="none"/>
                <w:lang w:val="en-US" w:eastAsia="zh-CN"/>
              </w:rPr>
              <w:t>根据所提供的</w:t>
            </w:r>
            <w:r>
              <w:rPr>
                <w:rFonts w:hint="eastAsia" w:ascii="宋体" w:hAnsi="宋体" w:eastAsia="宋体" w:cs="宋体"/>
                <w:sz w:val="22"/>
                <w:szCs w:val="22"/>
                <w:lang w:val="en-US" w:eastAsia="zh-CN"/>
              </w:rPr>
              <w:t>荣誉</w:t>
            </w:r>
            <w:r>
              <w:rPr>
                <w:rFonts w:hint="eastAsia" w:ascii="宋体" w:hAnsi="宋体" w:eastAsia="宋体" w:cs="宋体"/>
                <w:kern w:val="0"/>
                <w:sz w:val="22"/>
                <w:szCs w:val="22"/>
                <w:highlight w:val="none"/>
                <w:lang w:val="en-US" w:eastAsia="zh-CN"/>
              </w:rPr>
              <w:t>情况进行横向比较</w:t>
            </w:r>
            <w:r>
              <w:rPr>
                <w:rFonts w:hint="eastAsia" w:ascii="宋体" w:hAnsi="宋体" w:eastAsia="宋体" w:cs="宋体"/>
                <w:sz w:val="22"/>
                <w:szCs w:val="22"/>
              </w:rPr>
              <w:t>。</w:t>
            </w:r>
          </w:p>
          <w:p>
            <w:pPr>
              <w:keepNext w:val="0"/>
              <w:keepLines w:val="0"/>
              <w:pageBreakBefore w:val="0"/>
              <w:kinsoku/>
              <w:overflowPunct/>
              <w:topLinePunct w:val="0"/>
              <w:bidi w:val="0"/>
              <w:snapToGrid/>
              <w:spacing w:line="400" w:lineRule="exact"/>
              <w:rPr>
                <w:rFonts w:hint="eastAsia" w:ascii="宋体" w:hAnsi="宋体" w:eastAsia="宋体" w:cs="宋体"/>
                <w:b/>
                <w:sz w:val="22"/>
                <w:szCs w:val="22"/>
              </w:rPr>
            </w:pPr>
            <w:r>
              <w:rPr>
                <w:rFonts w:hint="eastAsia" w:ascii="宋体" w:hAnsi="宋体" w:eastAsia="宋体" w:cs="宋体"/>
                <w:b/>
                <w:sz w:val="22"/>
                <w:szCs w:val="22"/>
              </w:rPr>
              <w:t>（二）评分标准：</w:t>
            </w:r>
          </w:p>
          <w:p>
            <w:pPr>
              <w:keepNext w:val="0"/>
              <w:keepLines w:val="0"/>
              <w:pageBreakBefore w:val="0"/>
              <w:kinsoku/>
              <w:overflowPunct/>
              <w:topLinePunct w:val="0"/>
              <w:autoSpaceDE w:val="0"/>
              <w:autoSpaceDN w:val="0"/>
              <w:bidi w:val="0"/>
              <w:adjustRightInd w:val="0"/>
              <w:snapToGrid/>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专家根据优劣情况打分：评价为优得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分，评价为良得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分，评价为中得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分，评价为差得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w:t>
            </w:r>
          </w:p>
          <w:p>
            <w:pPr>
              <w:keepNext w:val="0"/>
              <w:keepLines w:val="0"/>
              <w:pageBreakBefore w:val="0"/>
              <w:kinsoku/>
              <w:wordWrap w:val="0"/>
              <w:overflowPunct/>
              <w:topLinePunct w:val="0"/>
              <w:autoSpaceDE w:val="0"/>
              <w:autoSpaceDN w:val="0"/>
              <w:bidi w:val="0"/>
              <w:adjustRightInd w:val="0"/>
              <w:snapToGrid/>
              <w:spacing w:line="400" w:lineRule="exact"/>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sz w:val="22"/>
                <w:szCs w:val="22"/>
                <w:highlight w:val="none"/>
              </w:rPr>
              <w:t>注：须提供</w:t>
            </w:r>
            <w:r>
              <w:rPr>
                <w:rFonts w:hint="eastAsia" w:ascii="宋体" w:hAnsi="宋体" w:eastAsia="宋体" w:cs="宋体"/>
                <w:sz w:val="22"/>
                <w:szCs w:val="22"/>
                <w:highlight w:val="none"/>
                <w:lang w:val="en-US" w:eastAsia="zh-CN"/>
              </w:rPr>
              <w:t>荣誉证书等</w:t>
            </w:r>
            <w:r>
              <w:rPr>
                <w:rFonts w:hint="eastAsia" w:ascii="宋体" w:hAnsi="宋体" w:eastAsia="宋体" w:cs="宋体"/>
                <w:sz w:val="22"/>
                <w:szCs w:val="22"/>
                <w:highlight w:val="none"/>
              </w:rPr>
              <w:t>相关证明材料加盖投标人公章</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原件备查</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3"/>
              <w:numPr>
                <w:ilvl w:val="0"/>
                <w:numId w:val="0"/>
              </w:numPr>
              <w:ind w:left="420" w:leftChars="0" w:hanging="420" w:firstLineChars="0"/>
              <w:jc w:val="center"/>
              <w:rPr>
                <w:rFonts w:asciiTheme="minorEastAsia" w:hAnsiTheme="minorEastAsia" w:eastAsiaTheme="minorEastAsia"/>
                <w:color w:val="auto"/>
                <w:szCs w:val="21"/>
                <w:highlight w:val="none"/>
              </w:rPr>
            </w:pPr>
            <w:r>
              <w:rPr>
                <w:rFonts w:cs="Times New Roman" w:asciiTheme="minorEastAsia" w:hAnsiTheme="minorEastAsia" w:eastAsiaTheme="minorEastAsia"/>
                <w:color w:val="auto"/>
                <w:kern w:val="2"/>
                <w:sz w:val="21"/>
                <w:szCs w:val="21"/>
                <w:lang w:val="en-US" w:eastAsia="zh-CN" w:bidi="ar-SA"/>
              </w:rPr>
              <w:t>3.</w:t>
            </w: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3"/>
              <w:keepNext w:val="0"/>
              <w:keepLines w:val="0"/>
              <w:pageBreakBefore w:val="0"/>
              <w:kinsoku/>
              <w:overflowPunct/>
              <w:topLinePunct w:val="0"/>
              <w:bidi w:val="0"/>
              <w:snapToGrid/>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auto"/>
                <w:sz w:val="22"/>
                <w:szCs w:val="22"/>
                <w:highlight w:val="none"/>
              </w:rPr>
              <w:t>企业</w:t>
            </w:r>
            <w:r>
              <w:rPr>
                <w:rFonts w:hint="eastAsia" w:ascii="宋体" w:hAnsi="宋体" w:eastAsia="宋体" w:cs="宋体"/>
                <w:color w:val="auto"/>
                <w:sz w:val="22"/>
                <w:szCs w:val="22"/>
                <w:highlight w:val="none"/>
                <w:lang w:val="en-US" w:eastAsia="zh-CN"/>
              </w:rPr>
              <w:t>体系认证</w:t>
            </w:r>
            <w:r>
              <w:rPr>
                <w:rFonts w:hint="eastAsia" w:ascii="宋体" w:hAnsi="宋体" w:eastAsia="宋体" w:cs="宋体"/>
                <w:color w:val="auto"/>
                <w:sz w:val="22"/>
                <w:szCs w:val="22"/>
                <w:highlight w:val="none"/>
              </w:rPr>
              <w:t>情况</w:t>
            </w:r>
          </w:p>
        </w:tc>
        <w:tc>
          <w:tcPr>
            <w:tcW w:w="5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val="0"/>
              <w:overflowPunct/>
              <w:topLinePunct w:val="0"/>
              <w:bidi w:val="0"/>
              <w:snapToGrid/>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投标人具有</w:t>
            </w:r>
            <w:r>
              <w:rPr>
                <w:rFonts w:hint="eastAsia" w:ascii="宋体" w:hAnsi="宋体" w:eastAsia="宋体" w:cs="宋体"/>
                <w:color w:val="auto"/>
                <w:sz w:val="22"/>
                <w:szCs w:val="22"/>
                <w:highlight w:val="none"/>
              </w:rPr>
              <w:t xml:space="preserve">质量管理体系认证、环境管理体系认证、职业健康安全管理体系认证，每提供1个得2分，满分6分。 </w:t>
            </w:r>
          </w:p>
          <w:p>
            <w:pPr>
              <w:keepNext w:val="0"/>
              <w:keepLines w:val="0"/>
              <w:pageBreakBefore w:val="0"/>
              <w:kinsoku/>
              <w:overflowPunct/>
              <w:topLinePunct w:val="0"/>
              <w:bidi w:val="0"/>
              <w:snapToGrid/>
              <w:spacing w:line="400" w:lineRule="exact"/>
              <w:rPr>
                <w:rFonts w:hint="eastAsia" w:ascii="宋体" w:hAnsi="宋体" w:eastAsia="宋体" w:cs="宋体"/>
                <w:kern w:val="2"/>
                <w:sz w:val="22"/>
                <w:szCs w:val="22"/>
                <w:highlight w:val="none"/>
                <w:lang w:val="en-US" w:eastAsia="zh-CN" w:bidi="ar-SA"/>
              </w:rPr>
            </w:pPr>
            <w:r>
              <w:rPr>
                <w:rFonts w:hint="eastAsia" w:ascii="宋体" w:hAnsi="宋体" w:eastAsia="宋体" w:cs="宋体"/>
                <w:color w:val="auto"/>
                <w:sz w:val="22"/>
                <w:szCs w:val="22"/>
                <w:highlight w:val="none"/>
              </w:rPr>
              <w:t>注：投标文件提供有效并通过年审合格（如有）的相关证书及国家认证认可监督管理委员会官方网站（www.cnca.gov.cn）或相关网站查询截图复印件。</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3"/>
              <w:numPr>
                <w:ilvl w:val="0"/>
                <w:numId w:val="0"/>
              </w:numPr>
              <w:ind w:left="420" w:leftChars="0" w:hanging="420" w:firstLineChars="0"/>
              <w:jc w:val="center"/>
              <w:rPr>
                <w:rFonts w:asciiTheme="minorEastAsia" w:hAnsiTheme="minorEastAsia" w:eastAsiaTheme="minorEastAsia"/>
                <w:color w:val="auto"/>
                <w:szCs w:val="21"/>
                <w:highlight w:val="none"/>
              </w:rPr>
            </w:pPr>
            <w:r>
              <w:rPr>
                <w:rFonts w:cs="Times New Roman" w:asciiTheme="minorEastAsia" w:hAnsiTheme="minorEastAsia" w:eastAsiaTheme="minorEastAsia"/>
                <w:color w:val="auto"/>
                <w:kern w:val="2"/>
                <w:sz w:val="21"/>
                <w:szCs w:val="21"/>
                <w:lang w:val="en-US" w:eastAsia="zh-CN" w:bidi="ar-SA"/>
              </w:rPr>
              <w:t>4.</w:t>
            </w:r>
          </w:p>
        </w:tc>
        <w:tc>
          <w:tcPr>
            <w:tcW w:w="1355" w:type="dxa"/>
            <w:shd w:val="clear" w:color="auto" w:fill="auto"/>
            <w:vAlign w:val="center"/>
          </w:tcPr>
          <w:p>
            <w:pPr>
              <w:pStyle w:val="103"/>
              <w:keepNext w:val="0"/>
              <w:keepLines w:val="0"/>
              <w:pageBreakBefore w:val="0"/>
              <w:kinsoku/>
              <w:overflowPunct/>
              <w:topLinePunct w:val="0"/>
              <w:bidi w:val="0"/>
              <w:snapToGrid/>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sz w:val="22"/>
                <w:szCs w:val="22"/>
                <w:highlight w:val="none"/>
              </w:rPr>
              <w:t>本地化团队的服务能力</w:t>
            </w:r>
          </w:p>
        </w:tc>
        <w:tc>
          <w:tcPr>
            <w:tcW w:w="5635" w:type="dxa"/>
            <w:shd w:val="clear" w:color="auto" w:fill="auto"/>
            <w:vAlign w:val="center"/>
          </w:tcPr>
          <w:p>
            <w:pPr>
              <w:keepNext w:val="0"/>
              <w:keepLines w:val="0"/>
              <w:pageBreakBefore w:val="0"/>
              <w:kinsoku/>
              <w:overflowPunct/>
              <w:topLinePunct w:val="0"/>
              <w:bidi w:val="0"/>
              <w:snapToGrid/>
              <w:spacing w:line="40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w:t>
            </w:r>
            <w:r>
              <w:rPr>
                <w:rFonts w:hint="eastAsia" w:ascii="宋体" w:hAnsi="宋体" w:eastAsia="宋体" w:cs="宋体"/>
                <w:b/>
                <w:bCs/>
                <w:sz w:val="22"/>
                <w:szCs w:val="22"/>
                <w:highlight w:val="none"/>
              </w:rPr>
              <w:tab/>
            </w:r>
            <w:r>
              <w:rPr>
                <w:rFonts w:hint="eastAsia" w:ascii="宋体" w:hAnsi="宋体" w:eastAsia="宋体" w:cs="宋体"/>
                <w:b/>
                <w:bCs/>
                <w:sz w:val="22"/>
                <w:szCs w:val="22"/>
                <w:highlight w:val="none"/>
              </w:rPr>
              <w:t>评审</w:t>
            </w:r>
            <w:r>
              <w:rPr>
                <w:rFonts w:hint="eastAsia" w:ascii="宋体" w:hAnsi="宋体" w:eastAsia="宋体" w:cs="宋体"/>
                <w:b/>
                <w:bCs/>
                <w:sz w:val="22"/>
                <w:szCs w:val="22"/>
                <w:highlight w:val="none"/>
                <w:lang w:val="en-US" w:eastAsia="zh-CN"/>
              </w:rPr>
              <w:t>内容</w:t>
            </w:r>
            <w:r>
              <w:rPr>
                <w:rFonts w:hint="eastAsia" w:ascii="宋体" w:hAnsi="宋体" w:eastAsia="宋体" w:cs="宋体"/>
                <w:b/>
                <w:bCs/>
                <w:sz w:val="22"/>
                <w:szCs w:val="22"/>
                <w:highlight w:val="none"/>
              </w:rPr>
              <w:t>：</w:t>
            </w:r>
          </w:p>
          <w:p>
            <w:pPr>
              <w:keepNext w:val="0"/>
              <w:keepLines w:val="0"/>
              <w:pageBreakBefore w:val="0"/>
              <w:kinsoku/>
              <w:overflowPunct/>
              <w:topLinePunct w:val="0"/>
              <w:bidi w:val="0"/>
              <w:snapToGrid/>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投标人具有本地经营（服务）网点或承诺中标后在深圳市内设立本地经营（服务）网点的得</w:t>
            </w:r>
            <w:r>
              <w:rPr>
                <w:rFonts w:hint="eastAsia" w:ascii="宋体" w:hAnsi="宋体" w:eastAsia="宋体" w:cs="宋体"/>
                <w:sz w:val="22"/>
                <w:szCs w:val="22"/>
                <w:highlight w:val="none"/>
                <w:lang w:val="en-US" w:eastAsia="zh-CN"/>
              </w:rPr>
              <w:t>满</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p>
          <w:p>
            <w:pPr>
              <w:keepNext w:val="0"/>
              <w:keepLines w:val="0"/>
              <w:pageBreakBefore w:val="0"/>
              <w:kinsoku/>
              <w:overflowPunct/>
              <w:topLinePunct w:val="0"/>
              <w:bidi w:val="0"/>
              <w:snapToGrid/>
              <w:spacing w:line="40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w:t>
            </w:r>
            <w:r>
              <w:rPr>
                <w:rFonts w:hint="eastAsia" w:ascii="宋体" w:hAnsi="宋体" w:eastAsia="宋体" w:cs="宋体"/>
                <w:b/>
                <w:bCs/>
                <w:sz w:val="22"/>
                <w:szCs w:val="22"/>
                <w:highlight w:val="none"/>
                <w:lang w:val="en-US" w:eastAsia="zh-CN"/>
              </w:rPr>
              <w:t>评分依据</w:t>
            </w:r>
            <w:r>
              <w:rPr>
                <w:rFonts w:hint="eastAsia" w:ascii="宋体" w:hAnsi="宋体" w:eastAsia="宋体" w:cs="宋体"/>
                <w:b/>
                <w:bCs/>
                <w:sz w:val="22"/>
                <w:szCs w:val="22"/>
                <w:highlight w:val="none"/>
              </w:rPr>
              <w:t xml:space="preserve">： </w:t>
            </w:r>
          </w:p>
          <w:p>
            <w:pPr>
              <w:keepNext w:val="0"/>
              <w:keepLines w:val="0"/>
              <w:pageBreakBefore w:val="0"/>
              <w:kinsoku/>
              <w:overflowPunct/>
              <w:topLinePunct w:val="0"/>
              <w:bidi w:val="0"/>
              <w:snapToGrid/>
              <w:spacing w:line="400" w:lineRule="exact"/>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要求提供本地经营（服务）网点证明文件</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rPr>
              <w:t>承诺</w:t>
            </w:r>
            <w:r>
              <w:rPr>
                <w:rFonts w:hint="eastAsia" w:ascii="宋体" w:hAnsi="宋体" w:eastAsia="宋体" w:cs="宋体"/>
                <w:color w:val="auto"/>
                <w:sz w:val="22"/>
                <w:szCs w:val="22"/>
                <w:highlight w:val="none"/>
                <w:lang w:val="en-US" w:eastAsia="zh-CN"/>
              </w:rPr>
              <w:t>函</w:t>
            </w:r>
            <w:r>
              <w:rPr>
                <w:rFonts w:hint="eastAsia" w:ascii="宋体" w:hAnsi="宋体" w:eastAsia="宋体" w:cs="宋体"/>
                <w:color w:val="auto"/>
                <w:sz w:val="22"/>
                <w:szCs w:val="22"/>
                <w:highlight w:val="none"/>
              </w:rPr>
              <w:t>（格式自定）作为得分依据，</w:t>
            </w:r>
            <w:r>
              <w:rPr>
                <w:rFonts w:hint="eastAsia" w:ascii="宋体" w:hAnsi="宋体" w:eastAsia="宋体" w:cs="宋体"/>
                <w:color w:val="auto"/>
                <w:sz w:val="22"/>
                <w:szCs w:val="22"/>
                <w:highlight w:val="none"/>
                <w:lang w:val="en-US" w:eastAsia="zh-CN"/>
              </w:rPr>
              <w:t>未按要求提供</w:t>
            </w:r>
            <w:r>
              <w:rPr>
                <w:rFonts w:hint="eastAsia" w:ascii="宋体" w:hAnsi="宋体" w:eastAsia="宋体" w:cs="宋体"/>
                <w:color w:val="auto"/>
                <w:sz w:val="22"/>
                <w:szCs w:val="22"/>
                <w:highlight w:val="none"/>
              </w:rPr>
              <w:t>或承诺</w:t>
            </w:r>
            <w:r>
              <w:rPr>
                <w:rFonts w:hint="eastAsia" w:ascii="宋体" w:hAnsi="宋体" w:eastAsia="宋体" w:cs="宋体"/>
                <w:color w:val="auto"/>
                <w:sz w:val="22"/>
                <w:szCs w:val="22"/>
                <w:highlight w:val="none"/>
                <w:lang w:val="en-US" w:eastAsia="zh-CN"/>
              </w:rPr>
              <w:t>函</w:t>
            </w:r>
            <w:r>
              <w:rPr>
                <w:rFonts w:hint="eastAsia" w:ascii="宋体" w:hAnsi="宋体" w:eastAsia="宋体" w:cs="宋体"/>
                <w:color w:val="auto"/>
                <w:sz w:val="22"/>
                <w:szCs w:val="22"/>
                <w:highlight w:val="none"/>
              </w:rPr>
              <w:t>内容不满足要求不得分</w:t>
            </w:r>
            <w:r>
              <w:rPr>
                <w:rFonts w:hint="eastAsia" w:ascii="宋体" w:hAnsi="宋体" w:eastAsia="宋体" w:cs="宋体"/>
                <w:color w:val="auto"/>
                <w:sz w:val="22"/>
                <w:szCs w:val="22"/>
                <w:highlight w:val="none"/>
                <w:lang w:eastAsia="zh-CN"/>
              </w:rPr>
              <w:t>。</w:t>
            </w:r>
          </w:p>
        </w:tc>
        <w:tc>
          <w:tcPr>
            <w:tcW w:w="780" w:type="dxa"/>
            <w:tcBorders>
              <w:right w:val="single" w:color="auto" w:sz="4" w:space="0"/>
            </w:tcBorders>
            <w:shd w:val="clear" w:color="auto" w:fill="auto"/>
            <w:vAlign w:val="center"/>
          </w:tcPr>
          <w:p>
            <w:pPr>
              <w:ind w:left="-78" w:leftChars="-37" w:right="-73" w:rightChars="-35"/>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w:t>
            </w:r>
          </w:p>
        </w:tc>
        <w:tc>
          <w:tcPr>
            <w:tcW w:w="697" w:type="dxa"/>
            <w:tcBorders>
              <w:left w:val="single" w:color="auto" w:sz="4" w:space="0"/>
            </w:tcBorders>
            <w:shd w:val="clear" w:color="auto" w:fill="auto"/>
            <w:vAlign w:val="center"/>
          </w:tcPr>
          <w:p>
            <w:pPr>
              <w:ind w:left="-78" w:leftChars="-37" w:right="-73" w:rightChars="-35"/>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8" w:hRule="atLeast"/>
        </w:trPr>
        <w:tc>
          <w:tcPr>
            <w:tcW w:w="680" w:type="dxa"/>
            <w:tcBorders>
              <w:top w:val="single" w:color="auto" w:sz="4" w:space="0"/>
            </w:tcBorders>
            <w:vAlign w:val="center"/>
          </w:tcPr>
          <w:p>
            <w:pPr>
              <w:pStyle w:val="83"/>
              <w:numPr>
                <w:ilvl w:val="0"/>
                <w:numId w:val="0"/>
              </w:numPr>
              <w:ind w:leftChars="0"/>
              <w:jc w:val="both"/>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四</w:t>
            </w:r>
          </w:p>
        </w:tc>
        <w:tc>
          <w:tcPr>
            <w:tcW w:w="8467" w:type="dxa"/>
            <w:gridSpan w:val="4"/>
            <w:vAlign w:val="center"/>
          </w:tcPr>
          <w:p>
            <w:pPr>
              <w:ind w:left="-78" w:leftChars="-37" w:right="-73" w:rightChars="-35"/>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lang w:val="en-US" w:eastAsia="zh-CN"/>
              </w:rPr>
              <w:t>诚信情况</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lang w:val="en-US" w:eastAsia="zh-CN"/>
              </w:rPr>
              <w:t>5</w:t>
            </w:r>
            <w:r>
              <w:rPr>
                <w:rFonts w:hint="eastAsia" w:asciiTheme="minorEastAsia" w:hAnsiTheme="minorEastAsia" w:eastAsiaTheme="minorEastAsia"/>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3"/>
              <w:numPr>
                <w:ilvl w:val="0"/>
                <w:numId w:val="0"/>
              </w:numPr>
              <w:ind w:leftChars="0"/>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1355" w:type="dxa"/>
            <w:vAlign w:val="center"/>
          </w:tcPr>
          <w:p>
            <w:pPr>
              <w:jc w:val="center"/>
              <w:rPr>
                <w:rFonts w:asciiTheme="minorEastAsia" w:hAnsiTheme="minorEastAsia" w:eastAsiaTheme="minorEastAsia"/>
                <w:bCs/>
                <w:color w:val="auto"/>
                <w:szCs w:val="21"/>
                <w:highlight w:val="none"/>
              </w:rPr>
            </w:pPr>
            <w:r>
              <w:rPr>
                <w:rFonts w:hint="eastAsia" w:ascii="宋体" w:hAnsi="宋体" w:eastAsia="宋体" w:cs="宋体"/>
                <w:sz w:val="22"/>
                <w:szCs w:val="22"/>
                <w:highlight w:val="none"/>
              </w:rPr>
              <w:t>诚信管理情况</w:t>
            </w:r>
          </w:p>
        </w:tc>
        <w:tc>
          <w:tcPr>
            <w:tcW w:w="5635" w:type="dxa"/>
            <w:vAlign w:val="center"/>
          </w:tcPr>
          <w:p>
            <w:pPr>
              <w:spacing w:line="360" w:lineRule="exact"/>
              <w:jc w:val="left"/>
              <w:rPr>
                <w:rFonts w:asciiTheme="minorEastAsia" w:hAnsiTheme="minorEastAsia" w:eastAsiaTheme="minorEastAsia"/>
                <w:color w:val="auto"/>
                <w:szCs w:val="21"/>
                <w:highlight w:val="none"/>
              </w:rPr>
            </w:pPr>
            <w:r>
              <w:rPr>
                <w:rFonts w:hint="eastAsia" w:ascii="宋体" w:hAnsi="宋体" w:eastAsia="宋体" w:cs="宋体"/>
                <w:sz w:val="22"/>
                <w:szCs w:val="22"/>
                <w:highlight w:val="none"/>
              </w:rPr>
              <w:t>投标人在参与政府采购活动中存在被记入诚信档案的情形（被禁止参与政府采购活动除外）且在主管部门相关处理措施实施期限内的，本项不得分，否则得满分。投标人无需提供任何证明材料，由工作人员向评审委员会提供相关信息。</w:t>
            </w:r>
          </w:p>
        </w:tc>
        <w:tc>
          <w:tcPr>
            <w:tcW w:w="780" w:type="dxa"/>
            <w:tcBorders>
              <w:right w:val="single" w:color="auto" w:sz="4" w:space="0"/>
            </w:tcBorders>
            <w:vAlign w:val="center"/>
          </w:tcPr>
          <w:p>
            <w:pPr>
              <w:ind w:left="-78" w:leftChars="-37" w:right="-73" w:rightChars="-3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合计</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100分</w:t>
            </w:r>
          </w:p>
        </w:tc>
      </w:tr>
    </w:tbl>
    <w:p>
      <w:pPr>
        <w:snapToGrid w:val="0"/>
        <w:spacing w:line="360" w:lineRule="auto"/>
        <w:rPr>
          <w:rFonts w:ascii="宋体" w:cs="宋体"/>
          <w:snapToGrid w:val="0"/>
          <w:color w:val="auto"/>
          <w:kern w:val="0"/>
          <w:highlight w:val="none"/>
        </w:rPr>
      </w:pPr>
      <w:r>
        <w:rPr>
          <w:rFonts w:hint="eastAsia" w:ascii="宋体" w:cs="宋体"/>
          <w:snapToGrid w:val="0"/>
          <w:color w:val="auto"/>
          <w:kern w:val="0"/>
          <w:highlight w:val="none"/>
        </w:rPr>
        <w:t>备注：</w:t>
      </w:r>
    </w:p>
    <w:p>
      <w:pPr>
        <w:tabs>
          <w:tab w:val="left" w:pos="420"/>
        </w:tabs>
        <w:snapToGrid w:val="0"/>
        <w:spacing w:line="360" w:lineRule="auto"/>
        <w:rPr>
          <w:rFonts w:ascii="宋体" w:hAnsi="宋体"/>
          <w:bCs/>
          <w:color w:val="auto"/>
          <w:highlight w:val="none"/>
        </w:rPr>
      </w:pPr>
      <w:r>
        <w:rPr>
          <w:rFonts w:hint="eastAsia" w:ascii="宋体" w:hAnsi="宋体"/>
          <w:bCs/>
          <w:color w:val="auto"/>
          <w:highlight w:val="none"/>
        </w:rPr>
        <w:t>招标文件要求提交的与评价指标体系相关的各类有效资料，投标人如未按要求提交的，该项评分为零分。</w:t>
      </w:r>
    </w:p>
    <w:bookmarkEnd w:id="30"/>
    <w:p>
      <w:pPr>
        <w:pStyle w:val="4"/>
        <w:numPr>
          <w:ilvl w:val="0"/>
          <w:numId w:val="2"/>
        </w:numPr>
        <w:spacing w:line="240" w:lineRule="auto"/>
        <w:jc w:val="center"/>
        <w:rPr>
          <w:rFonts w:asciiTheme="majorEastAsia" w:hAnsiTheme="majorEastAsia" w:eastAsiaTheme="majorEastAsia"/>
          <w:color w:val="auto"/>
          <w:sz w:val="30"/>
          <w:szCs w:val="30"/>
          <w:highlight w:val="none"/>
        </w:rPr>
      </w:pPr>
      <w:bookmarkStart w:id="37" w:name="_Toc77947877"/>
      <w:r>
        <w:rPr>
          <w:rFonts w:hint="eastAsia" w:asciiTheme="majorEastAsia" w:hAnsiTheme="majorEastAsia" w:eastAsiaTheme="majorEastAsia"/>
          <w:color w:val="auto"/>
          <w:sz w:val="30"/>
          <w:szCs w:val="30"/>
          <w:highlight w:val="none"/>
        </w:rPr>
        <w:t>评标</w:t>
      </w:r>
      <w:bookmarkEnd w:id="37"/>
      <w:r>
        <w:rPr>
          <w:rFonts w:hint="eastAsia" w:asciiTheme="majorEastAsia" w:hAnsiTheme="majorEastAsia" w:eastAsiaTheme="majorEastAsia"/>
          <w:color w:val="auto"/>
          <w:sz w:val="30"/>
          <w:szCs w:val="30"/>
          <w:highlight w:val="none"/>
        </w:rPr>
        <w:t>、定标</w:t>
      </w:r>
    </w:p>
    <w:p>
      <w:pPr>
        <w:pStyle w:val="83"/>
        <w:widowControl/>
        <w:numPr>
          <w:ilvl w:val="0"/>
          <w:numId w:val="6"/>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83"/>
        <w:widowControl/>
        <w:numPr>
          <w:ilvl w:val="1"/>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评标委员会依法组建，由5</w:t>
      </w:r>
      <w:r>
        <w:rPr>
          <w:rFonts w:hint="eastAsia" w:ascii="宋体" w:hAnsi="宋体" w:cs="宋体"/>
          <w:color w:val="auto"/>
          <w:szCs w:val="21"/>
          <w:highlight w:val="none"/>
        </w:rPr>
        <w:t>人</w:t>
      </w:r>
      <w:r>
        <w:rPr>
          <w:rFonts w:hint="eastAsia" w:ascii="宋体" w:hAnsi="宋体" w:cs="宋体"/>
          <w:color w:val="auto"/>
          <w:szCs w:val="21"/>
          <w:highlight w:val="none"/>
          <w:lang w:eastAsia="zh-TW"/>
        </w:rPr>
        <w:t>单数组成。</w:t>
      </w:r>
    </w:p>
    <w:p>
      <w:pPr>
        <w:pStyle w:val="83"/>
        <w:widowControl/>
        <w:numPr>
          <w:ilvl w:val="1"/>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评标委员会成员名单在评标结果公告前应当保密。评审专家有下列情形之一的，受到邀请应主动提出回避，采购当事人也可以要求该评审专家回避：</w:t>
      </w:r>
    </w:p>
    <w:p>
      <w:pPr>
        <w:pStyle w:val="113"/>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参加采购活动前3年内与供应商存在劳动关系；</w:t>
      </w:r>
    </w:p>
    <w:p>
      <w:pPr>
        <w:pStyle w:val="113"/>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参加采购活动前3年内担任供应商的董事、监事；</w:t>
      </w:r>
    </w:p>
    <w:p>
      <w:pPr>
        <w:pStyle w:val="113"/>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参加采购活动前3年内是供应商的控股股东或者实际控制人；</w:t>
      </w:r>
    </w:p>
    <w:p>
      <w:pPr>
        <w:pStyle w:val="113"/>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与供应商的法定代表人或者负责人有夫妻、直系血亲、三代以内旁系血亲或者近姻亲关系；</w:t>
      </w:r>
    </w:p>
    <w:p>
      <w:pPr>
        <w:pStyle w:val="113"/>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与供应商有其他可能影响采购活动公平、公正进行的关系。</w:t>
      </w:r>
    </w:p>
    <w:p>
      <w:pPr>
        <w:pStyle w:val="83"/>
        <w:widowControl/>
        <w:numPr>
          <w:ilvl w:val="1"/>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评标委员会和有关工作人员不得透露对投标文件的评审和比较以及与评标有关的其他情况。</w:t>
      </w:r>
    </w:p>
    <w:p>
      <w:pPr>
        <w:pStyle w:val="83"/>
        <w:widowControl/>
        <w:numPr>
          <w:ilvl w:val="1"/>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83"/>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审查、评价投标文件是否符合招标文件的商务、技术等实质性要求；</w:t>
      </w:r>
    </w:p>
    <w:p>
      <w:pPr>
        <w:pStyle w:val="83"/>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83"/>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83"/>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确定中标候选人名单，以及根据采购人委托直接确定中标人；</w:t>
      </w:r>
    </w:p>
    <w:p>
      <w:pPr>
        <w:pStyle w:val="83"/>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向采购人或者有关部门报告评标中发现的违法行为。</w:t>
      </w:r>
    </w:p>
    <w:p>
      <w:pPr>
        <w:pStyle w:val="83"/>
        <w:widowControl/>
        <w:numPr>
          <w:ilvl w:val="1"/>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83"/>
        <w:widowControl/>
        <w:numPr>
          <w:ilvl w:val="1"/>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83"/>
        <w:widowControl/>
        <w:numPr>
          <w:ilvl w:val="1"/>
          <w:numId w:val="6"/>
        </w:numPr>
        <w:spacing w:line="360" w:lineRule="auto"/>
        <w:ind w:firstLineChars="0"/>
        <w:jc w:val="left"/>
        <w:rPr>
          <w:rFonts w:ascii="宋体" w:hAnsi="宋体" w:cs="宋体"/>
          <w:color w:val="auto"/>
          <w:szCs w:val="21"/>
          <w:highlight w:val="none"/>
          <w:lang w:eastAsia="zh-TW"/>
        </w:rPr>
      </w:pPr>
      <w:r>
        <w:rPr>
          <w:color w:val="auto"/>
          <w:highlight w:val="none"/>
        </w:rPr>
        <w:t>评标委员会决定投标的响应性只根据投标文件中提供的材料内容，而不依据外部的材料证据</w:t>
      </w:r>
      <w:r>
        <w:rPr>
          <w:rFonts w:hint="eastAsia" w:ascii="宋体" w:hAnsi="宋体" w:cs="宋体"/>
          <w:color w:val="auto"/>
          <w:szCs w:val="21"/>
          <w:highlight w:val="none"/>
          <w:lang w:eastAsia="zh-TW"/>
        </w:rPr>
        <w:t>。</w:t>
      </w:r>
    </w:p>
    <w:p>
      <w:pPr>
        <w:pStyle w:val="83"/>
        <w:widowControl/>
        <w:numPr>
          <w:ilvl w:val="1"/>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83"/>
        <w:widowControl/>
        <w:numPr>
          <w:ilvl w:val="0"/>
          <w:numId w:val="6"/>
        </w:numPr>
        <w:spacing w:line="360" w:lineRule="auto"/>
        <w:ind w:firstLineChars="0"/>
        <w:jc w:val="left"/>
        <w:rPr>
          <w:rFonts w:hAnsi="宋体"/>
          <w:b/>
          <w:color w:val="auto"/>
          <w:highlight w:val="none"/>
        </w:rPr>
      </w:pPr>
      <w:r>
        <w:rPr>
          <w:rFonts w:hint="eastAsia" w:hAnsi="宋体"/>
          <w:b/>
          <w:color w:val="auto"/>
          <w:highlight w:val="none"/>
        </w:rPr>
        <w:t>评标（适用综合评分法）：</w:t>
      </w:r>
    </w:p>
    <w:p>
      <w:pPr>
        <w:pStyle w:val="83"/>
        <w:widowControl/>
        <w:numPr>
          <w:ilvl w:val="1"/>
          <w:numId w:val="6"/>
        </w:numPr>
        <w:spacing w:line="360" w:lineRule="auto"/>
        <w:ind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评标方法：</w:t>
      </w:r>
      <w:r>
        <w:rPr>
          <w:rFonts w:hint="eastAsia" w:asciiTheme="minorEastAsia" w:hAnsiTheme="minorEastAsia" w:eastAsiaTheme="minorEastAsia" w:cstheme="minorEastAsia"/>
          <w:color w:val="auto"/>
          <w:highlight w:val="none"/>
        </w:rPr>
        <w:t>综合评分法，是指投标文件满足招标文件全部实质性要求，且按照评审因素的量化指标评审得分最高的投标人为中标候选人的评标方法。</w:t>
      </w:r>
    </w:p>
    <w:p>
      <w:pPr>
        <w:pStyle w:val="83"/>
        <w:widowControl/>
        <w:spacing w:line="360" w:lineRule="auto"/>
        <w:ind w:left="567"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评标总得分＝F1×A1＋F2×A2＋……＋Fn×An </w:t>
      </w:r>
    </w:p>
    <w:p>
      <w:pPr>
        <w:pStyle w:val="83"/>
        <w:widowControl/>
        <w:spacing w:line="360" w:lineRule="auto"/>
        <w:ind w:left="567"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F1、F2……Fn分别为各项评审因素的得分； </w:t>
      </w:r>
    </w:p>
    <w:p>
      <w:pPr>
        <w:pStyle w:val="83"/>
        <w:widowControl/>
        <w:spacing w:line="360" w:lineRule="auto"/>
        <w:ind w:left="567"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A1、A2、……An 分别为各项评审因素所占的权重（A1＋A2＋……＋An＝1）。</w:t>
      </w:r>
    </w:p>
    <w:p>
      <w:pPr>
        <w:pStyle w:val="83"/>
        <w:widowControl/>
        <w:numPr>
          <w:ilvl w:val="1"/>
          <w:numId w:val="6"/>
        </w:numPr>
        <w:spacing w:line="360" w:lineRule="auto"/>
        <w:ind w:firstLineChars="0"/>
        <w:jc w:val="left"/>
        <w:rPr>
          <w:rFonts w:ascii="宋体" w:hAnsi="宋体"/>
          <w:bCs/>
          <w:color w:val="auto"/>
          <w:szCs w:val="21"/>
          <w:highlight w:val="none"/>
        </w:rPr>
      </w:pPr>
      <w:r>
        <w:rPr>
          <w:rFonts w:hint="eastAsia" w:ascii="宋体" w:hAnsi="宋体"/>
          <w:bCs/>
          <w:color w:val="auto"/>
          <w:szCs w:val="21"/>
          <w:highlight w:val="none"/>
        </w:rPr>
        <w:t>评标步骤：</w:t>
      </w:r>
    </w:p>
    <w:p>
      <w:pPr>
        <w:pStyle w:val="83"/>
        <w:widowControl/>
        <w:numPr>
          <w:ilvl w:val="2"/>
          <w:numId w:val="6"/>
        </w:numPr>
        <w:spacing w:line="360" w:lineRule="auto"/>
        <w:ind w:firstLineChars="0"/>
        <w:jc w:val="left"/>
        <w:rPr>
          <w:rFonts w:ascii="宋体" w:hAnsi="宋体"/>
          <w:bCs/>
          <w:color w:val="auto"/>
          <w:szCs w:val="21"/>
          <w:highlight w:val="none"/>
        </w:rPr>
      </w:pPr>
      <w:r>
        <w:rPr>
          <w:rFonts w:hint="eastAsia" w:ascii="宋体" w:hAnsi="宋体"/>
          <w:bCs/>
          <w:color w:val="auto"/>
          <w:szCs w:val="21"/>
          <w:highlight w:val="none"/>
        </w:rPr>
        <w:t>本项目按各包组进行独立评审，按包组的自然顺序进行评审。</w:t>
      </w:r>
    </w:p>
    <w:p>
      <w:pPr>
        <w:pStyle w:val="83"/>
        <w:widowControl/>
        <w:numPr>
          <w:ilvl w:val="2"/>
          <w:numId w:val="6"/>
        </w:numPr>
        <w:spacing w:line="360" w:lineRule="auto"/>
        <w:ind w:firstLineChars="0"/>
        <w:jc w:val="left"/>
        <w:rPr>
          <w:rFonts w:ascii="宋体" w:cs="宋体"/>
          <w:color w:val="auto"/>
          <w:szCs w:val="21"/>
          <w:highlight w:val="none"/>
        </w:rPr>
      </w:pPr>
      <w:r>
        <w:rPr>
          <w:rFonts w:hint="eastAsia" w:ascii="宋体" w:hAnsi="宋体"/>
          <w:bCs/>
          <w:color w:val="auto"/>
          <w:szCs w:val="21"/>
          <w:highlight w:val="none"/>
        </w:rPr>
        <w:t>资格性审查：</w:t>
      </w:r>
      <w:r>
        <w:rPr>
          <w:rFonts w:hint="eastAsia" w:ascii="宋体" w:cs="宋体"/>
          <w:color w:val="auto"/>
          <w:szCs w:val="21"/>
          <w:highlight w:val="none"/>
        </w:rPr>
        <w:t>开标结束后，采购人应当依法对投标人的资格进行审查，详见《资格性审查表》。对初步被认定为资格性审查不合格的，可实行告知投标当事人，以让其核证、澄清事实。未通过资格性审查的投标人，不进入符合性审查。</w:t>
      </w:r>
    </w:p>
    <w:p>
      <w:pPr>
        <w:pStyle w:val="83"/>
        <w:widowControl/>
        <w:numPr>
          <w:ilvl w:val="2"/>
          <w:numId w:val="6"/>
        </w:numPr>
        <w:spacing w:line="360" w:lineRule="auto"/>
        <w:ind w:firstLineChars="0"/>
        <w:jc w:val="left"/>
        <w:rPr>
          <w:rFonts w:ascii="宋体" w:cs="宋体"/>
          <w:color w:val="auto"/>
          <w:szCs w:val="21"/>
          <w:highlight w:val="none"/>
        </w:rPr>
      </w:pPr>
      <w:r>
        <w:rPr>
          <w:rFonts w:hint="eastAsia" w:ascii="宋体" w:cs="宋体"/>
          <w:color w:val="auto"/>
          <w:szCs w:val="21"/>
          <w:highlight w:val="none"/>
        </w:rPr>
        <w:t>符合性审查：评标委员会应当对符合资格的投标人的投标文件进行符合性审查，详见《符合性审查表》，以确定其是否满足招标文件的实质性要求。</w:t>
      </w:r>
      <w:r>
        <w:rPr>
          <w:rFonts w:hint="eastAsia" w:ascii="宋体" w:hAnsi="宋体" w:cs="宋体"/>
          <w:color w:val="auto"/>
          <w:szCs w:val="21"/>
          <w:highlight w:val="none"/>
          <w:lang w:eastAsia="zh-TW"/>
        </w:rPr>
        <w:t>评标委员会对初步被认定为符合性审查不合格或无效投标者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由评标委员会主任或采购人代表将集体意见现场及时告知投标当事人，以让其核证、澄清事实。</w:t>
      </w:r>
      <w:r>
        <w:rPr>
          <w:rFonts w:hint="eastAsia" w:ascii="宋体" w:cs="宋体"/>
          <w:color w:val="auto"/>
          <w:szCs w:val="21"/>
          <w:highlight w:val="none"/>
        </w:rPr>
        <w:t>未通过符合性审查的投标人，不进入技术、商务和价格评审。</w:t>
      </w:r>
    </w:p>
    <w:p>
      <w:pPr>
        <w:pStyle w:val="83"/>
        <w:widowControl/>
        <w:numPr>
          <w:ilvl w:val="2"/>
          <w:numId w:val="6"/>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详细评审及推荐中标候选人：</w:t>
      </w:r>
    </w:p>
    <w:p>
      <w:pPr>
        <w:pStyle w:val="83"/>
        <w:widowControl/>
        <w:numPr>
          <w:ilvl w:val="3"/>
          <w:numId w:val="6"/>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评标委员会对符合性审查合格的投标文件进行商务和技术评估，综合比较与评价，具体技术、商务、价格部分的评审因素详见《综合评分表》。</w:t>
      </w:r>
    </w:p>
    <w:p>
      <w:pPr>
        <w:pStyle w:val="83"/>
        <w:widowControl/>
        <w:numPr>
          <w:ilvl w:val="3"/>
          <w:numId w:val="6"/>
        </w:numPr>
        <w:spacing w:line="360" w:lineRule="auto"/>
        <w:ind w:firstLineChars="0"/>
        <w:jc w:val="left"/>
        <w:rPr>
          <w:rFonts w:ascii="宋体" w:hAnsi="宋体"/>
          <w:color w:val="auto"/>
          <w:szCs w:val="21"/>
          <w:highlight w:val="none"/>
        </w:rPr>
      </w:pPr>
      <w:bookmarkStart w:id="38" w:name="EB067d940baba349e582b898bfd18c9719"/>
      <w:r>
        <w:rPr>
          <w:rFonts w:ascii="宋体" w:hAnsi="宋体" w:cs="宋体"/>
          <w:color w:val="auto"/>
          <w:szCs w:val="21"/>
          <w:highlight w:val="none"/>
        </w:rPr>
        <w:t>综合</w:t>
      </w:r>
      <w:r>
        <w:rPr>
          <w:rFonts w:hint="eastAsia" w:ascii="宋体" w:hAnsi="宋体" w:cs="宋体"/>
          <w:color w:val="auto"/>
          <w:szCs w:val="21"/>
          <w:highlight w:val="none"/>
        </w:rPr>
        <w:t>得分</w:t>
      </w:r>
      <w:r>
        <w:rPr>
          <w:rFonts w:ascii="宋体" w:hAnsi="宋体" w:cs="宋体"/>
          <w:color w:val="auto"/>
          <w:szCs w:val="21"/>
          <w:highlight w:val="none"/>
        </w:rPr>
        <w:t>=技术</w:t>
      </w:r>
      <w:r>
        <w:rPr>
          <w:rFonts w:hint="eastAsia" w:ascii="宋体" w:hAnsi="宋体" w:cs="宋体"/>
          <w:color w:val="auto"/>
          <w:szCs w:val="21"/>
          <w:highlight w:val="none"/>
        </w:rPr>
        <w:t>得分</w:t>
      </w:r>
      <w:r>
        <w:rPr>
          <w:rFonts w:ascii="宋体" w:hAnsi="宋体" w:cs="宋体"/>
          <w:color w:val="auto"/>
          <w:szCs w:val="21"/>
          <w:highlight w:val="none"/>
        </w:rPr>
        <w:t>+商务</w:t>
      </w:r>
      <w:r>
        <w:rPr>
          <w:rFonts w:hint="eastAsia" w:ascii="宋体" w:hAnsi="宋体" w:cs="宋体"/>
          <w:color w:val="auto"/>
          <w:szCs w:val="21"/>
          <w:highlight w:val="none"/>
        </w:rPr>
        <w:t>得分</w:t>
      </w:r>
      <w:bookmarkEnd w:id="38"/>
      <w:r>
        <w:rPr>
          <w:rFonts w:hint="eastAsia" w:ascii="宋体" w:hAnsi="宋体" w:cs="宋体"/>
          <w:color w:val="auto"/>
          <w:szCs w:val="21"/>
          <w:highlight w:val="none"/>
        </w:rPr>
        <w:t>。</w:t>
      </w:r>
    </w:p>
    <w:p>
      <w:pPr>
        <w:pStyle w:val="83"/>
        <w:widowControl/>
        <w:numPr>
          <w:ilvl w:val="3"/>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使用综合评分法的采购项目，单一产品采购</w:t>
      </w:r>
      <w:r>
        <w:rPr>
          <w:rFonts w:hint="eastAsia" w:ascii="宋体" w:hAnsi="宋体"/>
          <w:color w:val="auto"/>
          <w:szCs w:val="21"/>
          <w:highlight w:val="none"/>
        </w:rPr>
        <w:t>项目</w:t>
      </w:r>
      <w:r>
        <w:rPr>
          <w:rFonts w:hint="eastAsia" w:ascii="宋体" w:hAnsi="宋体" w:cs="宋体"/>
          <w:color w:val="auto"/>
          <w:szCs w:val="21"/>
          <w:highlight w:val="none"/>
          <w:lang w:eastAsia="zh-TW"/>
        </w:rPr>
        <w:t>提供相同品牌产品或</w:t>
      </w:r>
      <w:r>
        <w:rPr>
          <w:rFonts w:hint="eastAsia" w:ascii="宋体" w:hAnsi="宋体"/>
          <w:color w:val="auto"/>
          <w:szCs w:val="21"/>
          <w:highlight w:val="none"/>
        </w:rPr>
        <w:t>非单一产品采购项目多家投标人提供的核心产品品牌相同的，</w:t>
      </w:r>
      <w:r>
        <w:rPr>
          <w:rFonts w:hint="eastAsia" w:ascii="宋体" w:hAnsi="宋体" w:cs="宋体"/>
          <w:color w:val="auto"/>
          <w:szCs w:val="21"/>
          <w:highlight w:val="none"/>
          <w:lang w:eastAsia="zh-TW"/>
        </w:rPr>
        <w:t>且通过资格审查、符合性审查的不同投标人参加同一合同项下投标的，按一家投标人计算，评审后得分最高的同品牌投标人获得中标人推荐资格；评审得分相同的，其他同品牌投标人不作为中标候选人。</w:t>
      </w:r>
    </w:p>
    <w:p>
      <w:pPr>
        <w:pStyle w:val="83"/>
        <w:widowControl/>
        <w:numPr>
          <w:ilvl w:val="3"/>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采用综合评分法的，评标结果按评审后得分由高到低顺序排列。得分相同的并列。投标文件满足招标文件全部实质性要求，且按照评审因素的量化指标评审得分最高的投标人为排名第一的中标候选人。</w:t>
      </w:r>
    </w:p>
    <w:p>
      <w:pPr>
        <w:pStyle w:val="83"/>
        <w:widowControl/>
        <w:numPr>
          <w:ilvl w:val="3"/>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推荐综合得分排名第一的投标人为第一中标候选人，排名第二的投标人为第二中标候选人，排名第三的投标人为第三中标候选人。</w:t>
      </w:r>
    </w:p>
    <w:p>
      <w:pPr>
        <w:pStyle w:val="83"/>
        <w:widowControl/>
        <w:numPr>
          <w:ilvl w:val="3"/>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第一中标候选人并列的，由采购人采取随机抽取的方式确定中标人。</w:t>
      </w:r>
    </w:p>
    <w:p>
      <w:pPr>
        <w:pStyle w:val="113"/>
        <w:widowControl/>
        <w:numPr>
          <w:ilvl w:val="0"/>
          <w:numId w:val="6"/>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113"/>
        <w:widowControl/>
        <w:numPr>
          <w:ilvl w:val="1"/>
          <w:numId w:val="6"/>
        </w:numPr>
        <w:spacing w:line="360" w:lineRule="auto"/>
        <w:ind w:left="426" w:hanging="426" w:firstLineChars="0"/>
        <w:jc w:val="left"/>
        <w:rPr>
          <w:rFonts w:ascii="宋体" w:hAnsi="宋体"/>
          <w:color w:val="auto"/>
          <w:szCs w:val="21"/>
          <w:highlight w:val="none"/>
        </w:rPr>
      </w:pPr>
      <w:r>
        <w:rPr>
          <w:rFonts w:hint="eastAsia" w:ascii="宋体" w:hAnsi="宋体"/>
          <w:color w:val="auto"/>
          <w:szCs w:val="21"/>
          <w:highlight w:val="none"/>
        </w:rPr>
        <w:t>采购人在收到评标报告</w:t>
      </w:r>
      <w:r>
        <w:rPr>
          <w:rFonts w:ascii="宋体" w:hAnsi="宋体"/>
          <w:color w:val="auto"/>
          <w:szCs w:val="21"/>
          <w:highlight w:val="none"/>
        </w:rPr>
        <w:t>3</w:t>
      </w:r>
      <w:r>
        <w:rPr>
          <w:rFonts w:hint="eastAsia" w:ascii="宋体" w:hAnsi="宋体"/>
          <w:color w:val="auto"/>
          <w:szCs w:val="21"/>
          <w:highlight w:val="none"/>
        </w:rPr>
        <w:t>个工作日内确定中标人，按照评标报告中推荐的中标候选人顺序确定中标人，也可以事先授权评标委员会直接确定中标人。确认后采购人将在刊登本项目招标公告的法定媒体上</w:t>
      </w:r>
      <w:r>
        <w:rPr>
          <w:rFonts w:ascii="宋体" w:hAnsi="宋体"/>
          <w:color w:val="auto"/>
          <w:szCs w:val="21"/>
          <w:highlight w:val="none"/>
        </w:rPr>
        <w:t>发</w:t>
      </w:r>
      <w:r>
        <w:rPr>
          <w:rFonts w:hint="eastAsia" w:ascii="宋体" w:hAnsi="宋体"/>
          <w:color w:val="auto"/>
          <w:szCs w:val="21"/>
          <w:highlight w:val="none"/>
        </w:rPr>
        <w:t>布中标公告。</w:t>
      </w:r>
    </w:p>
    <w:p>
      <w:pPr>
        <w:pStyle w:val="113"/>
        <w:widowControl/>
        <w:numPr>
          <w:ilvl w:val="1"/>
          <w:numId w:val="6"/>
        </w:numPr>
        <w:spacing w:line="360" w:lineRule="auto"/>
        <w:ind w:left="426" w:hanging="426" w:firstLineChars="0"/>
        <w:jc w:val="left"/>
        <w:rPr>
          <w:rFonts w:ascii="宋体" w:hAnsi="宋体"/>
          <w:color w:val="auto"/>
          <w:szCs w:val="21"/>
          <w:highlight w:val="none"/>
        </w:rPr>
      </w:pPr>
      <w:r>
        <w:rPr>
          <w:rFonts w:hint="eastAsia" w:ascii="宋体" w:hAnsi="宋体"/>
          <w:color w:val="auto"/>
          <w:szCs w:val="21"/>
          <w:highlight w:val="none"/>
        </w:rPr>
        <w:t>中标人拒绝与采购人签订合同的，采购人可以按照评审报告推荐的中标候选人名单排序，确定下一候选人为中标人，也可以重新开展政府采购活动。</w:t>
      </w:r>
    </w:p>
    <w:p>
      <w:pPr>
        <w:pStyle w:val="83"/>
        <w:widowControl/>
        <w:numPr>
          <w:ilvl w:val="0"/>
          <w:numId w:val="6"/>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83"/>
        <w:widowControl/>
        <w:numPr>
          <w:ilvl w:val="1"/>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有下列情形之一的，视为投标人串通投标，其投标无效：</w:t>
      </w:r>
    </w:p>
    <w:p>
      <w:pPr>
        <w:pStyle w:val="83"/>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83"/>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83"/>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83"/>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83"/>
        <w:widowControl/>
        <w:numPr>
          <w:ilvl w:val="1"/>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投标人存在下列情况之一的，投标无效：</w:t>
      </w:r>
    </w:p>
    <w:p>
      <w:pPr>
        <w:pStyle w:val="83"/>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投标文件未按招标文件要求签署、盖章的；</w:t>
      </w:r>
    </w:p>
    <w:p>
      <w:pPr>
        <w:pStyle w:val="83"/>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不具备招标文件中规定的资格要求的；</w:t>
      </w:r>
    </w:p>
    <w:p>
      <w:pPr>
        <w:pStyle w:val="83"/>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投标文件含有采购人不能接受的附加条件的；</w:t>
      </w:r>
    </w:p>
    <w:p>
      <w:pPr>
        <w:pStyle w:val="83"/>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法律法规和招标文件规定的其他无效情形。</w:t>
      </w:r>
    </w:p>
    <w:p>
      <w:pPr>
        <w:pStyle w:val="83"/>
        <w:widowControl/>
        <w:numPr>
          <w:ilvl w:val="1"/>
          <w:numId w:val="6"/>
        </w:numPr>
        <w:spacing w:line="360" w:lineRule="auto"/>
        <w:ind w:firstLineChars="0"/>
        <w:jc w:val="left"/>
        <w:rPr>
          <w:rFonts w:ascii="宋体" w:hAnsi="宋体"/>
          <w:b/>
          <w:color w:val="auto"/>
          <w:szCs w:val="21"/>
          <w:highlight w:val="none"/>
        </w:rPr>
      </w:pPr>
      <w:r>
        <w:rPr>
          <w:rFonts w:ascii="宋体" w:hAnsi="宋体"/>
          <w:b/>
          <w:color w:val="auto"/>
          <w:szCs w:val="21"/>
          <w:highlight w:val="none"/>
        </w:rPr>
        <w:t>废标</w:t>
      </w:r>
    </w:p>
    <w:p>
      <w:pPr>
        <w:pStyle w:val="83"/>
        <w:widowControl/>
        <w:numPr>
          <w:ilvl w:val="2"/>
          <w:numId w:val="6"/>
        </w:numPr>
        <w:spacing w:line="360" w:lineRule="auto"/>
        <w:ind w:firstLineChars="0"/>
        <w:jc w:val="left"/>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pStyle w:val="83"/>
        <w:widowControl/>
        <w:numPr>
          <w:ilvl w:val="2"/>
          <w:numId w:val="6"/>
        </w:numPr>
        <w:spacing w:line="360" w:lineRule="auto"/>
        <w:ind w:firstLineChars="0"/>
        <w:jc w:val="left"/>
        <w:rPr>
          <w:rFonts w:ascii="宋体" w:hAnsi="宋体"/>
          <w:color w:val="auto"/>
          <w:szCs w:val="21"/>
          <w:highlight w:val="none"/>
        </w:rPr>
      </w:pPr>
      <w:r>
        <w:rPr>
          <w:rFonts w:ascii="宋体" w:hAnsi="宋体"/>
          <w:color w:val="auto"/>
          <w:szCs w:val="21"/>
          <w:highlight w:val="none"/>
        </w:rPr>
        <w:t>符合专业条件的供应商或者对</w:t>
      </w:r>
      <w:r>
        <w:rPr>
          <w:rFonts w:hint="eastAsia" w:ascii="宋体" w:hAnsi="宋体"/>
          <w:color w:val="auto"/>
          <w:szCs w:val="21"/>
          <w:highlight w:val="none"/>
        </w:rPr>
        <w:t>招标</w:t>
      </w:r>
      <w:r>
        <w:rPr>
          <w:rFonts w:ascii="宋体" w:hAnsi="宋体"/>
          <w:color w:val="auto"/>
          <w:szCs w:val="21"/>
          <w:highlight w:val="none"/>
        </w:rPr>
        <w:t>文件作实质响应的供应商不足三家的；</w:t>
      </w:r>
    </w:p>
    <w:p>
      <w:pPr>
        <w:pStyle w:val="83"/>
        <w:widowControl/>
        <w:numPr>
          <w:ilvl w:val="2"/>
          <w:numId w:val="6"/>
        </w:numPr>
        <w:spacing w:line="360" w:lineRule="auto"/>
        <w:ind w:firstLineChars="0"/>
        <w:jc w:val="left"/>
        <w:rPr>
          <w:rFonts w:ascii="宋体" w:hAnsi="宋体"/>
          <w:color w:val="auto"/>
          <w:szCs w:val="21"/>
          <w:highlight w:val="none"/>
        </w:rPr>
      </w:pPr>
      <w:r>
        <w:rPr>
          <w:rFonts w:ascii="宋体" w:hAnsi="宋体"/>
          <w:color w:val="auto"/>
          <w:szCs w:val="21"/>
          <w:highlight w:val="none"/>
        </w:rPr>
        <w:t>出现影响采购公正的违法、违规行为的；</w:t>
      </w:r>
    </w:p>
    <w:p>
      <w:pPr>
        <w:pStyle w:val="83"/>
        <w:widowControl/>
        <w:numPr>
          <w:ilvl w:val="2"/>
          <w:numId w:val="6"/>
        </w:numPr>
        <w:spacing w:line="360" w:lineRule="auto"/>
        <w:ind w:firstLineChars="0"/>
        <w:jc w:val="left"/>
        <w:rPr>
          <w:rFonts w:ascii="宋体" w:hAnsi="宋体"/>
          <w:color w:val="auto"/>
          <w:szCs w:val="21"/>
          <w:highlight w:val="none"/>
        </w:rPr>
      </w:pPr>
      <w:r>
        <w:rPr>
          <w:rFonts w:ascii="宋体" w:hAnsi="宋体"/>
          <w:color w:val="auto"/>
          <w:szCs w:val="21"/>
          <w:highlight w:val="none"/>
        </w:rPr>
        <w:t>因重大变故，采购任务取消的</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br w:type="page"/>
      </w:r>
    </w:p>
    <w:p>
      <w:pPr>
        <w:spacing w:before="156" w:beforeLines="50" w:after="156" w:afterLines="50" w:line="360" w:lineRule="auto"/>
        <w:jc w:val="center"/>
        <w:outlineLvl w:val="0"/>
        <w:rPr>
          <w:b/>
          <w:bCs/>
          <w:color w:val="auto"/>
          <w:sz w:val="28"/>
          <w:szCs w:val="28"/>
          <w:highlight w:val="none"/>
        </w:rPr>
      </w:pPr>
      <w:bookmarkStart w:id="39" w:name="_Toc77947878"/>
      <w:bookmarkStart w:id="40" w:name="_Toc8307305"/>
      <w:bookmarkStart w:id="41" w:name="_Toc29575"/>
      <w:bookmarkStart w:id="42" w:name="_Toc10385"/>
      <w:bookmarkStart w:id="43" w:name="_Toc983_WPSOffice_Level1"/>
      <w:r>
        <w:rPr>
          <w:rFonts w:hint="eastAsia"/>
          <w:b/>
          <w:bCs/>
          <w:color w:val="auto"/>
          <w:sz w:val="28"/>
          <w:szCs w:val="28"/>
          <w:highlight w:val="none"/>
        </w:rPr>
        <w:t>第五章 合同文本</w:t>
      </w:r>
      <w:r>
        <w:rPr>
          <w:rFonts w:hint="eastAsia" w:ascii="宋体" w:hAnsi="宋体" w:cs="宋体"/>
          <w:b/>
          <w:color w:val="auto"/>
          <w:sz w:val="24"/>
          <w:szCs w:val="21"/>
          <w:highlight w:val="none"/>
        </w:rPr>
        <w:t>（仅供参考）</w:t>
      </w:r>
      <w:bookmarkEnd w:id="39"/>
      <w:bookmarkEnd w:id="40"/>
      <w:bookmarkEnd w:id="41"/>
      <w:bookmarkEnd w:id="42"/>
      <w:bookmarkEnd w:id="43"/>
    </w:p>
    <w:p>
      <w:pPr>
        <w:tabs>
          <w:tab w:val="left" w:pos="720"/>
        </w:tabs>
        <w:spacing w:line="360" w:lineRule="auto"/>
        <w:jc w:val="center"/>
        <w:rPr>
          <w:rFonts w:ascii="宋体" w:hAnsi="宋体" w:cs="宋体"/>
          <w:b/>
          <w:color w:val="auto"/>
          <w:sz w:val="24"/>
          <w:szCs w:val="21"/>
          <w:highlight w:val="none"/>
        </w:rPr>
      </w:pPr>
      <w:bookmarkStart w:id="44" w:name="_Toc4489_WPSOffice_Level1"/>
      <w:r>
        <w:rPr>
          <w:rFonts w:hint="eastAsia" w:ascii="宋体" w:hAnsi="宋体" w:cs="宋体"/>
          <w:b/>
          <w:color w:val="auto"/>
          <w:sz w:val="24"/>
          <w:szCs w:val="21"/>
          <w:highlight w:val="none"/>
        </w:rPr>
        <w:t>合同通用条款</w:t>
      </w:r>
      <w:bookmarkEnd w:id="44"/>
    </w:p>
    <w:p>
      <w:pPr>
        <w:spacing w:line="360" w:lineRule="auto"/>
        <w:rPr>
          <w:rFonts w:ascii="宋体" w:hAnsi="宋体"/>
          <w:b/>
          <w:color w:val="auto"/>
          <w:szCs w:val="21"/>
          <w:highlight w:val="none"/>
        </w:rPr>
      </w:pPr>
      <w:bookmarkStart w:id="45" w:name="_Toc23844_WPSOffice_Level1"/>
      <w:r>
        <w:rPr>
          <w:rFonts w:hint="eastAsia" w:ascii="宋体" w:hAnsi="宋体"/>
          <w:b/>
          <w:color w:val="auto"/>
          <w:szCs w:val="21"/>
          <w:highlight w:val="none"/>
        </w:rPr>
        <w:t>甲    方</w:t>
      </w:r>
      <w:r>
        <w:rPr>
          <w:rFonts w:hint="eastAsia" w:ascii="宋体" w:hAnsi="宋体" w:cs="宋体"/>
          <w:color w:val="auto"/>
          <w:szCs w:val="21"/>
          <w:highlight w:val="none"/>
        </w:rPr>
        <w:t>（采购人）</w:t>
      </w:r>
      <w:r>
        <w:rPr>
          <w:rFonts w:hint="eastAsia" w:ascii="宋体" w:hAnsi="宋体"/>
          <w:b/>
          <w:color w:val="auto"/>
          <w:szCs w:val="21"/>
          <w:highlight w:val="none"/>
        </w:rPr>
        <w:t>：</w:t>
      </w:r>
      <w:bookmarkEnd w:id="45"/>
    </w:p>
    <w:p>
      <w:pPr>
        <w:spacing w:line="360" w:lineRule="auto"/>
        <w:rPr>
          <w:rFonts w:ascii="宋体" w:hAnsi="宋体"/>
          <w:color w:val="auto"/>
          <w:szCs w:val="21"/>
          <w:highlight w:val="none"/>
        </w:rPr>
      </w:pPr>
      <w:r>
        <w:rPr>
          <w:rFonts w:hint="eastAsia" w:ascii="宋体" w:hAnsi="宋体"/>
          <w:color w:val="auto"/>
          <w:szCs w:val="21"/>
          <w:highlight w:val="none"/>
        </w:rPr>
        <w:t>电    话：           　   传  真：           住  所：</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bookmarkStart w:id="46" w:name="_Toc24303_WPSOffice_Level1"/>
      <w:r>
        <w:rPr>
          <w:rFonts w:hint="eastAsia" w:ascii="宋体" w:hAnsi="宋体"/>
          <w:b/>
          <w:color w:val="auto"/>
          <w:szCs w:val="21"/>
          <w:highlight w:val="none"/>
        </w:rPr>
        <w:t>乙    方</w:t>
      </w:r>
      <w:r>
        <w:rPr>
          <w:rFonts w:hint="eastAsia" w:ascii="宋体" w:hAnsi="宋体" w:cs="宋体"/>
          <w:color w:val="auto"/>
          <w:szCs w:val="21"/>
          <w:highlight w:val="none"/>
        </w:rPr>
        <w:t>（中标人）</w:t>
      </w:r>
      <w:r>
        <w:rPr>
          <w:rFonts w:hint="eastAsia" w:ascii="宋体" w:hAnsi="宋体"/>
          <w:b/>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电    话：                传  真：           住  所：</w:t>
      </w:r>
      <w:bookmarkEnd w:id="46"/>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r>
        <w:rPr>
          <w:rFonts w:hint="eastAsia" w:ascii="宋体" w:hAnsi="宋体" w:cs="宋体"/>
          <w:color w:val="auto"/>
          <w:szCs w:val="21"/>
          <w:highlight w:val="none"/>
        </w:rPr>
        <w:t>项目</w:t>
      </w:r>
      <w:r>
        <w:rPr>
          <w:rFonts w:hint="eastAsia" w:ascii="宋体" w:hAnsi="宋体"/>
          <w:color w:val="auto"/>
          <w:szCs w:val="21"/>
          <w:highlight w:val="none"/>
        </w:rPr>
        <w:t xml:space="preserve">编号：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南山街道非经营性国储用地日常管理服务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olor w:val="auto"/>
          <w:highlight w:val="none"/>
          <w:shd w:val="clear" w:color="auto"/>
          <w:lang w:eastAsia="zh-CN"/>
        </w:rPr>
        <w:t>NSNSJD2024091001</w:t>
      </w:r>
      <w:r>
        <w:rPr>
          <w:rFonts w:hint="eastAsia" w:ascii="宋体" w:hAnsi="宋体" w:cs="宋体"/>
          <w:color w:val="auto"/>
          <w:szCs w:val="21"/>
          <w:highlight w:val="none"/>
        </w:rPr>
        <w:t>）</w:t>
      </w:r>
      <w:r>
        <w:rPr>
          <w:rFonts w:hint="eastAsia" w:ascii="宋体" w:hAnsi="宋体"/>
          <w:color w:val="auto"/>
          <w:szCs w:val="21"/>
          <w:highlight w:val="none"/>
        </w:rPr>
        <w:t>的采购结果，按照</w:t>
      </w:r>
      <w:r>
        <w:rPr>
          <w:rFonts w:hint="eastAsia" w:asciiTheme="minorEastAsia" w:hAnsiTheme="minorEastAsia" w:eastAsiaTheme="minorEastAsia"/>
          <w:color w:val="auto"/>
          <w:szCs w:val="21"/>
          <w:highlight w:val="none"/>
        </w:rPr>
        <w:t>《中华人民共和国民法典》和《深圳经济特区政府采购条例》</w:t>
      </w:r>
      <w:r>
        <w:rPr>
          <w:rFonts w:hint="eastAsia" w:ascii="宋体" w:hAnsi="宋体"/>
          <w:color w:val="auto"/>
          <w:szCs w:val="21"/>
          <w:highlight w:val="none"/>
        </w:rPr>
        <w:t>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47" w:name="_Toc28004"/>
      <w:r>
        <w:rPr>
          <w:rFonts w:hint="eastAsia" w:ascii="宋体" w:hAnsi="宋体"/>
          <w:b/>
          <w:color w:val="auto"/>
          <w:szCs w:val="21"/>
          <w:highlight w:val="none"/>
        </w:rPr>
        <w:t>采购标的、数量</w:t>
      </w:r>
      <w:bookmarkEnd w:id="47"/>
    </w:p>
    <w:tbl>
      <w:tblPr>
        <w:tblStyle w:val="38"/>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b/>
                <w:color w:val="auto"/>
                <w:kern w:val="0"/>
                <w:sz w:val="20"/>
                <w:szCs w:val="21"/>
                <w:highlight w:val="none"/>
              </w:rPr>
            </w:pPr>
            <w:bookmarkStart w:id="48" w:name="_Toc30376"/>
            <w:r>
              <w:rPr>
                <w:rFonts w:hint="eastAsia" w:ascii="宋体" w:hAnsi="宋体"/>
                <w:b/>
                <w:color w:val="auto"/>
                <w:kern w:val="0"/>
                <w:sz w:val="20"/>
                <w:szCs w:val="21"/>
                <w:highlight w:val="none"/>
              </w:rPr>
              <w:t>序号</w:t>
            </w:r>
            <w:bookmarkEnd w:id="48"/>
          </w:p>
        </w:tc>
        <w:tc>
          <w:tcPr>
            <w:tcW w:w="502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49" w:name="_Toc10646"/>
            <w:r>
              <w:rPr>
                <w:rFonts w:hint="eastAsia" w:ascii="宋体" w:hAnsi="宋体"/>
                <w:b/>
                <w:color w:val="auto"/>
                <w:kern w:val="0"/>
                <w:sz w:val="20"/>
                <w:szCs w:val="21"/>
                <w:highlight w:val="none"/>
              </w:rPr>
              <w:t>采购标的</w:t>
            </w:r>
            <w:bookmarkEnd w:id="49"/>
          </w:p>
        </w:tc>
        <w:tc>
          <w:tcPr>
            <w:tcW w:w="3132" w:type="dxa"/>
          </w:tcPr>
          <w:p>
            <w:pPr>
              <w:tabs>
                <w:tab w:val="left" w:pos="426"/>
              </w:tabs>
              <w:autoSpaceDE w:val="0"/>
              <w:autoSpaceDN w:val="0"/>
              <w:adjustRightInd w:val="0"/>
              <w:spacing w:line="360" w:lineRule="auto"/>
              <w:jc w:val="center"/>
              <w:outlineLvl w:val="2"/>
              <w:rPr>
                <w:rFonts w:ascii="宋体" w:hAnsi="宋体"/>
                <w:b/>
                <w:color w:val="auto"/>
                <w:kern w:val="0"/>
                <w:sz w:val="20"/>
                <w:szCs w:val="21"/>
                <w:highlight w:val="none"/>
              </w:rPr>
            </w:pPr>
            <w:bookmarkStart w:id="50" w:name="_Toc25294"/>
            <w:r>
              <w:rPr>
                <w:rFonts w:hint="eastAsia" w:ascii="宋体" w:hAnsi="宋体"/>
                <w:b/>
                <w:color w:val="auto"/>
                <w:kern w:val="0"/>
                <w:sz w:val="20"/>
                <w:szCs w:val="21"/>
                <w:highlight w:val="none"/>
              </w:rPr>
              <w:t>数量</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51" w:name="_Toc18061"/>
            <w:r>
              <w:rPr>
                <w:rFonts w:hint="eastAsia" w:ascii="宋体" w:hAnsi="宋体"/>
                <w:color w:val="auto"/>
                <w:kern w:val="0"/>
                <w:sz w:val="20"/>
                <w:szCs w:val="21"/>
                <w:highlight w:val="none"/>
              </w:rPr>
              <w:t>1</w:t>
            </w:r>
            <w:bookmarkEnd w:id="51"/>
          </w:p>
        </w:tc>
        <w:tc>
          <w:tcPr>
            <w:tcW w:w="502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c>
          <w:tcPr>
            <w:tcW w:w="313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52" w:name="_Toc7369"/>
            <w:r>
              <w:rPr>
                <w:rFonts w:hint="eastAsia" w:ascii="宋体" w:hAnsi="宋体"/>
                <w:color w:val="auto"/>
                <w:kern w:val="0"/>
                <w:sz w:val="20"/>
                <w:szCs w:val="21"/>
                <w:highlight w:val="none"/>
              </w:rPr>
              <w:t>2</w:t>
            </w:r>
            <w:bookmarkEnd w:id="52"/>
          </w:p>
        </w:tc>
        <w:tc>
          <w:tcPr>
            <w:tcW w:w="5022" w:type="dxa"/>
          </w:tcPr>
          <w:p>
            <w:pPr>
              <w:pStyle w:val="83"/>
              <w:widowControl/>
              <w:spacing w:line="360" w:lineRule="auto"/>
              <w:ind w:left="425" w:firstLine="0" w:firstLineChars="0"/>
              <w:jc w:val="left"/>
              <w:rPr>
                <w:rFonts w:ascii="宋体" w:hAnsi="宋体"/>
                <w:color w:val="auto"/>
                <w:kern w:val="0"/>
                <w:sz w:val="20"/>
                <w:szCs w:val="21"/>
                <w:highlight w:val="none"/>
              </w:rPr>
            </w:pPr>
          </w:p>
        </w:tc>
        <w:tc>
          <w:tcPr>
            <w:tcW w:w="313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r>
    </w:tbl>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53" w:name="_Toc435540759"/>
      <w:bookmarkStart w:id="54" w:name="_Toc18079"/>
      <w:r>
        <w:rPr>
          <w:rFonts w:hint="eastAsia" w:ascii="宋体" w:hAnsi="宋体"/>
          <w:b/>
          <w:color w:val="auto"/>
          <w:szCs w:val="21"/>
          <w:highlight w:val="none"/>
        </w:rPr>
        <w:t>合同金额</w:t>
      </w:r>
      <w:bookmarkEnd w:id="53"/>
      <w:bookmarkEnd w:id="54"/>
    </w:p>
    <w:p>
      <w:pPr>
        <w:pStyle w:val="21"/>
        <w:spacing w:line="360" w:lineRule="auto"/>
        <w:ind w:firstLine="420" w:firstLineChars="200"/>
        <w:rPr>
          <w:rFonts w:hAnsi="宋体"/>
          <w:color w:val="auto"/>
          <w:highlight w:val="none"/>
        </w:rPr>
      </w:pPr>
      <w:r>
        <w:rPr>
          <w:rFonts w:hint="eastAsia" w:hAnsi="宋体"/>
          <w:color w:val="auto"/>
          <w:highlight w:val="none"/>
        </w:rPr>
        <w:t>合同金额为（大写）：_________________元（￥_______________元）。</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55" w:name="_Toc435540760"/>
      <w:bookmarkStart w:id="56" w:name="_Toc28847"/>
      <w:r>
        <w:rPr>
          <w:rFonts w:hint="eastAsia" w:ascii="宋体" w:hAnsi="宋体"/>
          <w:b/>
          <w:color w:val="auto"/>
          <w:szCs w:val="21"/>
          <w:highlight w:val="none"/>
        </w:rPr>
        <w:t>服务范围</w:t>
      </w:r>
      <w:bookmarkEnd w:id="55"/>
      <w:bookmarkEnd w:id="56"/>
    </w:p>
    <w:p>
      <w:pPr>
        <w:spacing w:line="360" w:lineRule="auto"/>
        <w:rPr>
          <w:rFonts w:ascii="宋体" w:hAnsi="宋体"/>
          <w:color w:val="auto"/>
          <w:szCs w:val="21"/>
          <w:highlight w:val="none"/>
        </w:rPr>
      </w:pPr>
      <w:r>
        <w:rPr>
          <w:rFonts w:hint="eastAsia" w:ascii="宋体" w:hAnsi="宋体"/>
          <w:color w:val="auto"/>
          <w:szCs w:val="21"/>
          <w:highlight w:val="none"/>
        </w:rPr>
        <w:t>　　甲方聘请乙方提供以下服务：</w:t>
      </w:r>
    </w:p>
    <w:p>
      <w:pPr>
        <w:spacing w:line="360" w:lineRule="auto"/>
        <w:rPr>
          <w:rFonts w:ascii="宋体" w:hAnsi="宋体"/>
          <w:color w:val="auto"/>
          <w:szCs w:val="21"/>
          <w:highlight w:val="none"/>
          <w:u w:val="single"/>
        </w:rPr>
      </w:pPr>
      <w:r>
        <w:rPr>
          <w:rFonts w:hint="eastAsia" w:ascii="宋体" w:hAnsi="宋体"/>
          <w:color w:val="auto"/>
          <w:szCs w:val="21"/>
          <w:highlight w:val="none"/>
        </w:rPr>
        <w:t>　　1．本合同项下的服务指。</w:t>
      </w:r>
    </w:p>
    <w:p>
      <w:pPr>
        <w:spacing w:line="360" w:lineRule="auto"/>
        <w:rPr>
          <w:rFonts w:ascii="宋体" w:hAnsi="宋体"/>
          <w:color w:val="auto"/>
          <w:szCs w:val="21"/>
          <w:highlight w:val="none"/>
        </w:rPr>
      </w:pPr>
      <w:r>
        <w:rPr>
          <w:rFonts w:hint="eastAsia" w:ascii="宋体" w:hAnsi="宋体"/>
          <w:color w:val="auto"/>
          <w:szCs w:val="21"/>
          <w:highlight w:val="none"/>
        </w:rPr>
        <w:t>　　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57" w:name="_Toc13367"/>
      <w:r>
        <w:rPr>
          <w:rFonts w:hint="eastAsia" w:ascii="宋体" w:hAnsi="宋体"/>
          <w:b/>
          <w:color w:val="auto"/>
          <w:szCs w:val="21"/>
          <w:highlight w:val="none"/>
        </w:rPr>
        <w:t>质量要求：</w:t>
      </w:r>
      <w:bookmarkEnd w:id="57"/>
    </w:p>
    <w:p>
      <w:pPr>
        <w:spacing w:line="360" w:lineRule="auto"/>
        <w:ind w:firstLine="420" w:firstLineChars="200"/>
        <w:rPr>
          <w:rFonts w:ascii="宋体" w:hAnsi="宋体"/>
          <w:color w:val="auto"/>
          <w:szCs w:val="21"/>
          <w:highlight w:val="none"/>
        </w:rPr>
      </w:pP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58" w:name="_Toc435540761"/>
      <w:bookmarkStart w:id="59" w:name="_Toc15148"/>
      <w:r>
        <w:rPr>
          <w:rFonts w:hint="eastAsia" w:ascii="宋体" w:hAnsi="宋体"/>
          <w:b/>
          <w:color w:val="auto"/>
          <w:szCs w:val="21"/>
          <w:highlight w:val="none"/>
        </w:rPr>
        <w:t>甲方乙方的权利和义务</w:t>
      </w:r>
      <w:bookmarkEnd w:id="58"/>
      <w:bookmarkEnd w:id="59"/>
    </w:p>
    <w:p>
      <w:pPr>
        <w:spacing w:line="360" w:lineRule="auto"/>
        <w:rPr>
          <w:rFonts w:ascii="宋体" w:hAnsi="宋体"/>
          <w:color w:val="auto"/>
          <w:szCs w:val="21"/>
          <w:highlight w:val="none"/>
        </w:rPr>
      </w:pPr>
      <w:r>
        <w:rPr>
          <w:rFonts w:hint="eastAsia" w:ascii="宋体" w:hAnsi="宋体"/>
          <w:color w:val="auto"/>
          <w:szCs w:val="21"/>
          <w:highlight w:val="none"/>
        </w:rPr>
        <w:t>　　（一） 甲方的权利和义务</w:t>
      </w:r>
    </w:p>
    <w:p>
      <w:pPr>
        <w:spacing w:line="360" w:lineRule="auto"/>
        <w:rPr>
          <w:rFonts w:ascii="宋体" w:hAnsi="宋体"/>
          <w:color w:val="auto"/>
          <w:szCs w:val="21"/>
          <w:highlight w:val="none"/>
        </w:rPr>
      </w:pPr>
      <w:r>
        <w:rPr>
          <w:rFonts w:hint="eastAsia" w:ascii="宋体" w:hAnsi="宋体"/>
          <w:color w:val="auto"/>
          <w:szCs w:val="21"/>
          <w:highlight w:val="none"/>
        </w:rPr>
        <w:t>　　（二） 乙方的权利和义务</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60" w:name="_Toc11665"/>
      <w:r>
        <w:rPr>
          <w:rFonts w:hint="eastAsia" w:ascii="宋体" w:hAnsi="宋体"/>
          <w:b/>
          <w:color w:val="auto"/>
          <w:szCs w:val="21"/>
          <w:highlight w:val="none"/>
        </w:rPr>
        <w:t>履行期限及地点和方式：</w:t>
      </w:r>
      <w:bookmarkEnd w:id="60"/>
    </w:p>
    <w:p>
      <w:pPr>
        <w:spacing w:line="360" w:lineRule="auto"/>
        <w:ind w:firstLine="435"/>
        <w:rPr>
          <w:rFonts w:ascii="宋体" w:hAnsi="宋体"/>
          <w:color w:val="auto"/>
          <w:szCs w:val="21"/>
          <w:highlight w:val="none"/>
        </w:rPr>
      </w:pPr>
      <w:r>
        <w:rPr>
          <w:rFonts w:hint="eastAsia" w:ascii="宋体" w:hAnsi="宋体"/>
          <w:color w:val="auto"/>
          <w:szCs w:val="21"/>
          <w:highlight w:val="none"/>
        </w:rPr>
        <w:t>履行期限：委托服务期间自______年______月至______年______月止。</w:t>
      </w:r>
    </w:p>
    <w:p>
      <w:pPr>
        <w:spacing w:line="360" w:lineRule="auto"/>
        <w:ind w:firstLine="435"/>
        <w:rPr>
          <w:rFonts w:ascii="宋体" w:hAnsi="宋体"/>
          <w:color w:val="auto"/>
          <w:szCs w:val="21"/>
          <w:highlight w:val="none"/>
        </w:rPr>
      </w:pPr>
      <w:r>
        <w:rPr>
          <w:rFonts w:hint="eastAsia" w:ascii="宋体" w:hAnsi="宋体"/>
          <w:color w:val="auto"/>
          <w:szCs w:val="21"/>
          <w:highlight w:val="none"/>
        </w:rPr>
        <w:t>履约地点：</w:t>
      </w:r>
    </w:p>
    <w:p>
      <w:pPr>
        <w:spacing w:line="360" w:lineRule="auto"/>
        <w:ind w:firstLine="435"/>
        <w:rPr>
          <w:rFonts w:ascii="宋体" w:hAnsi="宋体"/>
          <w:color w:val="auto"/>
          <w:szCs w:val="21"/>
          <w:highlight w:val="none"/>
        </w:rPr>
      </w:pPr>
      <w:r>
        <w:rPr>
          <w:rFonts w:hint="eastAsia" w:ascii="宋体" w:hAnsi="宋体"/>
          <w:color w:val="auto"/>
          <w:szCs w:val="21"/>
          <w:highlight w:val="none"/>
        </w:rPr>
        <w:t>方式：</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61" w:name="_Toc435540763"/>
      <w:bookmarkStart w:id="62" w:name="_Toc3267"/>
      <w:r>
        <w:rPr>
          <w:rFonts w:hint="eastAsia" w:ascii="宋体" w:hAnsi="宋体"/>
          <w:b/>
          <w:color w:val="auto"/>
          <w:szCs w:val="21"/>
          <w:highlight w:val="none"/>
        </w:rPr>
        <w:t>付款方式</w:t>
      </w:r>
      <w:bookmarkEnd w:id="61"/>
      <w:bookmarkEnd w:id="62"/>
    </w:p>
    <w:p>
      <w:pPr>
        <w:rPr>
          <w:color w:val="auto"/>
          <w:highlight w:val="none"/>
        </w:rPr>
      </w:pPr>
      <w:bookmarkStart w:id="63" w:name="_Toc435540764"/>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64" w:name="_Toc10107"/>
      <w:r>
        <w:rPr>
          <w:rFonts w:hint="eastAsia" w:ascii="宋体" w:hAnsi="宋体"/>
          <w:b/>
          <w:color w:val="auto"/>
          <w:szCs w:val="21"/>
          <w:highlight w:val="none"/>
        </w:rPr>
        <w:t>验收要求：</w:t>
      </w:r>
      <w:bookmarkEnd w:id="64"/>
    </w:p>
    <w:p>
      <w:pPr>
        <w:widowControl/>
        <w:shd w:val="clear" w:color="auto" w:fill="FFFFFF"/>
        <w:spacing w:line="360" w:lineRule="auto"/>
        <w:ind w:firstLine="480"/>
        <w:jc w:val="left"/>
        <w:rPr>
          <w:rFonts w:ascii="Arial" w:hAnsi="Arial" w:cs="Arial"/>
          <w:color w:val="auto"/>
          <w:kern w:val="0"/>
          <w:szCs w:val="21"/>
          <w:highlight w:val="none"/>
        </w:rPr>
      </w:pPr>
      <w:r>
        <w:rPr>
          <w:rFonts w:ascii="Arial" w:hAnsi="Arial" w:cs="Arial"/>
          <w:color w:val="auto"/>
          <w:kern w:val="0"/>
          <w:szCs w:val="21"/>
          <w:highlight w:val="none"/>
        </w:rPr>
        <w:t>技术服务或者技术培训按 _______标准，采用______方式验收，由_____方出具服务或者培训项目验收证明。</w:t>
      </w:r>
    </w:p>
    <w:p>
      <w:pPr>
        <w:widowControl/>
        <w:shd w:val="clear" w:color="auto" w:fill="FFFFFF"/>
        <w:spacing w:line="360" w:lineRule="auto"/>
        <w:ind w:firstLine="480"/>
        <w:jc w:val="left"/>
        <w:rPr>
          <w:rFonts w:ascii="Arial" w:hAnsi="Arial" w:cs="Arial"/>
          <w:color w:val="auto"/>
          <w:kern w:val="0"/>
          <w:szCs w:val="21"/>
          <w:highlight w:val="none"/>
        </w:rPr>
      </w:pPr>
      <w:r>
        <w:rPr>
          <w:rFonts w:ascii="Arial" w:hAnsi="Arial" w:cs="Arial"/>
          <w:color w:val="auto"/>
          <w:kern w:val="0"/>
          <w:szCs w:val="21"/>
          <w:highlight w:val="none"/>
        </w:rPr>
        <w:t>本合同服务项目的保证期为______。在保证期内发现服务质量缺陷的，服务方应当负责返工或者采取补救措施。但因委托方使用、保管不当引起的问题除外。</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65" w:name="_Toc23573"/>
      <w:r>
        <w:rPr>
          <w:rFonts w:hint="eastAsia" w:ascii="宋体" w:hAnsi="宋体"/>
          <w:b/>
          <w:color w:val="auto"/>
          <w:szCs w:val="21"/>
          <w:highlight w:val="none"/>
        </w:rPr>
        <w:t>知识产权归属</w:t>
      </w:r>
      <w:bookmarkEnd w:id="63"/>
      <w:bookmarkEnd w:id="6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66" w:name="_Toc435540765"/>
      <w:bookmarkStart w:id="67" w:name="_Toc26358"/>
      <w:r>
        <w:rPr>
          <w:rFonts w:hint="eastAsia" w:ascii="宋体" w:hAnsi="宋体"/>
          <w:b/>
          <w:color w:val="auto"/>
          <w:szCs w:val="21"/>
          <w:highlight w:val="none"/>
        </w:rPr>
        <w:t>保密</w:t>
      </w:r>
      <w:bookmarkEnd w:id="66"/>
      <w:bookmarkEnd w:id="6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autoSpaceDE w:val="0"/>
        <w:autoSpaceDN w:val="0"/>
        <w:adjustRightInd w:val="0"/>
        <w:spacing w:line="360" w:lineRule="auto"/>
        <w:ind w:left="315" w:hanging="315" w:hangingChars="150"/>
        <w:jc w:val="left"/>
        <w:outlineLvl w:val="2"/>
        <w:rPr>
          <w:rFonts w:ascii="宋体" w:hAnsi="宋体"/>
          <w:color w:val="auto"/>
          <w:szCs w:val="21"/>
          <w:highlight w:val="none"/>
        </w:rPr>
      </w:pPr>
      <w:bookmarkStart w:id="68" w:name="_Toc26491"/>
      <w:bookmarkStart w:id="69" w:name="_Toc435540766"/>
      <w:r>
        <w:rPr>
          <w:rFonts w:hint="eastAsia" w:ascii="宋体" w:hAnsi="宋体"/>
          <w:color w:val="auto"/>
          <w:szCs w:val="21"/>
          <w:highlight w:val="none"/>
        </w:rPr>
        <w:t>1）未经甲方事先书面同意，乙方不得将由甲方为本合同提供的条文、规格、计划、图纸、模型、样品或资料提供给予本合同无关的任何第三方，不得将其用于履行本合同之外的其他用途。即使向与履行本合同有关的人员提供，也应注意保密并限于履行合同所必需的范围。</w:t>
      </w:r>
      <w:bookmarkEnd w:id="68"/>
    </w:p>
    <w:p>
      <w:pPr>
        <w:tabs>
          <w:tab w:val="left" w:pos="420"/>
        </w:tabs>
        <w:autoSpaceDE w:val="0"/>
        <w:autoSpaceDN w:val="0"/>
        <w:adjustRightInd w:val="0"/>
        <w:spacing w:line="360" w:lineRule="auto"/>
        <w:ind w:left="315" w:hanging="315" w:hangingChars="150"/>
        <w:jc w:val="left"/>
        <w:outlineLvl w:val="2"/>
        <w:rPr>
          <w:rFonts w:ascii="宋体" w:hAnsi="宋体"/>
          <w:b/>
          <w:color w:val="auto"/>
          <w:szCs w:val="21"/>
          <w:highlight w:val="none"/>
        </w:rPr>
      </w:pPr>
      <w:bookmarkStart w:id="70" w:name="_Toc28896"/>
      <w:r>
        <w:rPr>
          <w:rFonts w:hint="eastAsia" w:ascii="宋体" w:hAnsi="宋体"/>
          <w:color w:val="auto"/>
          <w:szCs w:val="21"/>
          <w:highlight w:val="none"/>
        </w:rPr>
        <w:t>2）除了合同本身之外，上款所列举的任何物件均是甲方的财产。如果甲方有要求，乙方在完成合同后应将这些物件及全部复制件还给甲方。</w:t>
      </w:r>
      <w:bookmarkEnd w:id="69"/>
      <w:bookmarkEnd w:id="70"/>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71" w:name="_Toc10369"/>
      <w:bookmarkStart w:id="72" w:name="_Toc435540767"/>
      <w:r>
        <w:rPr>
          <w:rFonts w:hint="eastAsia" w:ascii="宋体" w:hAnsi="宋体"/>
          <w:b/>
          <w:color w:val="auto"/>
          <w:szCs w:val="21"/>
          <w:highlight w:val="none"/>
        </w:rPr>
        <w:t>违约责任与赔偿损失</w:t>
      </w:r>
      <w:bookmarkEnd w:id="71"/>
    </w:p>
    <w:p>
      <w:pPr>
        <w:tabs>
          <w:tab w:val="left" w:pos="900"/>
        </w:tabs>
        <w:spacing w:line="360" w:lineRule="auto"/>
        <w:ind w:left="315" w:hanging="315" w:hangingChars="150"/>
        <w:rPr>
          <w:rFonts w:ascii="宋体" w:hAnsi="宋体"/>
          <w:color w:val="auto"/>
          <w:szCs w:val="21"/>
          <w:highlight w:val="none"/>
        </w:rPr>
      </w:pPr>
      <w:r>
        <w:rPr>
          <w:rFonts w:hint="eastAsia" w:ascii="宋体" w:hAnsi="宋体"/>
          <w:color w:val="auto"/>
          <w:szCs w:val="21"/>
          <w:highlight w:val="none"/>
        </w:rPr>
        <w:t>1）乙方提供的服务不符合采购文件、投标文件或本合同规定的，甲方有权拒收，并且乙方须向甲方支付本合同总价5%的违约金。</w:t>
      </w:r>
    </w:p>
    <w:p>
      <w:pPr>
        <w:tabs>
          <w:tab w:val="left" w:pos="720"/>
          <w:tab w:val="left" w:pos="900"/>
        </w:tabs>
        <w:spacing w:line="360" w:lineRule="auto"/>
        <w:ind w:left="315" w:right="51" w:hanging="315" w:hangingChars="150"/>
        <w:rPr>
          <w:rFonts w:ascii="宋体" w:hAnsi="宋体"/>
          <w:color w:val="auto"/>
          <w:szCs w:val="21"/>
          <w:highlight w:val="none"/>
        </w:rPr>
      </w:pPr>
      <w:r>
        <w:rPr>
          <w:rFonts w:hint="eastAsia" w:ascii="宋体" w:hAnsi="宋体"/>
          <w:color w:val="auto"/>
          <w:szCs w:val="21"/>
          <w:highlight w:val="none"/>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color w:val="auto"/>
          <w:szCs w:val="21"/>
          <w:highlight w:val="none"/>
        </w:rPr>
      </w:pPr>
      <w:r>
        <w:rPr>
          <w:rFonts w:hint="eastAsia" w:ascii="宋体" w:hAnsi="宋体"/>
          <w:color w:val="auto"/>
          <w:szCs w:val="21"/>
          <w:highlight w:val="none"/>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color w:val="auto"/>
          <w:szCs w:val="21"/>
          <w:highlight w:val="none"/>
        </w:rPr>
      </w:pPr>
      <w:r>
        <w:rPr>
          <w:rFonts w:hint="eastAsia" w:ascii="宋体" w:hAnsi="宋体"/>
          <w:bCs/>
          <w:color w:val="auto"/>
          <w:szCs w:val="21"/>
          <w:highlight w:val="none"/>
        </w:rPr>
        <w:t>4）其它违约责任按《中华人民共和国</w:t>
      </w:r>
      <w:r>
        <w:rPr>
          <w:rFonts w:hint="eastAsia" w:asciiTheme="minorEastAsia" w:hAnsiTheme="minorEastAsia" w:eastAsiaTheme="minorEastAsia"/>
          <w:color w:val="auto"/>
          <w:szCs w:val="21"/>
          <w:highlight w:val="none"/>
        </w:rPr>
        <w:t>民法典</w:t>
      </w:r>
      <w:r>
        <w:rPr>
          <w:rFonts w:hint="eastAsia" w:ascii="宋体" w:hAnsi="宋体"/>
          <w:bCs/>
          <w:color w:val="auto"/>
          <w:szCs w:val="21"/>
          <w:highlight w:val="none"/>
        </w:rPr>
        <w:t>》处理。</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73" w:name="_Toc26655"/>
      <w:r>
        <w:rPr>
          <w:rFonts w:hint="eastAsia" w:ascii="宋体" w:hAnsi="宋体"/>
          <w:b/>
          <w:color w:val="auto"/>
          <w:szCs w:val="21"/>
          <w:highlight w:val="none"/>
        </w:rPr>
        <w:t>争端的解决</w:t>
      </w:r>
      <w:bookmarkEnd w:id="72"/>
      <w:bookmarkEnd w:id="7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74" w:name="_Toc4084"/>
      <w:bookmarkStart w:id="75" w:name="_Toc435540768"/>
      <w:r>
        <w:rPr>
          <w:rFonts w:hint="eastAsia" w:ascii="宋体" w:hAnsi="宋体"/>
          <w:b/>
          <w:color w:val="auto"/>
          <w:szCs w:val="21"/>
          <w:highlight w:val="none"/>
        </w:rPr>
        <w:t>不可抗力</w:t>
      </w:r>
      <w:bookmarkEnd w:id="74"/>
      <w:bookmarkEnd w:id="7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76" w:name="_Toc21978"/>
      <w:bookmarkStart w:id="77" w:name="_Toc435540769"/>
      <w:r>
        <w:rPr>
          <w:rFonts w:hint="eastAsia" w:ascii="宋体" w:hAnsi="宋体"/>
          <w:b/>
          <w:color w:val="auto"/>
          <w:szCs w:val="21"/>
          <w:highlight w:val="none"/>
        </w:rPr>
        <w:t>税费</w:t>
      </w:r>
      <w:bookmarkEnd w:id="76"/>
      <w:bookmarkEnd w:id="7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在中国境内、外发生的与本合同执行有关的一切税费均由乙方负担。</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78" w:name="_Toc435540770"/>
      <w:bookmarkStart w:id="79" w:name="_Toc14244"/>
      <w:r>
        <w:rPr>
          <w:rFonts w:hint="eastAsia" w:ascii="宋体" w:hAnsi="宋体"/>
          <w:b/>
          <w:color w:val="auto"/>
          <w:szCs w:val="21"/>
          <w:highlight w:val="none"/>
        </w:rPr>
        <w:t>其它</w:t>
      </w:r>
      <w:bookmarkEnd w:id="78"/>
      <w:bookmarkEnd w:id="79"/>
    </w:p>
    <w:p>
      <w:pPr>
        <w:spacing w:line="360" w:lineRule="auto"/>
        <w:ind w:left="349" w:hanging="348" w:hangingChars="166"/>
        <w:rPr>
          <w:rFonts w:ascii="宋体" w:hAnsi="宋体"/>
          <w:b/>
          <w:color w:val="auto"/>
          <w:szCs w:val="21"/>
          <w:highlight w:val="none"/>
        </w:rPr>
      </w:pPr>
      <w:r>
        <w:rPr>
          <w:rFonts w:hint="eastAsia" w:ascii="宋体" w:hAnsi="宋体"/>
          <w:color w:val="auto"/>
          <w:szCs w:val="21"/>
          <w:highlight w:val="none"/>
        </w:rPr>
        <w:t>1）本合同所有附件、招标文件、投标文件、中标通知书均为合同的有效组成部分，与本合同具有同等法律效力。</w:t>
      </w:r>
    </w:p>
    <w:p>
      <w:pPr>
        <w:spacing w:line="360" w:lineRule="auto"/>
        <w:ind w:left="321" w:hanging="321" w:hangingChars="153"/>
        <w:rPr>
          <w:rFonts w:ascii="宋体" w:hAnsi="宋体"/>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）在执行本合同的过程中，所有经双方签署确认的文件（包括会议纪要、补充协议、往来信函）即成为本合同的有效组成部分。</w:t>
      </w:r>
    </w:p>
    <w:p>
      <w:pPr>
        <w:spacing w:line="360" w:lineRule="auto"/>
        <w:rPr>
          <w:rFonts w:ascii="宋体" w:hAnsi="宋体"/>
          <w:color w:val="auto"/>
          <w:szCs w:val="21"/>
          <w:highlight w:val="none"/>
        </w:rPr>
      </w:pPr>
      <w:r>
        <w:rPr>
          <w:rFonts w:hint="eastAsia" w:ascii="宋体" w:hAnsi="宋体"/>
          <w:color w:val="auto"/>
          <w:szCs w:val="21"/>
          <w:highlight w:val="none"/>
        </w:rPr>
        <w:t xml:space="preserve">3）如一方地址、电话、传真号码有变更，应在变更当日内书面通知对方，否则，应承担相应责任。 </w:t>
      </w:r>
    </w:p>
    <w:p>
      <w:pPr>
        <w:spacing w:line="360" w:lineRule="auto"/>
        <w:rPr>
          <w:rFonts w:ascii="宋体" w:hAnsi="宋体"/>
          <w:color w:val="auto"/>
          <w:szCs w:val="21"/>
          <w:highlight w:val="none"/>
        </w:rPr>
      </w:pPr>
      <w:r>
        <w:rPr>
          <w:rFonts w:hint="eastAsia" w:ascii="宋体" w:hAnsi="宋体"/>
          <w:color w:val="auto"/>
          <w:szCs w:val="21"/>
          <w:highlight w:val="none"/>
        </w:rPr>
        <w:t>4）除甲方事先书面同意外，乙方不得部分或全部转让其应履行的合同项下的义务。</w:t>
      </w:r>
    </w:p>
    <w:p>
      <w:pPr>
        <w:numPr>
          <w:ilvl w:val="0"/>
          <w:numId w:val="7"/>
        </w:numPr>
        <w:autoSpaceDE w:val="0"/>
        <w:autoSpaceDN w:val="0"/>
        <w:adjustRightInd w:val="0"/>
        <w:spacing w:line="360" w:lineRule="auto"/>
        <w:ind w:left="443" w:hanging="442" w:hangingChars="210"/>
        <w:jc w:val="left"/>
        <w:outlineLvl w:val="2"/>
        <w:rPr>
          <w:rFonts w:ascii="宋体" w:hAnsi="宋体"/>
          <w:b/>
          <w:color w:val="auto"/>
          <w:szCs w:val="21"/>
          <w:highlight w:val="none"/>
        </w:rPr>
      </w:pPr>
      <w:bookmarkStart w:id="80" w:name="_Toc435540771"/>
      <w:bookmarkStart w:id="81" w:name="_Toc29893"/>
      <w:r>
        <w:rPr>
          <w:rFonts w:hint="eastAsia" w:ascii="宋体" w:hAnsi="宋体"/>
          <w:b/>
          <w:color w:val="auto"/>
          <w:szCs w:val="21"/>
          <w:highlight w:val="none"/>
        </w:rPr>
        <w:t>合同生效</w:t>
      </w:r>
      <w:bookmarkEnd w:id="80"/>
      <w:bookmarkEnd w:id="81"/>
    </w:p>
    <w:p>
      <w:pPr>
        <w:spacing w:line="360" w:lineRule="auto"/>
        <w:rPr>
          <w:rFonts w:ascii="宋体" w:hAnsi="宋体" w:cs="宋体"/>
          <w:color w:val="auto"/>
          <w:szCs w:val="21"/>
          <w:highlight w:val="none"/>
        </w:rPr>
      </w:pPr>
      <w:r>
        <w:rPr>
          <w:rFonts w:hint="eastAsia" w:ascii="宋体" w:hAnsi="宋体" w:cs="宋体"/>
          <w:color w:val="auto"/>
          <w:szCs w:val="21"/>
          <w:highlight w:val="none"/>
        </w:rPr>
        <w:t>1）合同自甲乙双方法人代表或其授权代表签字盖章之日起生效。</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合同壹式陆份，其中甲方执肆份，乙方执贰份</w:t>
      </w:r>
      <w:r>
        <w:rPr>
          <w:rFonts w:hint="eastAsia" w:ascii="宋体" w:hAnsi="宋体"/>
          <w:color w:val="auto"/>
          <w:szCs w:val="21"/>
          <w:highlight w:val="none"/>
        </w:rPr>
        <w:t>。</w:t>
      </w:r>
    </w:p>
    <w:p>
      <w:pPr>
        <w:tabs>
          <w:tab w:val="left" w:pos="720"/>
        </w:tabs>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甲方（盖章）：                          乙方（盖章）：</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代表：                                  代表：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签订地点：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签订日期：        年     月    日       签订日期：        年     月     日    </w:t>
      </w:r>
    </w:p>
    <w:p>
      <w:pPr>
        <w:snapToGrid w:val="0"/>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开户名称：</w:t>
      </w:r>
    </w:p>
    <w:p>
      <w:pPr>
        <w:snapToGrid w:val="0"/>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银行账号：</w:t>
      </w:r>
    </w:p>
    <w:p>
      <w:pPr>
        <w:snapToGrid w:val="0"/>
        <w:spacing w:line="360" w:lineRule="auto"/>
        <w:ind w:firstLine="4200" w:firstLineChars="2000"/>
        <w:rPr>
          <w:rFonts w:ascii="宋体" w:hAnsi="宋体"/>
          <w:color w:val="auto"/>
          <w:szCs w:val="21"/>
          <w:highlight w:val="none"/>
        </w:rPr>
      </w:pPr>
      <w:r>
        <w:rPr>
          <w:rFonts w:hint="eastAsia" w:ascii="宋体" w:hAnsi="宋体" w:cs="宋体"/>
          <w:color w:val="auto"/>
          <w:szCs w:val="21"/>
          <w:highlight w:val="none"/>
        </w:rPr>
        <w:t>开 户 行：</w:t>
      </w:r>
    </w:p>
    <w:p>
      <w:pPr>
        <w:widowControl/>
        <w:jc w:val="left"/>
        <w:rPr>
          <w:rFonts w:ascii="宋体" w:hAnsi="宋体"/>
          <w:b/>
          <w:color w:val="auto"/>
          <w:highlight w:val="none"/>
        </w:rPr>
      </w:pPr>
      <w:r>
        <w:rPr>
          <w:b/>
          <w:bCs/>
          <w:color w:val="auto"/>
          <w:sz w:val="28"/>
          <w:szCs w:val="28"/>
          <w:highlight w:val="none"/>
        </w:rPr>
        <w:br w:type="page"/>
      </w:r>
    </w:p>
    <w:p>
      <w:pPr>
        <w:pStyle w:val="3"/>
        <w:jc w:val="center"/>
        <w:rPr>
          <w:rFonts w:asciiTheme="majorEastAsia" w:hAnsiTheme="majorEastAsia" w:eastAsiaTheme="majorEastAsia" w:cstheme="majorEastAsia"/>
          <w:color w:val="auto"/>
          <w:sz w:val="32"/>
          <w:szCs w:val="32"/>
          <w:highlight w:val="none"/>
        </w:rPr>
      </w:pPr>
      <w:bookmarkStart w:id="82" w:name="_Toc9128_WPSOffice_Level1"/>
      <w:bookmarkStart w:id="83" w:name="_Toc435115056"/>
      <w:bookmarkStart w:id="84" w:name="_Toc77947879"/>
      <w:bookmarkStart w:id="85" w:name="_Toc435514851"/>
      <w:bookmarkStart w:id="86" w:name="_Toc24338"/>
      <w:bookmarkStart w:id="87" w:name="_Toc8307306"/>
      <w:bookmarkStart w:id="88" w:name="_Toc22206"/>
      <w:r>
        <w:rPr>
          <w:rFonts w:hint="eastAsia" w:asciiTheme="majorEastAsia" w:hAnsiTheme="majorEastAsia" w:eastAsiaTheme="majorEastAsia" w:cstheme="majorEastAsia"/>
          <w:color w:val="auto"/>
          <w:sz w:val="32"/>
          <w:szCs w:val="32"/>
          <w:highlight w:val="none"/>
        </w:rPr>
        <w:t>第六章 投标文件格式</w:t>
      </w:r>
      <w:bookmarkEnd w:id="82"/>
      <w:bookmarkEnd w:id="83"/>
      <w:bookmarkEnd w:id="84"/>
      <w:bookmarkEnd w:id="85"/>
      <w:bookmarkEnd w:id="86"/>
      <w:bookmarkEnd w:id="87"/>
      <w:bookmarkEnd w:id="88"/>
    </w:p>
    <w:p>
      <w:pPr>
        <w:pStyle w:val="4"/>
        <w:numPr>
          <w:ilvl w:val="0"/>
          <w:numId w:val="8"/>
        </w:numPr>
        <w:spacing w:line="240" w:lineRule="auto"/>
        <w:jc w:val="center"/>
        <w:rPr>
          <w:rFonts w:asciiTheme="majorEastAsia" w:hAnsiTheme="majorEastAsia" w:eastAsiaTheme="majorEastAsia"/>
          <w:color w:val="auto"/>
          <w:sz w:val="30"/>
          <w:szCs w:val="30"/>
          <w:highlight w:val="none"/>
        </w:rPr>
      </w:pPr>
      <w:bookmarkStart w:id="89" w:name="_Toc77947880"/>
      <w:bookmarkStart w:id="90" w:name="_Toc435514852"/>
      <w:bookmarkStart w:id="91" w:name="_Toc435515292"/>
      <w:bookmarkStart w:id="92" w:name="_Toc8080"/>
      <w:r>
        <w:rPr>
          <w:rFonts w:hint="eastAsia" w:asciiTheme="majorEastAsia" w:hAnsiTheme="majorEastAsia" w:eastAsiaTheme="majorEastAsia"/>
          <w:color w:val="auto"/>
          <w:sz w:val="30"/>
          <w:szCs w:val="30"/>
          <w:highlight w:val="none"/>
        </w:rPr>
        <w:t>投标文件包装封面参考</w:t>
      </w:r>
      <w:bookmarkEnd w:id="89"/>
      <w:bookmarkEnd w:id="90"/>
      <w:bookmarkEnd w:id="91"/>
      <w:bookmarkEnd w:id="92"/>
    </w:p>
    <w:tbl>
      <w:tblPr>
        <w:tblStyle w:val="37"/>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7"/>
              <w:spacing w:line="360" w:lineRule="auto"/>
              <w:ind w:firstLine="481" w:firstLineChars="150"/>
              <w:rPr>
                <w:rFonts w:ascii="仿宋_GB2312" w:eastAsia="仿宋_GB2312"/>
                <w:b/>
                <w:color w:val="auto"/>
                <w:sz w:val="32"/>
                <w:highlight w:val="none"/>
              </w:rPr>
            </w:pPr>
          </w:p>
          <w:p>
            <w:pPr>
              <w:pStyle w:val="17"/>
              <w:spacing w:line="360" w:lineRule="auto"/>
              <w:ind w:firstLine="481" w:firstLineChars="150"/>
              <w:rPr>
                <w:rFonts w:ascii="仿宋_GB2312" w:eastAsia="仿宋_GB2312"/>
                <w:b/>
                <w:color w:val="auto"/>
                <w:sz w:val="32"/>
                <w:highlight w:val="none"/>
              </w:rPr>
            </w:pPr>
          </w:p>
          <w:p>
            <w:pPr>
              <w:pStyle w:val="17"/>
              <w:spacing w:line="360" w:lineRule="auto"/>
              <w:ind w:firstLine="481" w:firstLineChars="150"/>
              <w:rPr>
                <w:rFonts w:ascii="仿宋_GB2312" w:eastAsia="仿宋_GB2312"/>
                <w:b/>
                <w:color w:val="auto"/>
                <w:sz w:val="32"/>
                <w:highlight w:val="none"/>
              </w:rPr>
            </w:pPr>
          </w:p>
          <w:p>
            <w:pPr>
              <w:pStyle w:val="17"/>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17"/>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17"/>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17"/>
              <w:spacing w:line="360" w:lineRule="auto"/>
              <w:rPr>
                <w:rFonts w:ascii="仿宋_GB2312" w:eastAsia="仿宋_GB2312"/>
                <w:b/>
                <w:color w:val="auto"/>
                <w:sz w:val="32"/>
                <w:highlight w:val="none"/>
              </w:rPr>
            </w:pPr>
          </w:p>
          <w:p>
            <w:pPr>
              <w:pStyle w:val="17"/>
              <w:spacing w:line="360" w:lineRule="auto"/>
              <w:rPr>
                <w:rFonts w:ascii="仿宋_GB2312" w:eastAsia="仿宋_GB2312"/>
                <w:b/>
                <w:color w:val="auto"/>
                <w:sz w:val="32"/>
                <w:highlight w:val="none"/>
              </w:rPr>
            </w:pPr>
          </w:p>
          <w:p>
            <w:pPr>
              <w:pStyle w:val="17"/>
              <w:spacing w:line="360" w:lineRule="auto"/>
              <w:rPr>
                <w:rFonts w:ascii="仿宋_GB2312" w:eastAsia="仿宋_GB2312"/>
                <w:b/>
                <w:color w:val="auto"/>
                <w:sz w:val="32"/>
                <w:highlight w:val="none"/>
              </w:rPr>
            </w:pPr>
          </w:p>
          <w:p>
            <w:pPr>
              <w:pStyle w:val="17"/>
              <w:spacing w:line="400" w:lineRule="exact"/>
              <w:ind w:firstLine="899" w:firstLineChars="320"/>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shd w:val="clear" w:color="auto"/>
                <w:lang w:eastAsia="zh-CN"/>
              </w:rPr>
              <w:t>NSNSJD2024091001</w:t>
            </w:r>
          </w:p>
          <w:p>
            <w:pPr>
              <w:pStyle w:val="17"/>
              <w:spacing w:line="400" w:lineRule="exact"/>
              <w:ind w:firstLine="899" w:firstLineChars="320"/>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南山街道非经营性国储用地日常管理服务</w:t>
            </w:r>
          </w:p>
          <w:p>
            <w:pPr>
              <w:pStyle w:val="17"/>
              <w:spacing w:line="400" w:lineRule="exact"/>
              <w:ind w:firstLine="899" w:firstLineChars="32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p>
          <w:p>
            <w:pPr>
              <w:pStyle w:val="17"/>
              <w:spacing w:line="400" w:lineRule="exact"/>
              <w:ind w:firstLine="899" w:firstLineChars="32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pPr>
              <w:tabs>
                <w:tab w:val="left" w:pos="851"/>
              </w:tabs>
              <w:autoSpaceDE w:val="0"/>
              <w:autoSpaceDN w:val="0"/>
              <w:adjustRightInd w:val="0"/>
              <w:snapToGrid w:val="0"/>
              <w:spacing w:line="420" w:lineRule="auto"/>
              <w:ind w:firstLine="829" w:firstLineChars="295"/>
              <w:rPr>
                <w:rFonts w:ascii="仿宋_GB2312" w:eastAsia="仿宋_GB2312"/>
                <w:b/>
                <w:color w:val="auto"/>
                <w:sz w:val="32"/>
                <w:highlight w:val="none"/>
              </w:rPr>
            </w:pPr>
            <w:r>
              <w:rPr>
                <w:rFonts w:hint="eastAsia" w:ascii="仿宋_GB2312" w:eastAsia="仿宋_GB2312"/>
                <w:b/>
                <w:color w:val="auto"/>
                <w:sz w:val="28"/>
                <w:szCs w:val="28"/>
                <w:highlight w:val="none"/>
              </w:rPr>
              <w:t>开标之前不得启封</w:t>
            </w:r>
          </w:p>
        </w:tc>
      </w:tr>
    </w:tbl>
    <w:p>
      <w:pPr>
        <w:rPr>
          <w:color w:val="auto"/>
          <w:highlight w:val="none"/>
        </w:rPr>
      </w:pPr>
      <w:bookmarkStart w:id="93" w:name="_Toc435514865"/>
      <w:bookmarkStart w:id="94" w:name="_Toc435515305"/>
      <w:r>
        <w:rPr>
          <w:rFonts w:hint="eastAsia"/>
          <w:color w:val="auto"/>
          <w:highlight w:val="none"/>
        </w:rPr>
        <w:br w:type="page"/>
      </w:r>
    </w:p>
    <w:p>
      <w:pPr>
        <w:pStyle w:val="4"/>
        <w:numPr>
          <w:ilvl w:val="0"/>
          <w:numId w:val="8"/>
        </w:numPr>
        <w:spacing w:line="240" w:lineRule="auto"/>
        <w:jc w:val="center"/>
        <w:rPr>
          <w:rFonts w:asciiTheme="majorEastAsia" w:hAnsiTheme="majorEastAsia" w:eastAsiaTheme="majorEastAsia"/>
          <w:color w:val="auto"/>
          <w:sz w:val="30"/>
          <w:szCs w:val="30"/>
          <w:highlight w:val="none"/>
        </w:rPr>
      </w:pPr>
      <w:bookmarkStart w:id="95" w:name="_Toc77947881"/>
      <w:bookmarkStart w:id="96" w:name="_Toc29334"/>
      <w:r>
        <w:rPr>
          <w:rFonts w:hint="eastAsia" w:asciiTheme="majorEastAsia" w:hAnsiTheme="majorEastAsia" w:eastAsiaTheme="majorEastAsia"/>
          <w:color w:val="auto"/>
          <w:sz w:val="30"/>
          <w:szCs w:val="30"/>
          <w:highlight w:val="none"/>
        </w:rPr>
        <w:t>营业执照等资质文件</w:t>
      </w:r>
      <w:bookmarkEnd w:id="95"/>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bookmarkEnd w:id="93"/>
    <w:bookmarkEnd w:id="94"/>
    <w:bookmarkEnd w:id="96"/>
    <w:p>
      <w:pPr>
        <w:spacing w:line="400" w:lineRule="exact"/>
        <w:rPr>
          <w:rFonts w:ascii="宋体" w:hAnsi="宋体"/>
          <w:b/>
          <w:bCs/>
          <w:color w:val="auto"/>
          <w:szCs w:val="21"/>
          <w:highlight w:val="none"/>
        </w:rPr>
        <w:sectPr>
          <w:pgSz w:w="11906" w:h="16838"/>
          <w:pgMar w:top="1440" w:right="1286" w:bottom="1440" w:left="1440" w:header="851" w:footer="992" w:gutter="0"/>
          <w:cols w:space="720" w:num="1"/>
          <w:docGrid w:type="lines" w:linePitch="312" w:charSpace="0"/>
        </w:sectPr>
      </w:pPr>
    </w:p>
    <w:p>
      <w:pPr>
        <w:pStyle w:val="4"/>
        <w:numPr>
          <w:ilvl w:val="0"/>
          <w:numId w:val="8"/>
        </w:numPr>
        <w:spacing w:line="240" w:lineRule="auto"/>
        <w:jc w:val="center"/>
        <w:rPr>
          <w:b w:val="0"/>
          <w:color w:val="auto"/>
          <w:highlight w:val="none"/>
        </w:rPr>
      </w:pPr>
      <w:bookmarkStart w:id="97" w:name="_Toc1762"/>
      <w:bookmarkStart w:id="98" w:name="_Toc20322_WPSOffice_Level1"/>
      <w:bookmarkStart w:id="99" w:name="_Toc77947882"/>
      <w:bookmarkStart w:id="100" w:name="_Toc435514854"/>
      <w:bookmarkStart w:id="101" w:name="_Toc435515294"/>
      <w:bookmarkStart w:id="102" w:name="_Toc275865605"/>
      <w:r>
        <w:rPr>
          <w:rFonts w:hint="eastAsia" w:asciiTheme="majorEastAsia" w:hAnsiTheme="majorEastAsia" w:eastAsiaTheme="majorEastAsia"/>
          <w:color w:val="auto"/>
          <w:sz w:val="30"/>
          <w:szCs w:val="30"/>
          <w:highlight w:val="none"/>
        </w:rPr>
        <w:t>投标函</w:t>
      </w:r>
      <w:bookmarkEnd w:id="97"/>
      <w:bookmarkEnd w:id="98"/>
      <w:bookmarkEnd w:id="99"/>
      <w:bookmarkEnd w:id="100"/>
      <w:bookmarkEnd w:id="101"/>
      <w:bookmarkEnd w:id="102"/>
    </w:p>
    <w:p>
      <w:pPr>
        <w:spacing w:line="360" w:lineRule="auto"/>
        <w:ind w:left="105" w:leftChars="50" w:firstLine="2"/>
        <w:rPr>
          <w:rFonts w:hint="eastAsia" w:ascii="宋体" w:hAnsi="宋体" w:eastAsia="宋体"/>
          <w:b/>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深圳市南山区南山街道办事处</w:t>
      </w:r>
    </w:p>
    <w:p>
      <w:pPr>
        <w:spacing w:line="360" w:lineRule="auto"/>
        <w:ind w:left="105" w:leftChars="50" w:firstLine="373" w:firstLineChars="178"/>
        <w:rPr>
          <w:rFonts w:ascii="宋体" w:hAnsi="宋体"/>
          <w:color w:val="auto"/>
          <w:highlight w:val="none"/>
        </w:rPr>
      </w:pPr>
      <w:r>
        <w:rPr>
          <w:rFonts w:hint="eastAsia" w:ascii="宋体" w:hAnsi="宋体"/>
          <w:color w:val="auto"/>
          <w:highlight w:val="none"/>
        </w:rPr>
        <w:t>我方确认收到贵方</w:t>
      </w:r>
      <w:r>
        <w:rPr>
          <w:rFonts w:hint="eastAsia" w:ascii="宋体" w:hAnsi="宋体"/>
          <w:color w:val="auto"/>
          <w:kern w:val="28"/>
          <w:highlight w:val="none"/>
          <w:u w:val="single"/>
        </w:rPr>
        <w:t xml:space="preserve">           </w:t>
      </w:r>
      <w:r>
        <w:rPr>
          <w:rFonts w:hint="eastAsia" w:ascii="宋体" w:hAnsi="宋体"/>
          <w:color w:val="auto"/>
          <w:kern w:val="28"/>
          <w:highlight w:val="none"/>
          <w:u w:val="single"/>
          <w:lang w:eastAsia="zh-CN"/>
        </w:rPr>
        <w:t>南山街道非经营性国储用地日常管理服务</w:t>
      </w:r>
      <w:r>
        <w:rPr>
          <w:rFonts w:hint="eastAsia" w:ascii="宋体" w:hAnsi="宋体"/>
          <w:color w:val="auto"/>
          <w:kern w:val="28"/>
          <w:highlight w:val="none"/>
          <w:u w:val="single"/>
        </w:rPr>
        <w:t xml:space="preserve">        </w:t>
      </w:r>
      <w:r>
        <w:rPr>
          <w:rFonts w:hint="eastAsia" w:ascii="宋体" w:hAnsi="宋体"/>
          <w:color w:val="auto"/>
          <w:kern w:val="28"/>
          <w:highlight w:val="none"/>
        </w:rPr>
        <w:t>采购</w:t>
      </w:r>
      <w:r>
        <w:rPr>
          <w:rFonts w:hint="eastAsia" w:ascii="宋体" w:hAnsi="宋体"/>
          <w:color w:val="auto"/>
          <w:highlight w:val="none"/>
        </w:rPr>
        <w:t>货物及相关服务的招标文件（项目编号：</w:t>
      </w:r>
      <w:r>
        <w:rPr>
          <w:rFonts w:hint="eastAsia" w:ascii="宋体" w:hAnsi="宋体"/>
          <w:color w:val="auto"/>
          <w:highlight w:val="none"/>
          <w:shd w:val="clear" w:color="auto"/>
          <w:lang w:eastAsia="zh-CN"/>
        </w:rPr>
        <w:t>NSNSJD2024091001</w:t>
      </w:r>
      <w:r>
        <w:rPr>
          <w:rFonts w:hint="eastAsia" w:ascii="宋体" w:hAnsi="宋体"/>
          <w:color w:val="auto"/>
          <w:highlight w:val="none"/>
        </w:rPr>
        <w:t>），</w:t>
      </w:r>
      <w:r>
        <w:rPr>
          <w:rFonts w:hint="eastAsia" w:ascii="宋体" w:hAnsi="宋体"/>
          <w:color w:val="auto"/>
          <w:highlight w:val="none"/>
          <w:u w:val="single"/>
        </w:rPr>
        <w:t xml:space="preserve"> （投标人名称、地址）</w:t>
      </w:r>
      <w:r>
        <w:rPr>
          <w:rFonts w:hint="eastAsia" w:ascii="宋体" w:hAnsi="宋体"/>
          <w:color w:val="auto"/>
          <w:highlight w:val="none"/>
        </w:rPr>
        <w:t>作为投标人已正式授权</w:t>
      </w:r>
      <w:r>
        <w:rPr>
          <w:rFonts w:hint="eastAsia" w:ascii="宋体" w:hAnsi="宋体"/>
          <w:color w:val="auto"/>
          <w:highlight w:val="none"/>
          <w:u w:val="single"/>
        </w:rPr>
        <w:t xml:space="preserve"> （被投标人授权代表全名、职务）</w:t>
      </w:r>
      <w:r>
        <w:rPr>
          <w:rFonts w:hint="eastAsia" w:ascii="宋体" w:hAnsi="宋体"/>
          <w:color w:val="auto"/>
          <w:highlight w:val="none"/>
        </w:rPr>
        <w:t>为我方签名代表，签名代表在此声明并同意：</w:t>
      </w:r>
    </w:p>
    <w:p>
      <w:pPr>
        <w:numPr>
          <w:ilvl w:val="0"/>
          <w:numId w:val="9"/>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我单位愿意遵守招标文件的各项规定，自愿参加投标，并已清楚招标文件的要求及有关文件规定，并严格按照招标文件的规定履行全部责任和义务。</w:t>
      </w:r>
    </w:p>
    <w:p>
      <w:pPr>
        <w:numPr>
          <w:ilvl w:val="0"/>
          <w:numId w:val="9"/>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我们同意本投标文件的投标有效期从提交投标文件的截止之日起 90 日历日内有效，并承诺不予撤销已递交的投标文件。</w:t>
      </w:r>
    </w:p>
    <w:p>
      <w:pPr>
        <w:numPr>
          <w:ilvl w:val="0"/>
          <w:numId w:val="9"/>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我单位已经详细地阅读并完全明白了全部招标文件及附件，包括澄清（如有）及参考文件，我单位完全理解本招标文件的要求，</w:t>
      </w:r>
      <w:r>
        <w:rPr>
          <w:rFonts w:hint="eastAsia" w:ascii="宋体"/>
          <w:b/>
          <w:color w:val="auto"/>
          <w:highlight w:val="none"/>
        </w:rPr>
        <w:t>我单位同意放弃对招标文件提出不明或误解的一切权力</w:t>
      </w:r>
      <w:r>
        <w:rPr>
          <w:rFonts w:hint="eastAsia" w:ascii="宋体" w:hAnsi="宋体"/>
          <w:b/>
          <w:color w:val="auto"/>
          <w:highlight w:val="none"/>
        </w:rPr>
        <w:t>。</w:t>
      </w:r>
    </w:p>
    <w:p>
      <w:pPr>
        <w:numPr>
          <w:ilvl w:val="0"/>
          <w:numId w:val="9"/>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我单位同意提供</w:t>
      </w:r>
      <w:r>
        <w:rPr>
          <w:rFonts w:hint="eastAsia" w:ascii="宋体" w:hAnsi="宋体" w:cs="宋体"/>
          <w:b/>
          <w:color w:val="auto"/>
          <w:szCs w:val="21"/>
          <w:highlight w:val="none"/>
          <w:lang w:eastAsia="zh-TW"/>
        </w:rPr>
        <w:t>采购人</w:t>
      </w:r>
      <w:r>
        <w:rPr>
          <w:rFonts w:hint="eastAsia" w:ascii="宋体" w:hAnsi="宋体"/>
          <w:b/>
          <w:color w:val="auto"/>
          <w:highlight w:val="none"/>
        </w:rPr>
        <w:t>与评标委员会要求的有关投标的一切数据或资料。</w:t>
      </w:r>
    </w:p>
    <w:p>
      <w:pPr>
        <w:numPr>
          <w:ilvl w:val="0"/>
          <w:numId w:val="9"/>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 xml:space="preserve">如果我单位未对招标文件全部要求作出实质性响应，则完全同意并接受按无效投标处理。 </w:t>
      </w:r>
    </w:p>
    <w:p>
      <w:pPr>
        <w:numPr>
          <w:ilvl w:val="0"/>
          <w:numId w:val="9"/>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9"/>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如果我单位提供的声明或承诺不真实，则完全同意认定为我司提供虚假材料，并同意作相应处理。</w:t>
      </w:r>
    </w:p>
    <w:p>
      <w:pPr>
        <w:numPr>
          <w:ilvl w:val="0"/>
          <w:numId w:val="9"/>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我单位是依法注册的法人，在法律、财务及运作上完全独立于本项目采购人、用户单位（如有）和采购人。</w:t>
      </w:r>
    </w:p>
    <w:p>
      <w:pPr>
        <w:numPr>
          <w:ilvl w:val="0"/>
          <w:numId w:val="9"/>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所有有关本次投标的函电请寄：</w:t>
      </w:r>
      <w:r>
        <w:rPr>
          <w:rFonts w:hint="eastAsia" w:ascii="宋体" w:hAnsi="宋体"/>
          <w:b/>
          <w:color w:val="auto"/>
          <w:highlight w:val="none"/>
          <w:u w:val="single"/>
        </w:rPr>
        <w:t xml:space="preserve">  （投标人地址）   </w:t>
      </w:r>
    </w:p>
    <w:p>
      <w:pPr>
        <w:autoSpaceDE w:val="0"/>
        <w:autoSpaceDN w:val="0"/>
        <w:adjustRightInd w:val="0"/>
        <w:spacing w:line="360" w:lineRule="auto"/>
        <w:rPr>
          <w:rFonts w:ascii="宋体" w:hAnsi="宋体"/>
          <w:b/>
          <w:color w:val="auto"/>
          <w:sz w:val="22"/>
          <w:szCs w:val="22"/>
          <w:highlight w:val="none"/>
        </w:rPr>
      </w:pPr>
      <w:r>
        <w:rPr>
          <w:rFonts w:hint="eastAsia" w:ascii="宋体" w:hAnsi="宋体"/>
          <w:b/>
          <w:color w:val="auto"/>
          <w:sz w:val="22"/>
          <w:szCs w:val="22"/>
          <w:highlight w:val="none"/>
        </w:rPr>
        <w:t>备注：1、投标函中承诺的投标有效期应当不少于招标文件中载明的投标有效期，否则视为无效投标。</w:t>
      </w:r>
    </w:p>
    <w:p>
      <w:pPr>
        <w:autoSpaceDE w:val="0"/>
        <w:autoSpaceDN w:val="0"/>
        <w:adjustRightInd w:val="0"/>
        <w:spacing w:line="360" w:lineRule="auto"/>
        <w:rPr>
          <w:rFonts w:ascii="宋体" w:hAnsi="宋体"/>
          <w:b/>
          <w:color w:val="auto"/>
          <w:sz w:val="22"/>
          <w:szCs w:val="22"/>
          <w:highlight w:val="none"/>
        </w:rPr>
      </w:pPr>
      <w:r>
        <w:rPr>
          <w:rFonts w:hint="eastAsia" w:ascii="宋体" w:hAnsi="宋体"/>
          <w:b/>
          <w:color w:val="auto"/>
          <w:sz w:val="22"/>
          <w:szCs w:val="22"/>
          <w:highlight w:val="none"/>
        </w:rPr>
        <w:t xml:space="preserve">2、除投标有效期承诺的时间外，本投标函内容不得擅自删改，否则视为无效投标。 </w:t>
      </w:r>
    </w:p>
    <w:p>
      <w:pPr>
        <w:autoSpaceDE w:val="0"/>
        <w:autoSpaceDN w:val="0"/>
        <w:adjustRightInd w:val="0"/>
        <w:spacing w:line="360" w:lineRule="auto"/>
        <w:rPr>
          <w:rFonts w:ascii="宋体" w:hAnsi="宋体"/>
          <w:b/>
          <w:color w:val="auto"/>
          <w:sz w:val="20"/>
          <w:szCs w:val="22"/>
          <w:highlight w:val="none"/>
        </w:rPr>
      </w:pPr>
    </w:p>
    <w:p>
      <w:pPr>
        <w:spacing w:line="360" w:lineRule="auto"/>
        <w:rPr>
          <w:color w:val="auto"/>
          <w:sz w:val="22"/>
          <w:szCs w:val="22"/>
          <w:highlight w:val="none"/>
        </w:rPr>
      </w:pPr>
      <w:r>
        <w:rPr>
          <w:rFonts w:hint="eastAsia"/>
          <w:b/>
          <w:bCs/>
          <w:color w:val="auto"/>
          <w:sz w:val="22"/>
          <w:szCs w:val="22"/>
          <w:highlight w:val="none"/>
        </w:rPr>
        <w:t>投标人单位名称：</w:t>
      </w:r>
      <w:r>
        <w:rPr>
          <w:rFonts w:hint="eastAsia"/>
          <w:color w:val="auto"/>
          <w:sz w:val="22"/>
          <w:szCs w:val="22"/>
          <w:highlight w:val="none"/>
          <w:u w:val="single"/>
        </w:rPr>
        <w:t xml:space="preserve">                            </w:t>
      </w:r>
      <w:r>
        <w:rPr>
          <w:rFonts w:hint="eastAsia"/>
          <w:color w:val="auto"/>
          <w:sz w:val="22"/>
          <w:szCs w:val="22"/>
          <w:highlight w:val="none"/>
        </w:rPr>
        <w:t xml:space="preserve"> </w:t>
      </w:r>
    </w:p>
    <w:p>
      <w:pPr>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t>日期：</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年</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月</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日</w:t>
      </w:r>
    </w:p>
    <w:p>
      <w:pPr>
        <w:spacing w:line="360" w:lineRule="auto"/>
        <w:rPr>
          <w:color w:val="auto"/>
          <w:sz w:val="22"/>
          <w:szCs w:val="22"/>
          <w:highlight w:val="none"/>
        </w:rPr>
      </w:pPr>
      <w:r>
        <w:rPr>
          <w:rFonts w:hint="eastAsia"/>
          <w:b/>
          <w:color w:val="auto"/>
          <w:sz w:val="22"/>
          <w:szCs w:val="22"/>
          <w:highlight w:val="none"/>
        </w:rPr>
        <w:t>（此处加盖投标人单位公章）</w:t>
      </w:r>
    </w:p>
    <w:p>
      <w:pPr>
        <w:adjustRightInd w:val="0"/>
        <w:snapToGrid w:val="0"/>
        <w:spacing w:line="360" w:lineRule="auto"/>
        <w:rPr>
          <w:rFonts w:ascii="黑体" w:eastAsia="黑体"/>
          <w:b/>
          <w:bCs/>
          <w:color w:val="auto"/>
          <w:sz w:val="22"/>
          <w:szCs w:val="22"/>
          <w:highlight w:val="none"/>
        </w:rPr>
        <w:sectPr>
          <w:pgSz w:w="11906" w:h="16838"/>
          <w:pgMar w:top="1440" w:right="1286" w:bottom="1440" w:left="1440" w:header="851" w:footer="992" w:gutter="0"/>
          <w:cols w:space="720" w:num="1"/>
          <w:docGrid w:type="lines" w:linePitch="312" w:charSpace="0"/>
        </w:sectPr>
      </w:pPr>
    </w:p>
    <w:p>
      <w:pPr>
        <w:pStyle w:val="4"/>
        <w:numPr>
          <w:ilvl w:val="0"/>
          <w:numId w:val="8"/>
        </w:numPr>
        <w:spacing w:line="240" w:lineRule="auto"/>
        <w:jc w:val="center"/>
        <w:rPr>
          <w:rFonts w:asciiTheme="majorEastAsia" w:hAnsiTheme="majorEastAsia" w:eastAsiaTheme="majorEastAsia"/>
          <w:color w:val="auto"/>
          <w:sz w:val="30"/>
          <w:szCs w:val="30"/>
          <w:highlight w:val="none"/>
        </w:rPr>
      </w:pPr>
      <w:bookmarkStart w:id="103" w:name="_Toc275865606"/>
      <w:bookmarkStart w:id="104" w:name="_Toc77947883"/>
      <w:bookmarkStart w:id="105" w:name="_Toc24650"/>
      <w:bookmarkStart w:id="106" w:name="_Toc435515295"/>
      <w:bookmarkStart w:id="107" w:name="_Toc435514855"/>
      <w:r>
        <w:rPr>
          <w:rFonts w:hint="eastAsia" w:asciiTheme="majorEastAsia" w:hAnsiTheme="majorEastAsia" w:eastAsiaTheme="majorEastAsia"/>
          <w:color w:val="auto"/>
          <w:sz w:val="30"/>
          <w:szCs w:val="30"/>
          <w:highlight w:val="none"/>
        </w:rPr>
        <w:t>投标人资格声明函</w:t>
      </w:r>
      <w:bookmarkEnd w:id="103"/>
      <w:bookmarkEnd w:id="104"/>
      <w:bookmarkEnd w:id="105"/>
      <w:bookmarkEnd w:id="106"/>
      <w:bookmarkEnd w:id="107"/>
    </w:p>
    <w:p>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深圳市南山区南山街道办事处</w:t>
      </w:r>
    </w:p>
    <w:p>
      <w:pPr>
        <w:pStyle w:val="113"/>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关于贵街道采购的</w:t>
      </w:r>
      <w:r>
        <w:rPr>
          <w:rFonts w:hint="eastAsia" w:ascii="宋体" w:hAnsi="宋体"/>
          <w:color w:val="auto"/>
          <w:highlight w:val="none"/>
          <w:u w:val="single"/>
        </w:rPr>
        <w:t xml:space="preserve">  </w:t>
      </w:r>
      <w:r>
        <w:rPr>
          <w:rFonts w:hint="eastAsia" w:ascii="宋体" w:hAnsi="宋体"/>
          <w:color w:val="auto"/>
          <w:highlight w:val="none"/>
          <w:u w:val="single"/>
          <w:lang w:eastAsia="zh-CN"/>
        </w:rPr>
        <w:t>南山街道非经营性国储用地日常管理服务</w:t>
      </w:r>
      <w:r>
        <w:rPr>
          <w:rFonts w:hint="eastAsia" w:ascii="宋体" w:hAnsi="宋体"/>
          <w:color w:val="auto"/>
          <w:highlight w:val="none"/>
          <w:u w:val="single"/>
        </w:rPr>
        <w:t xml:space="preserve"> </w:t>
      </w:r>
      <w:r>
        <w:rPr>
          <w:rFonts w:hint="eastAsia" w:ascii="宋体" w:hAnsi="宋体"/>
          <w:color w:val="auto"/>
          <w:highlight w:val="none"/>
        </w:rPr>
        <w:t>（项目编号：</w:t>
      </w:r>
      <w:r>
        <w:rPr>
          <w:rFonts w:hint="eastAsia" w:ascii="宋体" w:hAnsi="宋体"/>
          <w:color w:val="auto"/>
          <w:highlight w:val="none"/>
          <w:shd w:val="clear" w:color="auto"/>
          <w:lang w:eastAsia="zh-CN"/>
        </w:rPr>
        <w:t>NSNSJD2024091001</w:t>
      </w:r>
      <w:r>
        <w:rPr>
          <w:rFonts w:hint="eastAsia" w:ascii="宋体" w:hAnsi="宋体"/>
          <w:color w:val="auto"/>
          <w:highlight w:val="none"/>
        </w:rPr>
        <w:t>）招标，本公司（企业）愿意参加投标，并声明：</w:t>
      </w:r>
    </w:p>
    <w:p>
      <w:pPr>
        <w:numPr>
          <w:ilvl w:val="0"/>
          <w:numId w:val="10"/>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《中华人民共和国政府采购法》</w:t>
      </w:r>
      <w:r>
        <w:rPr>
          <w:rFonts w:hint="eastAsia" w:asciiTheme="minorEastAsia" w:hAnsiTheme="minorEastAsia" w:eastAsiaTheme="minorEastAsia"/>
          <w:bCs/>
          <w:color w:val="auto"/>
          <w:szCs w:val="21"/>
          <w:highlight w:val="none"/>
        </w:rPr>
        <w:t>第二十二条规定的条件：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numPr>
          <w:ilvl w:val="0"/>
          <w:numId w:val="10"/>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我公司对本招标项目所提供的货物或服务未侵犯知识产权。</w:t>
      </w:r>
    </w:p>
    <w:p>
      <w:pPr>
        <w:numPr>
          <w:ilvl w:val="0"/>
          <w:numId w:val="10"/>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我公司保证采购人拥有所投产品完整的所有权，不以保护知识产权或技术保密的名义对所有权和使用权进行任何限制。</w:t>
      </w:r>
    </w:p>
    <w:p>
      <w:pPr>
        <w:numPr>
          <w:ilvl w:val="0"/>
          <w:numId w:val="10"/>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numPr>
          <w:ilvl w:val="0"/>
          <w:numId w:val="10"/>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pPr>
        <w:numPr>
          <w:ilvl w:val="0"/>
          <w:numId w:val="10"/>
        </w:numPr>
        <w:spacing w:line="360" w:lineRule="auto"/>
        <w:ind w:right="-815" w:firstLineChars="200"/>
        <w:rPr>
          <w:bCs/>
          <w:color w:val="auto"/>
          <w:szCs w:val="21"/>
          <w:highlight w:val="none"/>
        </w:rPr>
      </w:pPr>
      <w:r>
        <w:rPr>
          <w:rFonts w:hint="eastAsia"/>
          <w:bCs/>
          <w:color w:val="auto"/>
          <w:szCs w:val="21"/>
          <w:highlight w:val="none"/>
        </w:rPr>
        <w:t>根据《中华人民共和国政府采购法实施条例》的规定，本公司（企业）如为采购项目（包组）提供整体设计、规范编制或者项目管理、监理、检测等服务的供应商，不再参加该采购项目的其他采购活动</w:t>
      </w:r>
      <w:r>
        <w:rPr>
          <w:rFonts w:hint="eastAsia"/>
          <w:bCs/>
          <w:color w:val="auto"/>
          <w:szCs w:val="21"/>
          <w:highlight w:val="none"/>
          <w:lang w:eastAsia="zh-CN"/>
        </w:rPr>
        <w:t>。</w:t>
      </w:r>
    </w:p>
    <w:p>
      <w:pPr>
        <w:numPr>
          <w:ilvl w:val="0"/>
          <w:numId w:val="10"/>
        </w:numPr>
        <w:spacing w:line="360" w:lineRule="auto"/>
        <w:ind w:right="-815" w:firstLineChars="200"/>
        <w:rPr>
          <w:rFonts w:ascii="宋体" w:hAnsi="宋体"/>
          <w:color w:val="auto"/>
          <w:highlight w:val="none"/>
        </w:rPr>
      </w:pPr>
      <w:r>
        <w:rPr>
          <w:rFonts w:hint="eastAsia" w:ascii="宋体" w:hAnsi="宋体"/>
          <w:color w:val="auto"/>
          <w:highlight w:val="none"/>
        </w:rPr>
        <w:t>本公司（企业）的法定代表人或单位负责人与本项目其他投标人的法定代表人或单位负责人不为同一人且与其他投标人之间不存在直接控股、管理关系。</w:t>
      </w:r>
    </w:p>
    <w:p>
      <w:pPr>
        <w:numPr>
          <w:ilvl w:val="0"/>
          <w:numId w:val="10"/>
        </w:numPr>
        <w:spacing w:line="360" w:lineRule="auto"/>
        <w:ind w:right="-815" w:firstLineChars="200"/>
        <w:rPr>
          <w:rFonts w:ascii="宋体" w:hAnsi="宋体"/>
          <w:color w:val="auto"/>
          <w:szCs w:val="21"/>
          <w:highlight w:val="none"/>
        </w:rPr>
      </w:pPr>
      <w:r>
        <w:rPr>
          <w:rFonts w:hint="eastAsia" w:ascii="宋体" w:hAnsi="宋体"/>
          <w:color w:val="auto"/>
          <w:highlight w:val="none"/>
        </w:rPr>
        <w:t>本公司（企业）承诺在本次招标采购活动中，如有违法、违规、弄虚作假行为，所造成的损失、不良后果及法律责任，一律由我公司（企业）承担。</w:t>
      </w:r>
    </w:p>
    <w:p>
      <w:pPr>
        <w:numPr>
          <w:ilvl w:val="0"/>
          <w:numId w:val="10"/>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在参与</w:t>
      </w:r>
      <w:r>
        <w:rPr>
          <w:rFonts w:hint="eastAsia" w:ascii="宋体" w:hAnsi="宋体"/>
          <w:color w:val="auto"/>
          <w:highlight w:val="none"/>
        </w:rPr>
        <w:t>本次招标采购活动中</w:t>
      </w:r>
      <w:r>
        <w:rPr>
          <w:rFonts w:hint="eastAsia" w:ascii="宋体" w:hAnsi="宋体"/>
          <w:color w:val="auto"/>
          <w:szCs w:val="21"/>
          <w:highlight w:val="none"/>
        </w:rPr>
        <w:t>投标截止日前三年内，在我公司的经营活动中没有存在重大违法记录，即我公司没有受到刑事处罚或者责令停产停业、吊销许可证或者执照、较大数额罚款等行政处罚。</w:t>
      </w:r>
    </w:p>
    <w:p>
      <w:pPr>
        <w:numPr>
          <w:ilvl w:val="0"/>
          <w:numId w:val="10"/>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，我公司不存在被政府主管部门禁止参与政府采购活动的情形，即我公司不存在还处于被禁止参与政府采购活动的期限内情形。</w:t>
      </w:r>
    </w:p>
    <w:p>
      <w:pPr>
        <w:numPr>
          <w:ilvl w:val="0"/>
          <w:numId w:val="10"/>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参与本项目采购活动时未被列入失信被执行人、重大税收违法案件当事人名单、政府采购严重违法失信行为记录名单</w:t>
      </w:r>
    </w:p>
    <w:p>
      <w:pPr>
        <w:numPr>
          <w:ilvl w:val="0"/>
          <w:numId w:val="10"/>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，我公司承诺按招标文件要求提供本国产品/服务。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以上承诺，如有违反，愿依照国家相关法律处理，并承担由此给采购人带来的损失。</w:t>
      </w:r>
    </w:p>
    <w:p>
      <w:pPr>
        <w:autoSpaceDE w:val="0"/>
        <w:autoSpaceDN w:val="0"/>
        <w:adjustRightInd w:val="0"/>
        <w:spacing w:line="360" w:lineRule="auto"/>
        <w:rPr>
          <w:rFonts w:ascii="宋体" w:hAnsi="宋体"/>
          <w:b/>
          <w:color w:val="auto"/>
          <w:sz w:val="22"/>
          <w:szCs w:val="22"/>
          <w:highlight w:val="none"/>
        </w:rPr>
      </w:pPr>
      <w:r>
        <w:rPr>
          <w:rFonts w:hint="eastAsia" w:ascii="宋体" w:hAnsi="宋体"/>
          <w:b/>
          <w:color w:val="auto"/>
          <w:sz w:val="22"/>
          <w:szCs w:val="22"/>
          <w:highlight w:val="none"/>
        </w:rPr>
        <w:t>备注：1.本声明函必须提供且内容不得擅自删改，否则视为无效投标。</w:t>
      </w:r>
    </w:p>
    <w:p>
      <w:pPr>
        <w:snapToGrid w:val="0"/>
        <w:spacing w:line="360" w:lineRule="auto"/>
        <w:ind w:firstLine="662" w:firstLineChars="300"/>
        <w:rPr>
          <w:rFonts w:ascii="宋体" w:hAnsi="宋体"/>
          <w:b/>
          <w:color w:val="auto"/>
          <w:sz w:val="22"/>
          <w:szCs w:val="22"/>
          <w:highlight w:val="none"/>
        </w:rPr>
      </w:pPr>
      <w:r>
        <w:rPr>
          <w:rFonts w:hint="eastAsia" w:ascii="宋体" w:hAnsi="宋体"/>
          <w:b/>
          <w:color w:val="auto"/>
          <w:sz w:val="22"/>
          <w:szCs w:val="22"/>
          <w:highlight w:val="none"/>
        </w:rPr>
        <w:t>2. 本声明函如有虚假或与事实不符的，作无效投标处理。</w:t>
      </w:r>
    </w:p>
    <w:p>
      <w:pPr>
        <w:spacing w:line="360" w:lineRule="auto"/>
        <w:ind w:firstLine="440" w:firstLineChars="200"/>
        <w:rPr>
          <w:rFonts w:ascii="宋体" w:hAnsi="宋体"/>
          <w:color w:val="auto"/>
          <w:sz w:val="22"/>
          <w:szCs w:val="22"/>
          <w:highlight w:val="none"/>
        </w:rPr>
      </w:pPr>
    </w:p>
    <w:p>
      <w:pPr>
        <w:spacing w:line="360" w:lineRule="auto"/>
        <w:ind w:firstLine="420"/>
        <w:rPr>
          <w:color w:val="auto"/>
          <w:sz w:val="22"/>
          <w:szCs w:val="22"/>
          <w:highlight w:val="none"/>
        </w:rPr>
      </w:pPr>
      <w:r>
        <w:rPr>
          <w:rFonts w:hint="eastAsia"/>
          <w:b/>
          <w:bCs/>
          <w:color w:val="auto"/>
          <w:sz w:val="22"/>
          <w:szCs w:val="22"/>
          <w:highlight w:val="none"/>
        </w:rPr>
        <w:t>投标人单位名称：</w:t>
      </w:r>
      <w:r>
        <w:rPr>
          <w:rFonts w:hint="eastAsia"/>
          <w:color w:val="auto"/>
          <w:sz w:val="22"/>
          <w:szCs w:val="22"/>
          <w:highlight w:val="none"/>
          <w:u w:val="single"/>
        </w:rPr>
        <w:t xml:space="preserve">                             </w:t>
      </w:r>
      <w:r>
        <w:rPr>
          <w:rFonts w:hint="eastAsia"/>
          <w:color w:val="auto"/>
          <w:sz w:val="22"/>
          <w:szCs w:val="22"/>
          <w:highlight w:val="none"/>
        </w:rPr>
        <w:t>　　　　　　　</w:t>
      </w:r>
    </w:p>
    <w:p>
      <w:pPr>
        <w:spacing w:line="360" w:lineRule="auto"/>
        <w:ind w:firstLine="420"/>
        <w:rPr>
          <w:rFonts w:ascii="宋体" w:hAnsi="宋体"/>
          <w:b/>
          <w:bCs/>
          <w:color w:val="auto"/>
          <w:sz w:val="22"/>
          <w:szCs w:val="22"/>
          <w:highlight w:val="none"/>
        </w:rPr>
      </w:pPr>
      <w:r>
        <w:rPr>
          <w:rFonts w:hint="eastAsia"/>
          <w:b/>
          <w:bCs/>
          <w:color w:val="auto"/>
          <w:sz w:val="22"/>
          <w:szCs w:val="22"/>
          <w:highlight w:val="none"/>
        </w:rPr>
        <w:t>日期：</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年</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月</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日</w:t>
      </w:r>
    </w:p>
    <w:p>
      <w:pPr>
        <w:spacing w:line="360" w:lineRule="auto"/>
        <w:ind w:firstLine="220" w:firstLineChars="100"/>
        <w:rPr>
          <w:b/>
          <w:color w:val="auto"/>
          <w:sz w:val="22"/>
          <w:szCs w:val="22"/>
          <w:highlight w:val="none"/>
        </w:rPr>
      </w:pPr>
      <w:r>
        <w:rPr>
          <w:rFonts w:hint="eastAsia"/>
          <w:b/>
          <w:color w:val="auto"/>
          <w:sz w:val="22"/>
          <w:szCs w:val="22"/>
          <w:highlight w:val="none"/>
        </w:rPr>
        <w:t>（此处加盖投标人单位公章）</w:t>
      </w:r>
    </w:p>
    <w:p>
      <w:pPr>
        <w:widowControl/>
        <w:jc w:val="left"/>
        <w:rPr>
          <w:b/>
          <w:color w:val="auto"/>
          <w:sz w:val="28"/>
          <w:szCs w:val="28"/>
          <w:highlight w:val="none"/>
        </w:rPr>
      </w:pPr>
      <w:r>
        <w:rPr>
          <w:b/>
          <w:color w:val="auto"/>
          <w:sz w:val="28"/>
          <w:szCs w:val="28"/>
          <w:highlight w:val="none"/>
        </w:rPr>
        <w:br w:type="page"/>
      </w:r>
    </w:p>
    <w:p>
      <w:pPr>
        <w:pStyle w:val="4"/>
        <w:numPr>
          <w:ilvl w:val="0"/>
          <w:numId w:val="8"/>
        </w:numPr>
        <w:spacing w:line="240" w:lineRule="auto"/>
        <w:jc w:val="center"/>
        <w:rPr>
          <w:rFonts w:asciiTheme="majorEastAsia" w:hAnsiTheme="majorEastAsia" w:eastAsiaTheme="majorEastAsia"/>
          <w:color w:val="auto"/>
          <w:sz w:val="30"/>
          <w:szCs w:val="30"/>
          <w:highlight w:val="none"/>
        </w:rPr>
      </w:pPr>
      <w:bookmarkStart w:id="108" w:name="_承诺函"/>
      <w:bookmarkEnd w:id="108"/>
      <w:bookmarkStart w:id="109" w:name="_Toc77947884"/>
      <w:bookmarkStart w:id="110" w:name="_Toc50737329"/>
      <w:bookmarkStart w:id="111" w:name="_Toc50736477"/>
      <w:bookmarkStart w:id="112" w:name="_Toc435515299"/>
      <w:bookmarkStart w:id="113" w:name="_Toc27672"/>
      <w:bookmarkStart w:id="114" w:name="_Toc435514859"/>
      <w:bookmarkStart w:id="115" w:name="_Toc275865607"/>
      <w:bookmarkStart w:id="116" w:name="_Toc52165081"/>
      <w:bookmarkStart w:id="117" w:name="_Toc50737297"/>
      <w:bookmarkStart w:id="118" w:name="_Toc50737328"/>
      <w:bookmarkStart w:id="119" w:name="_Toc52165080"/>
      <w:bookmarkStart w:id="120" w:name="_Toc50737296"/>
      <w:bookmarkStart w:id="121" w:name="_Toc50736476"/>
      <w:bookmarkStart w:id="122" w:name="_Toc50691034"/>
      <w:r>
        <w:rPr>
          <w:rFonts w:hint="eastAsia" w:asciiTheme="majorEastAsia" w:hAnsiTheme="majorEastAsia" w:eastAsiaTheme="majorEastAsia"/>
          <w:color w:val="auto"/>
          <w:sz w:val="30"/>
          <w:szCs w:val="30"/>
          <w:highlight w:val="none"/>
        </w:rPr>
        <w:t>公章对投标专用章授权说明</w:t>
      </w:r>
      <w:bookmarkEnd w:id="109"/>
    </w:p>
    <w:p>
      <w:pPr>
        <w:snapToGrid w:val="0"/>
        <w:spacing w:line="360" w:lineRule="auto"/>
        <w:rPr>
          <w:rFonts w:ascii="宋体" w:hAnsi="宋体"/>
          <w:color w:val="auto"/>
          <w:szCs w:val="21"/>
          <w:highlight w:val="none"/>
        </w:rPr>
      </w:pPr>
      <w:r>
        <w:rPr>
          <w:rFonts w:hint="eastAsia" w:ascii="宋体" w:hAnsi="宋体"/>
          <w:b/>
          <w:color w:val="auto"/>
          <w:szCs w:val="21"/>
          <w:highlight w:val="none"/>
          <w:lang w:eastAsia="zh-CN"/>
        </w:rPr>
        <w:t>深圳市南山区南山街道办事处</w:t>
      </w:r>
      <w:r>
        <w:rPr>
          <w:rFonts w:hint="eastAsia" w:ascii="宋体" w:hAnsi="宋体"/>
          <w:b/>
          <w:color w:val="auto"/>
          <w:szCs w:val="21"/>
          <w:highlight w:val="none"/>
        </w:rPr>
        <w:t>：</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本单位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（投标人名称）  </w:t>
      </w:r>
      <w:r>
        <w:rPr>
          <w:rFonts w:hint="eastAsia" w:ascii="宋体" w:hAnsi="宋体"/>
          <w:color w:val="auto"/>
          <w:szCs w:val="21"/>
          <w:highlight w:val="none"/>
        </w:rPr>
        <w:t>参加</w:t>
      </w:r>
      <w:r>
        <w:rPr>
          <w:rFonts w:hint="eastAsia" w:ascii="宋体" w:hAnsi="宋体"/>
          <w:color w:val="auto"/>
          <w:szCs w:val="21"/>
          <w:highlight w:val="none"/>
          <w:u w:val="single"/>
          <w:lang w:eastAsia="zh-CN"/>
        </w:rPr>
        <w:t>南山街道非经营性国储用地日常管理服务</w:t>
      </w:r>
      <w:r>
        <w:rPr>
          <w:rFonts w:hint="eastAsia" w:ascii="宋体" w:hAnsi="宋体"/>
          <w:color w:val="auto"/>
          <w:szCs w:val="21"/>
          <w:highlight w:val="none"/>
          <w:u w:val="single"/>
          <w:shd w:val="clear" w:color="auto"/>
        </w:rPr>
        <w:t>（</w:t>
      </w:r>
      <w:r>
        <w:rPr>
          <w:rFonts w:hint="eastAsia" w:ascii="宋体" w:hAnsi="宋体"/>
          <w:color w:val="auto"/>
          <w:szCs w:val="21"/>
          <w:highlight w:val="none"/>
          <w:u w:val="single"/>
          <w:shd w:val="clear" w:color="auto"/>
          <w:lang w:eastAsia="zh-CN"/>
        </w:rPr>
        <w:t>NSNSJD2024091001</w:t>
      </w:r>
      <w:r>
        <w:rPr>
          <w:rFonts w:hint="eastAsia" w:ascii="宋体" w:hAnsi="宋体"/>
          <w:color w:val="auto"/>
          <w:szCs w:val="21"/>
          <w:highlight w:val="none"/>
          <w:u w:val="single"/>
          <w:shd w:val="clear" w:color="auto"/>
        </w:rPr>
        <w:t>）</w:t>
      </w:r>
      <w:r>
        <w:rPr>
          <w:rFonts w:hint="eastAsia" w:ascii="宋体" w:hAnsi="宋体"/>
          <w:color w:val="auto"/>
          <w:szCs w:val="21"/>
          <w:highlight w:val="none"/>
        </w:rPr>
        <w:t>的采购活动，在此做如下说明：</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在此次采购活动中，我单位所使用的“投标专用章”与我单位公章具有同等的法律效力，我单位对所使用“投标专用章”的行为和相应责任予以完全承认。</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特此说明。</w:t>
      </w:r>
    </w:p>
    <w:p>
      <w:pPr>
        <w:snapToGrid w:val="0"/>
        <w:spacing w:line="360" w:lineRule="auto"/>
        <w:rPr>
          <w:rFonts w:ascii="宋体" w:hAnsi="宋体"/>
          <w:color w:val="auto"/>
          <w:szCs w:val="21"/>
          <w:highlight w:val="none"/>
        </w:rPr>
      </w:pPr>
    </w:p>
    <w:p>
      <w:pPr>
        <w:snapToGrid w:val="0"/>
        <w:spacing w:line="360" w:lineRule="auto"/>
        <w:rPr>
          <w:rFonts w:ascii="宋体" w:hAnsi="宋体"/>
          <w:b/>
          <w:bCs/>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单位注册地址：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color w:val="auto"/>
          <w:szCs w:val="21"/>
          <w:highlight w:val="none"/>
        </w:rPr>
        <w:t>或</w:t>
      </w:r>
      <w:r>
        <w:rPr>
          <w:rFonts w:hint="eastAsia" w:ascii="宋体" w:hAnsi="宋体"/>
          <w:color w:val="auto"/>
          <w:szCs w:val="21"/>
          <w:highlight w:val="none"/>
        </w:rPr>
        <w:t>投标人授权代表（签名或盖个人名章）：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我单位投标专用章样式如下：</w:t>
      </w:r>
    </w:p>
    <w:tbl>
      <w:tblPr>
        <w:tblStyle w:val="38"/>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pPr>
              <w:spacing w:line="400" w:lineRule="exact"/>
              <w:rPr>
                <w:rFonts w:ascii="宋体" w:hAnsi="宋体"/>
                <w:b/>
                <w:bCs/>
                <w:color w:val="auto"/>
                <w:szCs w:val="21"/>
                <w:highlight w:val="none"/>
              </w:rPr>
            </w:pPr>
          </w:p>
        </w:tc>
      </w:tr>
    </w:tbl>
    <w:p>
      <w:pPr>
        <w:rPr>
          <w:rFonts w:asciiTheme="majorEastAsia" w:hAnsiTheme="majorEastAsia" w:eastAsiaTheme="majorEastAsia"/>
          <w:color w:val="auto"/>
          <w:sz w:val="30"/>
          <w:szCs w:val="30"/>
          <w:highlight w:val="none"/>
        </w:rPr>
      </w:pPr>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p>
      <w:pPr>
        <w:pStyle w:val="4"/>
        <w:numPr>
          <w:ilvl w:val="0"/>
          <w:numId w:val="8"/>
        </w:numPr>
        <w:spacing w:line="240" w:lineRule="auto"/>
        <w:jc w:val="center"/>
        <w:rPr>
          <w:rFonts w:asciiTheme="majorEastAsia" w:hAnsiTheme="majorEastAsia" w:eastAsiaTheme="majorEastAsia"/>
          <w:color w:val="auto"/>
          <w:sz w:val="30"/>
          <w:szCs w:val="30"/>
          <w:highlight w:val="none"/>
        </w:rPr>
      </w:pPr>
      <w:bookmarkStart w:id="123" w:name="_Toc77947885"/>
      <w:r>
        <w:rPr>
          <w:rFonts w:hint="eastAsia" w:asciiTheme="majorEastAsia" w:hAnsiTheme="majorEastAsia" w:eastAsiaTheme="majorEastAsia"/>
          <w:color w:val="auto"/>
          <w:sz w:val="30"/>
          <w:szCs w:val="30"/>
          <w:highlight w:val="none"/>
        </w:rPr>
        <w:t>法定代表人授权委托书</w:t>
      </w:r>
      <w:bookmarkEnd w:id="110"/>
      <w:bookmarkEnd w:id="111"/>
      <w:bookmarkEnd w:id="112"/>
      <w:bookmarkEnd w:id="113"/>
      <w:bookmarkEnd w:id="114"/>
      <w:bookmarkEnd w:id="115"/>
      <w:bookmarkEnd w:id="116"/>
      <w:bookmarkEnd w:id="117"/>
      <w:bookmarkEnd w:id="123"/>
    </w:p>
    <w:p>
      <w:pPr>
        <w:pStyle w:val="21"/>
        <w:spacing w:line="360" w:lineRule="auto"/>
        <w:ind w:firstLine="420" w:firstLineChars="200"/>
        <w:rPr>
          <w:color w:val="auto"/>
          <w:highlight w:val="none"/>
        </w:rPr>
      </w:pPr>
      <w:r>
        <w:rPr>
          <w:rFonts w:hint="eastAsia"/>
          <w:color w:val="auto"/>
          <w:highlight w:val="none"/>
        </w:rPr>
        <w:t>本授权委托书声明：注册于</w:t>
      </w:r>
      <w:r>
        <w:rPr>
          <w:rFonts w:hint="eastAsia"/>
          <w:color w:val="auto"/>
          <w:highlight w:val="none"/>
          <w:u w:val="single"/>
        </w:rPr>
        <w:t xml:space="preserve"> （投标人地址）  </w:t>
      </w:r>
      <w:r>
        <w:rPr>
          <w:rFonts w:hint="eastAsia"/>
          <w:color w:val="auto"/>
          <w:highlight w:val="none"/>
        </w:rPr>
        <w:t>的</w:t>
      </w:r>
      <w:r>
        <w:rPr>
          <w:rFonts w:hint="eastAsia"/>
          <w:color w:val="auto"/>
          <w:highlight w:val="none"/>
          <w:u w:val="single"/>
        </w:rPr>
        <w:t xml:space="preserve">  （投标人名称）    </w:t>
      </w:r>
      <w:r>
        <w:rPr>
          <w:rFonts w:hint="eastAsia"/>
          <w:color w:val="auto"/>
          <w:highlight w:val="none"/>
        </w:rPr>
        <w:t>由</w:t>
      </w:r>
      <w:r>
        <w:rPr>
          <w:rFonts w:hint="eastAsia"/>
          <w:color w:val="auto"/>
          <w:highlight w:val="none"/>
          <w:u w:val="single"/>
        </w:rPr>
        <w:t>（法定代表人姓名、职务</w:t>
      </w:r>
      <w:r>
        <w:rPr>
          <w:rFonts w:hint="eastAsia" w:hAnsi="宋体" w:eastAsia="宋体"/>
          <w:color w:val="auto"/>
          <w:highlight w:val="none"/>
          <w:u w:val="single"/>
        </w:rPr>
        <w:t>、手机号码</w:t>
      </w:r>
      <w:r>
        <w:rPr>
          <w:rFonts w:hint="eastAsia"/>
          <w:color w:val="auto"/>
          <w:highlight w:val="none"/>
          <w:u w:val="single"/>
        </w:rPr>
        <w:t>）</w:t>
      </w:r>
      <w:r>
        <w:rPr>
          <w:rFonts w:hint="eastAsia"/>
          <w:color w:val="auto"/>
          <w:highlight w:val="none"/>
        </w:rPr>
        <w:t>在此授权</w:t>
      </w:r>
      <w:r>
        <w:rPr>
          <w:rFonts w:hint="eastAsia"/>
          <w:color w:val="auto"/>
          <w:highlight w:val="none"/>
          <w:u w:val="single"/>
        </w:rPr>
        <w:t>（被授权人姓名、职务、</w:t>
      </w:r>
      <w:r>
        <w:rPr>
          <w:rFonts w:hint="eastAsia" w:hAnsi="宋体" w:eastAsia="宋体"/>
          <w:color w:val="auto"/>
          <w:highlight w:val="none"/>
          <w:u w:val="single"/>
        </w:rPr>
        <w:t>手机号码</w:t>
      </w:r>
      <w:r>
        <w:rPr>
          <w:rFonts w:hint="eastAsia"/>
          <w:color w:val="auto"/>
          <w:highlight w:val="none"/>
          <w:u w:val="single"/>
        </w:rPr>
        <w:t>）</w:t>
      </w:r>
      <w:r>
        <w:rPr>
          <w:rFonts w:hint="eastAsia"/>
          <w:color w:val="auto"/>
          <w:highlight w:val="none"/>
        </w:rPr>
        <w:t>作为我公司的合法代理人，就</w:t>
      </w:r>
      <w:r>
        <w:rPr>
          <w:rFonts w:hint="eastAsia"/>
          <w:color w:val="auto"/>
          <w:highlight w:val="none"/>
          <w:u w:val="single"/>
        </w:rPr>
        <w:t>（项目名称、项目编号</w:t>
      </w:r>
      <w:r>
        <w:rPr>
          <w:rFonts w:hint="eastAsia"/>
          <w:color w:val="auto"/>
          <w:highlight w:val="none"/>
        </w:rPr>
        <w:t>）的招投标活动，采购合同的签订、执行、完成和售后服务，作为投标人代表以我方的名义处理一切与之有关的事务。</w:t>
      </w:r>
    </w:p>
    <w:p>
      <w:pPr>
        <w:pStyle w:val="21"/>
        <w:spacing w:line="360" w:lineRule="auto"/>
        <w:ind w:firstLine="420" w:firstLineChars="200"/>
        <w:rPr>
          <w:color w:val="auto"/>
          <w:highlight w:val="none"/>
        </w:rPr>
      </w:pPr>
      <w:r>
        <w:rPr>
          <w:rFonts w:hint="eastAsia"/>
          <w:color w:val="auto"/>
          <w:highlight w:val="none"/>
        </w:rPr>
        <w:t>被授权人（投标人授权代表）无转委托权限。</w:t>
      </w:r>
    </w:p>
    <w:p>
      <w:pPr>
        <w:spacing w:line="360" w:lineRule="auto"/>
        <w:ind w:firstLine="420" w:firstLineChars="200"/>
        <w:rPr>
          <w:rFonts w:ascii="宋体"/>
          <w:color w:val="auto"/>
          <w:highlight w:val="none"/>
        </w:rPr>
      </w:pPr>
      <w:r>
        <w:rPr>
          <w:rFonts w:hint="eastAsia" w:ascii="宋体"/>
          <w:color w:val="auto"/>
          <w:highlight w:val="none"/>
        </w:rPr>
        <w:t>本授权书自盖章之日起生效，特此声明。</w:t>
      </w:r>
    </w:p>
    <w:p>
      <w:pPr>
        <w:spacing w:line="360" w:lineRule="auto"/>
        <w:rPr>
          <w:rFonts w:ascii="宋体"/>
          <w:b/>
          <w:color w:val="auto"/>
          <w:highlight w:val="none"/>
        </w:rPr>
      </w:pPr>
      <w:r>
        <w:rPr>
          <w:rFonts w:hint="eastAsia" w:ascii="宋体"/>
          <w:b/>
          <w:color w:val="auto"/>
          <w:highlight w:val="none"/>
        </w:rPr>
        <w:t>随附《法定代表人证明》</w:t>
      </w:r>
    </w:p>
    <w:p>
      <w:pPr>
        <w:spacing w:line="360" w:lineRule="auto"/>
        <w:rPr>
          <w:rFonts w:ascii="宋体"/>
          <w:color w:val="auto"/>
          <w:highlight w:val="none"/>
        </w:rPr>
      </w:pPr>
    </w:p>
    <w:p>
      <w:pPr>
        <w:spacing w:line="360" w:lineRule="auto"/>
        <w:rPr>
          <w:color w:val="auto"/>
          <w:sz w:val="22"/>
          <w:szCs w:val="22"/>
          <w:highlight w:val="none"/>
        </w:rPr>
      </w:pPr>
      <w:r>
        <w:rPr>
          <w:rFonts w:hint="eastAsia"/>
          <w:b/>
          <w:bCs/>
          <w:color w:val="auto"/>
          <w:sz w:val="22"/>
          <w:szCs w:val="22"/>
          <w:highlight w:val="none"/>
        </w:rPr>
        <w:t>投标人单位名称：</w:t>
      </w:r>
      <w:r>
        <w:rPr>
          <w:rFonts w:hint="eastAsia"/>
          <w:color w:val="auto"/>
          <w:sz w:val="22"/>
          <w:szCs w:val="22"/>
          <w:highlight w:val="none"/>
          <w:u w:val="single"/>
        </w:rPr>
        <w:t xml:space="preserve">                            </w:t>
      </w:r>
      <w:r>
        <w:rPr>
          <w:rFonts w:hint="eastAsia"/>
          <w:color w:val="auto"/>
          <w:sz w:val="22"/>
          <w:szCs w:val="22"/>
          <w:highlight w:val="none"/>
        </w:rPr>
        <w:t xml:space="preserve"> </w:t>
      </w:r>
    </w:p>
    <w:p>
      <w:pPr>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t>日期：</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年</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月</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日</w:t>
      </w:r>
    </w:p>
    <w:p>
      <w:pPr>
        <w:spacing w:line="360" w:lineRule="auto"/>
        <w:rPr>
          <w:color w:val="auto"/>
          <w:sz w:val="22"/>
          <w:szCs w:val="22"/>
          <w:highlight w:val="none"/>
        </w:rPr>
      </w:pPr>
      <w:r>
        <w:rPr>
          <w:rFonts w:hint="eastAsia"/>
          <w:b/>
          <w:color w:val="auto"/>
          <w:sz w:val="22"/>
          <w:szCs w:val="22"/>
          <w:highlight w:val="none"/>
        </w:rPr>
        <w:t>（此处加盖投标人单位公章）</w:t>
      </w:r>
    </w:p>
    <w:p>
      <w:pPr>
        <w:tabs>
          <w:tab w:val="left" w:pos="3780"/>
        </w:tabs>
        <w:spacing w:line="360" w:lineRule="auto"/>
        <w:rPr>
          <w:rFonts w:ascii="宋体" w:hAnsi="宋体"/>
          <w:b/>
          <w:bCs/>
          <w:color w:val="auto"/>
          <w:sz w:val="22"/>
          <w:szCs w:val="22"/>
          <w:highlight w:val="none"/>
        </w:rPr>
      </w:pPr>
    </w:p>
    <w:p>
      <w:pPr>
        <w:tabs>
          <w:tab w:val="left" w:pos="3780"/>
        </w:tabs>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t>提供被授权人（授权代表）居民身份证（正反面）复印件：</w:t>
      </w:r>
    </w:p>
    <w:p>
      <w:pPr>
        <w:spacing w:line="360" w:lineRule="auto"/>
        <w:ind w:left="1159" w:leftChars="552" w:firstLine="2261"/>
        <w:rPr>
          <w:rFonts w:ascii="宋体"/>
          <w:color w:val="auto"/>
          <w:highlight w:val="none"/>
        </w:rPr>
      </w:pPr>
    </w:p>
    <w:p>
      <w:pPr>
        <w:rPr>
          <w:rFonts w:asciiTheme="majorEastAsia" w:hAnsiTheme="majorEastAsia" w:eastAsiaTheme="majorEastAsia"/>
          <w:color w:val="auto"/>
          <w:sz w:val="30"/>
          <w:szCs w:val="30"/>
          <w:highlight w:val="none"/>
        </w:rPr>
      </w:pPr>
      <w:bookmarkStart w:id="124" w:name="_Toc435514860"/>
      <w:bookmarkStart w:id="125" w:name="_Toc435515300"/>
      <w:bookmarkStart w:id="126" w:name="_Toc275865608"/>
      <w:bookmarkStart w:id="127" w:name="_Toc14289"/>
      <w:r>
        <w:rPr>
          <w:rFonts w:hint="eastAsia" w:asciiTheme="majorEastAsia" w:hAnsiTheme="majorEastAsia" w:eastAsiaTheme="majorEastAsia"/>
          <w:color w:val="auto"/>
          <w:sz w:val="30"/>
          <w:szCs w:val="30"/>
          <w:highlight w:val="none"/>
        </w:rPr>
        <w:br w:type="page"/>
      </w:r>
    </w:p>
    <w:p>
      <w:pPr>
        <w:pStyle w:val="4"/>
        <w:numPr>
          <w:ilvl w:val="0"/>
          <w:numId w:val="8"/>
        </w:numPr>
        <w:spacing w:line="240" w:lineRule="auto"/>
        <w:jc w:val="center"/>
        <w:rPr>
          <w:rFonts w:asciiTheme="majorEastAsia" w:hAnsiTheme="majorEastAsia" w:eastAsiaTheme="majorEastAsia"/>
          <w:color w:val="auto"/>
          <w:sz w:val="30"/>
          <w:szCs w:val="30"/>
          <w:highlight w:val="none"/>
        </w:rPr>
      </w:pPr>
      <w:bookmarkStart w:id="128" w:name="_Toc77947886"/>
      <w:r>
        <w:rPr>
          <w:rFonts w:hint="eastAsia" w:asciiTheme="majorEastAsia" w:hAnsiTheme="majorEastAsia" w:eastAsiaTheme="majorEastAsia"/>
          <w:color w:val="auto"/>
          <w:sz w:val="30"/>
          <w:szCs w:val="30"/>
          <w:highlight w:val="none"/>
        </w:rPr>
        <w:t>法定代表人证明书</w:t>
      </w:r>
      <w:bookmarkEnd w:id="118"/>
      <w:bookmarkEnd w:id="119"/>
      <w:bookmarkEnd w:id="120"/>
      <w:bookmarkEnd w:id="121"/>
      <w:bookmarkEnd w:id="122"/>
      <w:bookmarkEnd w:id="124"/>
      <w:bookmarkEnd w:id="125"/>
      <w:bookmarkEnd w:id="126"/>
      <w:bookmarkEnd w:id="127"/>
      <w:bookmarkEnd w:id="128"/>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hint="eastAsia" w:ascii="宋体" w:hAnsi="宋体"/>
          <w:color w:val="auto"/>
          <w:highlight w:val="none"/>
          <w:u w:val="single"/>
        </w:rPr>
        <w:t xml:space="preserve">       </w:t>
      </w:r>
      <w:r>
        <w:rPr>
          <w:rFonts w:hint="eastAsia" w:ascii="宋体" w:hAnsi="宋体"/>
          <w:color w:val="auto"/>
          <w:highlight w:val="none"/>
        </w:rPr>
        <w:t>职务，为法定代表人，特此证明。</w:t>
      </w:r>
    </w:p>
    <w:p>
      <w:pPr>
        <w:spacing w:line="360" w:lineRule="auto"/>
        <w:ind w:firstLine="420" w:firstLineChars="200"/>
        <w:rPr>
          <w:rFonts w:ascii="宋体" w:hAnsi="宋体"/>
          <w:color w:val="auto"/>
          <w:highlight w:val="none"/>
        </w:rPr>
      </w:pPr>
      <w:r>
        <w:rPr>
          <w:rFonts w:hint="eastAsia" w:ascii="宋体"/>
          <w:color w:val="auto"/>
          <w:highlight w:val="none"/>
        </w:rPr>
        <w:t>本证明书自签发之日起生效，</w:t>
      </w:r>
      <w:r>
        <w:rPr>
          <w:rFonts w:hint="eastAsia" w:ascii="宋体" w:hAnsi="宋体"/>
          <w:color w:val="auto"/>
          <w:highlight w:val="none"/>
        </w:rPr>
        <w:t>有效期与本公司投标文件中标注的投标有效期相同。</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500" w:lineRule="exact"/>
        <w:rPr>
          <w:rFonts w:ascii="宋体"/>
          <w:b/>
          <w:bCs/>
          <w:color w:val="auto"/>
          <w:highlight w:val="none"/>
        </w:rPr>
      </w:pPr>
    </w:p>
    <w:p>
      <w:pPr>
        <w:spacing w:line="360" w:lineRule="auto"/>
        <w:rPr>
          <w:color w:val="auto"/>
          <w:sz w:val="22"/>
          <w:szCs w:val="22"/>
          <w:highlight w:val="none"/>
        </w:rPr>
      </w:pPr>
      <w:r>
        <w:rPr>
          <w:rFonts w:hint="eastAsia"/>
          <w:b/>
          <w:bCs/>
          <w:color w:val="auto"/>
          <w:sz w:val="22"/>
          <w:szCs w:val="22"/>
          <w:highlight w:val="none"/>
        </w:rPr>
        <w:t>投标人单位名称：</w:t>
      </w:r>
      <w:r>
        <w:rPr>
          <w:rFonts w:hint="eastAsia"/>
          <w:color w:val="auto"/>
          <w:sz w:val="22"/>
          <w:szCs w:val="22"/>
          <w:highlight w:val="none"/>
          <w:u w:val="single"/>
        </w:rPr>
        <w:t xml:space="preserve">                            </w:t>
      </w:r>
      <w:r>
        <w:rPr>
          <w:rFonts w:hint="eastAsia"/>
          <w:color w:val="auto"/>
          <w:sz w:val="22"/>
          <w:szCs w:val="22"/>
          <w:highlight w:val="none"/>
        </w:rPr>
        <w:t xml:space="preserve"> </w:t>
      </w:r>
    </w:p>
    <w:p>
      <w:pPr>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t>签发日期：</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年</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月</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日</w:t>
      </w:r>
    </w:p>
    <w:p>
      <w:pPr>
        <w:spacing w:line="360" w:lineRule="auto"/>
        <w:rPr>
          <w:color w:val="auto"/>
          <w:sz w:val="22"/>
          <w:szCs w:val="22"/>
          <w:highlight w:val="none"/>
        </w:rPr>
      </w:pPr>
      <w:r>
        <w:rPr>
          <w:rFonts w:hint="eastAsia"/>
          <w:b/>
          <w:color w:val="auto"/>
          <w:sz w:val="22"/>
          <w:szCs w:val="22"/>
          <w:highlight w:val="none"/>
        </w:rPr>
        <w:t>（此处加盖投标人单位公章）</w:t>
      </w:r>
    </w:p>
    <w:p>
      <w:pPr>
        <w:spacing w:line="500" w:lineRule="exact"/>
        <w:rPr>
          <w:rFonts w:ascii="宋体" w:hAnsi="宋体"/>
          <w:color w:val="auto"/>
          <w:sz w:val="20"/>
          <w:szCs w:val="22"/>
          <w:highlight w:val="none"/>
        </w:rPr>
      </w:pPr>
    </w:p>
    <w:p>
      <w:pPr>
        <w:spacing w:line="360" w:lineRule="auto"/>
        <w:rPr>
          <w:b/>
          <w:color w:val="auto"/>
          <w:sz w:val="22"/>
          <w:szCs w:val="22"/>
          <w:highlight w:val="none"/>
        </w:rPr>
      </w:pPr>
      <w:r>
        <w:rPr>
          <w:rFonts w:hint="eastAsia"/>
          <w:b/>
          <w:color w:val="auto"/>
          <w:sz w:val="22"/>
          <w:szCs w:val="22"/>
          <w:highlight w:val="none"/>
        </w:rPr>
        <w:t>提供法定代表人居民身份证（正反面）复印件：</w:t>
      </w:r>
    </w:p>
    <w:p>
      <w:pPr>
        <w:spacing w:line="500" w:lineRule="exact"/>
        <w:rPr>
          <w:rFonts w:ascii="宋体" w:hAnsi="宋体"/>
          <w:color w:val="auto"/>
          <w:highlight w:val="none"/>
        </w:rPr>
      </w:pPr>
      <w:r>
        <w:rPr>
          <w:rFonts w:hint="eastAsia" w:ascii="宋体" w:hAnsi="宋体"/>
          <w:color w:val="auto"/>
          <w:highlight w:val="none"/>
        </w:rPr>
        <w:br w:type="page"/>
      </w:r>
    </w:p>
    <w:p>
      <w:pPr>
        <w:pStyle w:val="4"/>
        <w:numPr>
          <w:ilvl w:val="0"/>
          <w:numId w:val="8"/>
        </w:numPr>
        <w:spacing w:line="240" w:lineRule="auto"/>
        <w:jc w:val="center"/>
        <w:rPr>
          <w:rFonts w:asciiTheme="majorEastAsia" w:hAnsiTheme="majorEastAsia" w:eastAsiaTheme="majorEastAsia"/>
          <w:color w:val="auto"/>
          <w:sz w:val="30"/>
          <w:szCs w:val="30"/>
          <w:highlight w:val="none"/>
        </w:rPr>
      </w:pPr>
      <w:bookmarkStart w:id="129" w:name="_Toc77947887"/>
      <w:bookmarkStart w:id="130" w:name="_Toc8619"/>
      <w:bookmarkStart w:id="131" w:name="_Toc435515308"/>
      <w:bookmarkStart w:id="132" w:name="_Toc435514868"/>
      <w:r>
        <w:rPr>
          <w:rFonts w:hint="eastAsia" w:asciiTheme="majorEastAsia" w:hAnsiTheme="majorEastAsia" w:eastAsiaTheme="majorEastAsia"/>
          <w:color w:val="auto"/>
          <w:sz w:val="30"/>
          <w:szCs w:val="30"/>
          <w:highlight w:val="none"/>
        </w:rPr>
        <w:t>用户需求书条款响应一览表</w:t>
      </w:r>
      <w:bookmarkEnd w:id="129"/>
      <w:bookmarkEnd w:id="130"/>
    </w:p>
    <w:p>
      <w:pPr>
        <w:spacing w:line="400" w:lineRule="exact"/>
        <w:rPr>
          <w:rFonts w:ascii="宋体" w:hAnsi="宋体"/>
          <w:color w:val="auto"/>
          <w:highlight w:val="none"/>
        </w:rPr>
      </w:pPr>
      <w:r>
        <w:rPr>
          <w:rFonts w:hint="eastAsia" w:ascii="宋体" w:hAnsi="宋体"/>
          <w:color w:val="auto"/>
          <w:highlight w:val="none"/>
        </w:rPr>
        <w:t>说明：投标人必须对应招标文件第三章 用户需求书条款逐条应答并按要求填写下表。</w:t>
      </w:r>
    </w:p>
    <w:tbl>
      <w:tblPr>
        <w:tblStyle w:val="37"/>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515"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招标条款</w:t>
            </w:r>
          </w:p>
        </w:tc>
        <w:tc>
          <w:tcPr>
            <w:tcW w:w="2341"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投标条款</w:t>
            </w:r>
          </w:p>
        </w:tc>
        <w:tc>
          <w:tcPr>
            <w:tcW w:w="1750"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c>
          <w:tcPr>
            <w:tcW w:w="1623"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bl>
    <w:p>
      <w:pPr>
        <w:spacing w:line="360" w:lineRule="auto"/>
        <w:ind w:right="84" w:rightChars="40"/>
        <w:rPr>
          <w:rFonts w:ascii="宋体" w:hAnsi="宋体"/>
          <w:color w:val="auto"/>
          <w:szCs w:val="21"/>
          <w:highlight w:val="none"/>
        </w:rPr>
      </w:pPr>
      <w:r>
        <w:rPr>
          <w:rFonts w:hint="eastAsia" w:ascii="宋体" w:hAnsi="宋体"/>
          <w:color w:val="auto"/>
          <w:szCs w:val="21"/>
          <w:highlight w:val="none"/>
        </w:rPr>
        <w:t>备注：投标人必须按招标文件要求附相关证明文件，如未提供的视为负偏离。</w:t>
      </w:r>
    </w:p>
    <w:p>
      <w:pPr>
        <w:widowControl/>
        <w:jc w:val="left"/>
        <w:rPr>
          <w:rFonts w:ascii="Arial" w:hAnsi="Arial" w:eastAsia="黑体"/>
          <w:bCs/>
          <w:color w:val="auto"/>
          <w:sz w:val="32"/>
          <w:szCs w:val="32"/>
          <w:highlight w:val="none"/>
        </w:rPr>
      </w:pPr>
      <w:bookmarkStart w:id="133" w:name="_Toc110937994"/>
      <w:bookmarkStart w:id="134" w:name="_Toc435515310"/>
      <w:bookmarkStart w:id="135" w:name="_Toc435514870"/>
      <w:bookmarkStart w:id="136" w:name="_Toc30664887"/>
      <w:bookmarkStart w:id="137" w:name="_Toc50691044"/>
      <w:bookmarkStart w:id="138" w:name="_Toc50736481"/>
      <w:bookmarkStart w:id="139" w:name="_Toc43264525"/>
      <w:bookmarkStart w:id="140" w:name="_Toc50737333"/>
      <w:bookmarkStart w:id="141" w:name="_Toc52165085"/>
      <w:bookmarkStart w:id="142" w:name="_Toc50737301"/>
      <w:bookmarkStart w:id="143" w:name="_Toc16957"/>
      <w:bookmarkStart w:id="144" w:name="_Toc275865617"/>
      <w:r>
        <w:rPr>
          <w:b/>
          <w:color w:val="auto"/>
          <w:highlight w:val="none"/>
        </w:rPr>
        <w:br w:type="page"/>
      </w:r>
    </w:p>
    <w:p>
      <w:pPr>
        <w:pStyle w:val="4"/>
        <w:numPr>
          <w:ilvl w:val="0"/>
          <w:numId w:val="8"/>
        </w:numPr>
        <w:tabs>
          <w:tab w:val="left" w:pos="360"/>
        </w:tabs>
        <w:spacing w:line="240" w:lineRule="auto"/>
        <w:ind w:left="0" w:firstLine="0"/>
        <w:jc w:val="center"/>
        <w:rPr>
          <w:b w:val="0"/>
          <w:color w:val="auto"/>
          <w:highlight w:val="none"/>
        </w:rPr>
      </w:pPr>
      <w:r>
        <w:rPr>
          <w:rFonts w:hint="eastAsia"/>
          <w:b w:val="0"/>
          <w:color w:val="auto"/>
          <w:highlight w:val="none"/>
        </w:rPr>
        <w:t>同类项目情况一览表</w:t>
      </w:r>
      <w:bookmarkEnd w:id="133"/>
      <w:bookmarkEnd w:id="134"/>
      <w:bookmarkEnd w:id="135"/>
      <w:bookmarkEnd w:id="136"/>
      <w:bookmarkEnd w:id="137"/>
      <w:bookmarkEnd w:id="138"/>
      <w:bookmarkEnd w:id="139"/>
      <w:bookmarkEnd w:id="140"/>
      <w:bookmarkEnd w:id="141"/>
      <w:bookmarkEnd w:id="142"/>
      <w:bookmarkEnd w:id="143"/>
      <w:bookmarkEnd w:id="144"/>
    </w:p>
    <w:tbl>
      <w:tblPr>
        <w:tblStyle w:val="37"/>
        <w:tblW w:w="98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217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color w:val="auto"/>
                <w:sz w:val="24"/>
                <w:highlight w:val="none"/>
              </w:rPr>
            </w:pPr>
            <w:r>
              <w:rPr>
                <w:rFonts w:hint="eastAsia"/>
                <w:color w:val="auto"/>
                <w:sz w:val="24"/>
                <w:highlight w:val="none"/>
              </w:rPr>
              <w:t>序号</w:t>
            </w:r>
          </w:p>
        </w:tc>
        <w:tc>
          <w:tcPr>
            <w:tcW w:w="1460"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业主名称</w:t>
            </w:r>
          </w:p>
        </w:tc>
        <w:tc>
          <w:tcPr>
            <w:tcW w:w="1658"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项目名称</w:t>
            </w:r>
          </w:p>
        </w:tc>
        <w:tc>
          <w:tcPr>
            <w:tcW w:w="1442"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合同总价</w:t>
            </w:r>
          </w:p>
        </w:tc>
        <w:tc>
          <w:tcPr>
            <w:tcW w:w="2176"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签约及完成时间</w:t>
            </w:r>
          </w:p>
        </w:tc>
        <w:tc>
          <w:tcPr>
            <w:tcW w:w="2456"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spacing w:line="400" w:lineRule="exact"/>
              <w:jc w:val="center"/>
              <w:rPr>
                <w:color w:val="auto"/>
                <w:sz w:val="24"/>
                <w:highlight w:val="none"/>
              </w:rPr>
            </w:pPr>
          </w:p>
        </w:tc>
        <w:tc>
          <w:tcPr>
            <w:tcW w:w="1460" w:type="dxa"/>
            <w:tcBorders>
              <w:top w:val="double" w:color="auto" w:sz="4" w:space="0"/>
            </w:tcBorders>
            <w:vAlign w:val="center"/>
          </w:tcPr>
          <w:p>
            <w:pPr>
              <w:spacing w:line="400" w:lineRule="exact"/>
              <w:jc w:val="center"/>
              <w:rPr>
                <w:color w:val="auto"/>
                <w:sz w:val="24"/>
                <w:highlight w:val="none"/>
              </w:rPr>
            </w:pPr>
          </w:p>
        </w:tc>
        <w:tc>
          <w:tcPr>
            <w:tcW w:w="1658" w:type="dxa"/>
            <w:tcBorders>
              <w:top w:val="double" w:color="auto" w:sz="4" w:space="0"/>
            </w:tcBorders>
            <w:vAlign w:val="center"/>
          </w:tcPr>
          <w:p>
            <w:pPr>
              <w:spacing w:line="400" w:lineRule="exact"/>
              <w:jc w:val="center"/>
              <w:rPr>
                <w:color w:val="auto"/>
                <w:sz w:val="24"/>
                <w:highlight w:val="none"/>
              </w:rPr>
            </w:pPr>
          </w:p>
        </w:tc>
        <w:tc>
          <w:tcPr>
            <w:tcW w:w="1442" w:type="dxa"/>
            <w:tcBorders>
              <w:top w:val="double" w:color="auto" w:sz="4" w:space="0"/>
            </w:tcBorders>
            <w:vAlign w:val="center"/>
          </w:tcPr>
          <w:p>
            <w:pPr>
              <w:spacing w:line="400" w:lineRule="exact"/>
              <w:jc w:val="center"/>
              <w:rPr>
                <w:color w:val="auto"/>
                <w:sz w:val="24"/>
                <w:highlight w:val="none"/>
              </w:rPr>
            </w:pPr>
          </w:p>
        </w:tc>
        <w:tc>
          <w:tcPr>
            <w:tcW w:w="2176" w:type="dxa"/>
            <w:tcBorders>
              <w:top w:val="double" w:color="auto" w:sz="4" w:space="0"/>
            </w:tcBorders>
            <w:vAlign w:val="center"/>
          </w:tcPr>
          <w:p>
            <w:pPr>
              <w:spacing w:line="400" w:lineRule="exact"/>
              <w:jc w:val="center"/>
              <w:rPr>
                <w:color w:val="auto"/>
                <w:sz w:val="24"/>
                <w:highlight w:val="none"/>
              </w:rPr>
            </w:pPr>
          </w:p>
        </w:tc>
        <w:tc>
          <w:tcPr>
            <w:tcW w:w="2456" w:type="dxa"/>
            <w:tcBorders>
              <w:top w:val="double" w:color="auto" w:sz="4" w:space="0"/>
            </w:tcBorders>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bl>
    <w:p>
      <w:pPr>
        <w:spacing w:line="440" w:lineRule="exact"/>
        <w:rPr>
          <w:rFonts w:ascii="宋体" w:hAnsi="宋体"/>
          <w:color w:val="auto"/>
          <w:sz w:val="24"/>
          <w:highlight w:val="none"/>
        </w:rPr>
      </w:pPr>
      <w:r>
        <w:rPr>
          <w:rFonts w:hint="eastAsia"/>
          <w:bCs/>
          <w:color w:val="auto"/>
          <w:sz w:val="24"/>
          <w:highlight w:val="none"/>
        </w:rPr>
        <w:t>备注：</w:t>
      </w:r>
      <w:r>
        <w:rPr>
          <w:rFonts w:hint="eastAsia" w:ascii="宋体" w:hAnsi="宋体"/>
          <w:color w:val="auto"/>
          <w:sz w:val="24"/>
          <w:highlight w:val="none"/>
        </w:rPr>
        <w:t>根据评分表的要求提交相应资料。</w:t>
      </w:r>
    </w:p>
    <w:p>
      <w:pPr>
        <w:adjustRightInd w:val="0"/>
        <w:snapToGrid w:val="0"/>
        <w:spacing w:line="360" w:lineRule="auto"/>
        <w:ind w:left="732" w:hanging="732" w:hangingChars="305"/>
        <w:rPr>
          <w:rFonts w:ascii="宋体" w:hAnsi="宋体"/>
          <w:color w:val="auto"/>
          <w:sz w:val="24"/>
          <w:highlight w:val="none"/>
        </w:rPr>
      </w:pPr>
    </w:p>
    <w:p>
      <w:pPr>
        <w:widowControl/>
        <w:jc w:val="left"/>
        <w:rPr>
          <w:rFonts w:hAnsi="宋体"/>
          <w:bCs/>
          <w:color w:val="auto"/>
          <w:sz w:val="24"/>
          <w:highlight w:val="none"/>
        </w:rPr>
      </w:pPr>
      <w:r>
        <w:rPr>
          <w:rFonts w:hAnsi="宋体"/>
          <w:bCs/>
          <w:color w:val="auto"/>
          <w:sz w:val="24"/>
          <w:highlight w:val="none"/>
        </w:rPr>
        <w:br w:type="page"/>
      </w:r>
    </w:p>
    <w:p>
      <w:pPr>
        <w:pStyle w:val="4"/>
        <w:numPr>
          <w:ilvl w:val="0"/>
          <w:numId w:val="8"/>
        </w:numPr>
        <w:tabs>
          <w:tab w:val="left" w:pos="360"/>
        </w:tabs>
        <w:spacing w:line="240" w:lineRule="auto"/>
        <w:ind w:left="0" w:firstLine="0"/>
        <w:jc w:val="center"/>
        <w:rPr>
          <w:b w:val="0"/>
          <w:color w:val="auto"/>
          <w:highlight w:val="none"/>
        </w:rPr>
      </w:pPr>
      <w:bookmarkStart w:id="145" w:name="_Toc435515311"/>
      <w:bookmarkStart w:id="146" w:name="_Toc50737332"/>
      <w:bookmarkStart w:id="147" w:name="_Toc50736480"/>
      <w:bookmarkStart w:id="148" w:name="_Toc50737300"/>
      <w:bookmarkStart w:id="149" w:name="_Toc30664888"/>
      <w:bookmarkStart w:id="150" w:name="_Toc110937995"/>
      <w:bookmarkStart w:id="151" w:name="_Toc435514871"/>
      <w:bookmarkStart w:id="152" w:name="_Toc275865618"/>
      <w:bookmarkStart w:id="153" w:name="_Toc50691042"/>
      <w:bookmarkStart w:id="154" w:name="_Toc19597"/>
      <w:bookmarkStart w:id="155" w:name="_Toc52165084"/>
      <w:r>
        <w:rPr>
          <w:rFonts w:hint="eastAsia"/>
          <w:b w:val="0"/>
          <w:color w:val="auto"/>
          <w:highlight w:val="none"/>
        </w:rPr>
        <w:t>项目团队人员一览表</w:t>
      </w:r>
      <w:bookmarkEnd w:id="145"/>
      <w:bookmarkEnd w:id="146"/>
      <w:bookmarkEnd w:id="147"/>
      <w:bookmarkEnd w:id="148"/>
      <w:bookmarkEnd w:id="149"/>
      <w:bookmarkEnd w:id="150"/>
      <w:bookmarkEnd w:id="151"/>
      <w:bookmarkEnd w:id="152"/>
      <w:bookmarkEnd w:id="153"/>
      <w:bookmarkEnd w:id="154"/>
      <w:bookmarkEnd w:id="155"/>
    </w:p>
    <w:tbl>
      <w:tblPr>
        <w:tblStyle w:val="37"/>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宋体" w:hAnsi="宋体"/>
                <w:color w:val="auto"/>
                <w:sz w:val="24"/>
                <w:highlight w:val="none"/>
              </w:rPr>
            </w:pPr>
            <w:r>
              <w:rPr>
                <w:rFonts w:hint="eastAsia" w:ascii="宋体" w:hAnsi="宋体"/>
                <w:color w:val="auto"/>
                <w:sz w:val="24"/>
                <w:highlight w:val="none"/>
              </w:rPr>
              <w:t>序号</w:t>
            </w:r>
          </w:p>
        </w:tc>
        <w:tc>
          <w:tcPr>
            <w:tcW w:w="1034" w:type="dxa"/>
            <w:tcBorders>
              <w:top w:val="single" w:color="auto" w:sz="12" w:space="0"/>
              <w:bottom w:val="double" w:color="auto" w:sz="4" w:space="0"/>
            </w:tcBorders>
            <w:shd w:val="clear" w:color="auto" w:fill="EEECE1"/>
            <w:vAlign w:val="center"/>
          </w:tcPr>
          <w:p>
            <w:pPr>
              <w:pStyle w:val="75"/>
              <w:keepNext w:val="0"/>
              <w:snapToGrid w:val="0"/>
              <w:spacing w:before="0" w:after="0" w:line="240" w:lineRule="auto"/>
              <w:textAlignment w:val="auto"/>
              <w:rPr>
                <w:rFonts w:ascii="宋体" w:hAnsi="宋体"/>
                <w:snapToGrid/>
                <w:color w:val="auto"/>
                <w:spacing w:val="0"/>
                <w:kern w:val="2"/>
                <w:szCs w:val="24"/>
                <w:highlight w:val="none"/>
              </w:rPr>
            </w:pPr>
            <w:r>
              <w:rPr>
                <w:rFonts w:hint="eastAsia" w:ascii="宋体" w:hAnsi="宋体"/>
                <w:snapToGrid/>
                <w:color w:val="auto"/>
                <w:spacing w:val="0"/>
                <w:kern w:val="2"/>
                <w:szCs w:val="24"/>
                <w:highlight w:val="none"/>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宋体" w:hAnsi="宋体"/>
                <w:color w:val="auto"/>
                <w:sz w:val="24"/>
                <w:highlight w:val="none"/>
              </w:rPr>
            </w:pPr>
          </w:p>
        </w:tc>
        <w:tc>
          <w:tcPr>
            <w:tcW w:w="1034" w:type="dxa"/>
            <w:tcBorders>
              <w:top w:val="double" w:color="auto" w:sz="4" w:space="0"/>
            </w:tcBorders>
            <w:vAlign w:val="center"/>
          </w:tcPr>
          <w:p>
            <w:pPr>
              <w:spacing w:line="400" w:lineRule="exact"/>
              <w:jc w:val="center"/>
              <w:rPr>
                <w:rFonts w:ascii="宋体" w:hAnsi="宋体"/>
                <w:color w:val="auto"/>
                <w:sz w:val="24"/>
                <w:highlight w:val="none"/>
              </w:rPr>
            </w:pPr>
          </w:p>
        </w:tc>
        <w:tc>
          <w:tcPr>
            <w:tcW w:w="823" w:type="dxa"/>
            <w:tcBorders>
              <w:top w:val="double" w:color="auto" w:sz="4" w:space="0"/>
            </w:tcBorders>
            <w:vAlign w:val="center"/>
          </w:tcPr>
          <w:p>
            <w:pPr>
              <w:spacing w:line="400" w:lineRule="exact"/>
              <w:jc w:val="center"/>
              <w:rPr>
                <w:rFonts w:ascii="宋体" w:hAnsi="宋体"/>
                <w:color w:val="auto"/>
                <w:sz w:val="24"/>
                <w:highlight w:val="none"/>
              </w:rPr>
            </w:pPr>
          </w:p>
        </w:tc>
        <w:tc>
          <w:tcPr>
            <w:tcW w:w="822" w:type="dxa"/>
            <w:tcBorders>
              <w:top w:val="double" w:color="auto" w:sz="4" w:space="0"/>
            </w:tcBorders>
            <w:vAlign w:val="center"/>
          </w:tcPr>
          <w:p>
            <w:pPr>
              <w:spacing w:line="400" w:lineRule="exact"/>
              <w:jc w:val="center"/>
              <w:rPr>
                <w:rFonts w:ascii="宋体" w:hAnsi="宋体"/>
                <w:color w:val="auto"/>
                <w:sz w:val="24"/>
                <w:highlight w:val="none"/>
              </w:rPr>
            </w:pPr>
          </w:p>
        </w:tc>
        <w:tc>
          <w:tcPr>
            <w:tcW w:w="822" w:type="dxa"/>
            <w:tcBorders>
              <w:top w:val="double" w:color="auto" w:sz="4" w:space="0"/>
            </w:tcBorders>
            <w:vAlign w:val="center"/>
          </w:tcPr>
          <w:p>
            <w:pPr>
              <w:spacing w:line="400" w:lineRule="exact"/>
              <w:jc w:val="center"/>
              <w:rPr>
                <w:rFonts w:ascii="宋体" w:hAnsi="宋体"/>
                <w:color w:val="auto"/>
                <w:sz w:val="24"/>
                <w:highlight w:val="none"/>
              </w:rPr>
            </w:pPr>
          </w:p>
        </w:tc>
        <w:tc>
          <w:tcPr>
            <w:tcW w:w="1051" w:type="dxa"/>
            <w:tcBorders>
              <w:top w:val="double" w:color="auto" w:sz="4" w:space="0"/>
            </w:tcBorders>
            <w:vAlign w:val="center"/>
          </w:tcPr>
          <w:p>
            <w:pPr>
              <w:spacing w:line="400" w:lineRule="exact"/>
              <w:jc w:val="center"/>
              <w:rPr>
                <w:rFonts w:ascii="宋体" w:hAnsi="宋体"/>
                <w:color w:val="auto"/>
                <w:sz w:val="24"/>
                <w:highlight w:val="none"/>
              </w:rPr>
            </w:pPr>
          </w:p>
        </w:tc>
        <w:tc>
          <w:tcPr>
            <w:tcW w:w="1217" w:type="dxa"/>
            <w:tcBorders>
              <w:top w:val="double" w:color="auto" w:sz="4" w:space="0"/>
            </w:tcBorders>
            <w:vAlign w:val="center"/>
          </w:tcPr>
          <w:p>
            <w:pPr>
              <w:spacing w:line="400" w:lineRule="exact"/>
              <w:jc w:val="center"/>
              <w:rPr>
                <w:rFonts w:ascii="宋体" w:hAnsi="宋体"/>
                <w:color w:val="auto"/>
                <w:sz w:val="24"/>
                <w:highlight w:val="none"/>
              </w:rPr>
            </w:pPr>
          </w:p>
        </w:tc>
        <w:tc>
          <w:tcPr>
            <w:tcW w:w="1242" w:type="dxa"/>
            <w:tcBorders>
              <w:top w:val="double" w:color="auto" w:sz="4" w:space="0"/>
            </w:tcBorders>
            <w:vAlign w:val="center"/>
          </w:tcPr>
          <w:p>
            <w:pPr>
              <w:spacing w:line="400" w:lineRule="exact"/>
              <w:jc w:val="center"/>
              <w:rPr>
                <w:rFonts w:ascii="宋体" w:hAnsi="宋体"/>
                <w:color w:val="auto"/>
                <w:sz w:val="24"/>
                <w:highlight w:val="none"/>
              </w:rPr>
            </w:pPr>
          </w:p>
        </w:tc>
        <w:tc>
          <w:tcPr>
            <w:tcW w:w="1681" w:type="dxa"/>
            <w:tcBorders>
              <w:top w:val="double" w:color="auto" w:sz="4" w:space="0"/>
            </w:tcBorders>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bl>
    <w:p>
      <w:pPr>
        <w:spacing w:line="500" w:lineRule="exact"/>
        <w:rPr>
          <w:rFonts w:ascii="宋体" w:hAnsi="宋体"/>
          <w:bCs/>
          <w:color w:val="auto"/>
          <w:sz w:val="24"/>
          <w:highlight w:val="none"/>
        </w:rPr>
      </w:pPr>
      <w:r>
        <w:rPr>
          <w:rFonts w:hint="eastAsia" w:ascii="宋体" w:hAnsi="宋体"/>
          <w:bCs/>
          <w:color w:val="auto"/>
          <w:sz w:val="24"/>
          <w:highlight w:val="none"/>
        </w:rPr>
        <w:t>备注</w:t>
      </w:r>
      <w:r>
        <w:rPr>
          <w:rFonts w:hint="eastAsia"/>
          <w:bCs/>
          <w:color w:val="auto"/>
          <w:sz w:val="24"/>
          <w:highlight w:val="none"/>
        </w:rPr>
        <w:t>：</w:t>
      </w:r>
      <w:r>
        <w:rPr>
          <w:rFonts w:hint="eastAsia" w:ascii="宋体" w:hAnsi="宋体"/>
          <w:color w:val="auto"/>
          <w:sz w:val="24"/>
          <w:highlight w:val="none"/>
        </w:rPr>
        <w:t>根据评分表的要求提交相应资料</w:t>
      </w:r>
      <w:r>
        <w:rPr>
          <w:rFonts w:hint="eastAsia" w:ascii="宋体" w:hAnsi="宋体"/>
          <w:bCs/>
          <w:color w:val="auto"/>
          <w:sz w:val="24"/>
          <w:highlight w:val="none"/>
        </w:rPr>
        <w:t>。</w:t>
      </w:r>
    </w:p>
    <w:p>
      <w:pPr>
        <w:spacing w:line="500" w:lineRule="exact"/>
        <w:ind w:firstLine="496" w:firstLineChars="200"/>
        <w:rPr>
          <w:color w:val="auto"/>
          <w:spacing w:val="4"/>
          <w:sz w:val="24"/>
          <w:highlight w:val="none"/>
        </w:rPr>
      </w:pPr>
    </w:p>
    <w:p>
      <w:pPr>
        <w:spacing w:line="500" w:lineRule="exact"/>
        <w:ind w:firstLine="436" w:firstLineChars="200"/>
        <w:rPr>
          <w:color w:val="auto"/>
          <w:spacing w:val="4"/>
          <w:highlight w:val="none"/>
        </w:rPr>
      </w:pPr>
    </w:p>
    <w:p>
      <w:pPr>
        <w:pStyle w:val="4"/>
        <w:numPr>
          <w:ilvl w:val="0"/>
          <w:numId w:val="8"/>
        </w:numPr>
        <w:tabs>
          <w:tab w:val="left" w:pos="360"/>
        </w:tabs>
        <w:spacing w:line="240" w:lineRule="auto"/>
        <w:ind w:left="0" w:firstLine="0"/>
        <w:jc w:val="center"/>
        <w:rPr>
          <w:b w:val="0"/>
          <w:color w:val="auto"/>
          <w:highlight w:val="none"/>
        </w:rPr>
      </w:pPr>
      <w:r>
        <w:rPr>
          <w:rFonts w:hint="eastAsia"/>
          <w:color w:val="auto"/>
          <w:highlight w:val="none"/>
        </w:rPr>
        <w:br w:type="page"/>
      </w:r>
      <w:bookmarkStart w:id="156" w:name="_Toc110937996"/>
      <w:r>
        <w:rPr>
          <w:rFonts w:hint="eastAsia"/>
          <w:b w:val="0"/>
          <w:color w:val="auto"/>
          <w:highlight w:val="none"/>
        </w:rPr>
        <w:t>投标人证书一览表</w:t>
      </w:r>
      <w:bookmarkEnd w:id="156"/>
    </w:p>
    <w:tbl>
      <w:tblPr>
        <w:tblStyle w:val="37"/>
        <w:tblW w:w="93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2545"/>
        <w:gridCol w:w="2400"/>
        <w:gridCol w:w="2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674" w:type="dxa"/>
            <w:shd w:val="clear" w:color="auto" w:fill="EEECE1" w:themeFill="background2"/>
          </w:tcPr>
          <w:p>
            <w:pPr>
              <w:pStyle w:val="122"/>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证书名称</w:t>
            </w:r>
          </w:p>
        </w:tc>
        <w:tc>
          <w:tcPr>
            <w:tcW w:w="2545" w:type="dxa"/>
            <w:shd w:val="clear" w:color="auto" w:fill="EEECE1" w:themeFill="background2"/>
          </w:tcPr>
          <w:p>
            <w:pPr>
              <w:pStyle w:val="122"/>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发证单位</w:t>
            </w:r>
          </w:p>
        </w:tc>
        <w:tc>
          <w:tcPr>
            <w:tcW w:w="2400" w:type="dxa"/>
            <w:shd w:val="clear" w:color="auto" w:fill="EEECE1" w:themeFill="background2"/>
          </w:tcPr>
          <w:p>
            <w:pPr>
              <w:pStyle w:val="122"/>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证书等级</w:t>
            </w:r>
          </w:p>
        </w:tc>
        <w:tc>
          <w:tcPr>
            <w:tcW w:w="2704" w:type="dxa"/>
            <w:shd w:val="clear" w:color="auto" w:fill="EEECE1" w:themeFill="background2"/>
          </w:tcPr>
          <w:p>
            <w:pPr>
              <w:pStyle w:val="122"/>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bl>
    <w:p>
      <w:pPr>
        <w:pStyle w:val="113"/>
        <w:widowControl/>
        <w:numPr>
          <w:ilvl w:val="0"/>
          <w:numId w:val="0"/>
        </w:numPr>
        <w:tabs>
          <w:tab w:val="left" w:pos="0"/>
        </w:tabs>
        <w:spacing w:line="360" w:lineRule="auto"/>
        <w:ind w:left="0" w:leftChars="0" w:firstLine="0" w:firstLineChars="0"/>
        <w:rPr>
          <w:rFonts w:ascii="宋体" w:hAnsi="宋体"/>
          <w:color w:val="auto"/>
          <w:sz w:val="24"/>
          <w:highlight w:val="none"/>
        </w:rPr>
      </w:pPr>
      <w:r>
        <w:rPr>
          <w:rFonts w:ascii="宋体" w:hAnsi="宋体" w:eastAsia="宋体" w:cs="Times New Roman"/>
          <w:color w:val="auto"/>
          <w:kern w:val="2"/>
          <w:sz w:val="24"/>
          <w:szCs w:val="24"/>
          <w:lang w:val="en-US" w:eastAsia="zh-CN" w:bidi="ar-SA"/>
        </w:rPr>
        <w:t>1.</w:t>
      </w:r>
      <w:r>
        <w:rPr>
          <w:rFonts w:hint="eastAsia" w:ascii="宋体" w:hAnsi="宋体"/>
          <w:color w:val="auto"/>
          <w:sz w:val="24"/>
          <w:highlight w:val="none"/>
        </w:rPr>
        <w:t>请根据评分表中要求填写投标人获得资质、认证或企业信誉证书。</w:t>
      </w:r>
    </w:p>
    <w:p>
      <w:pPr>
        <w:pStyle w:val="113"/>
        <w:widowControl/>
        <w:numPr>
          <w:ilvl w:val="0"/>
          <w:numId w:val="0"/>
        </w:numPr>
        <w:tabs>
          <w:tab w:val="left" w:pos="0"/>
        </w:tabs>
        <w:spacing w:line="360" w:lineRule="auto"/>
        <w:ind w:left="0" w:leftChars="0" w:firstLine="0" w:firstLineChars="0"/>
        <w:rPr>
          <w:rFonts w:ascii="宋体" w:hAnsi="宋体"/>
          <w:color w:val="auto"/>
          <w:sz w:val="24"/>
          <w:highlight w:val="none"/>
        </w:rPr>
      </w:pPr>
      <w:r>
        <w:rPr>
          <w:rFonts w:ascii="宋体" w:hAnsi="宋体" w:eastAsia="宋体" w:cs="Times New Roman"/>
          <w:color w:val="auto"/>
          <w:kern w:val="2"/>
          <w:sz w:val="24"/>
          <w:szCs w:val="24"/>
          <w:lang w:val="en-US" w:eastAsia="zh-CN" w:bidi="ar-SA"/>
        </w:rPr>
        <w:t>2.</w:t>
      </w:r>
      <w:r>
        <w:rPr>
          <w:rFonts w:hint="eastAsia" w:ascii="宋体" w:hAnsi="宋体"/>
          <w:color w:val="auto"/>
          <w:sz w:val="24"/>
          <w:highlight w:val="none"/>
        </w:rPr>
        <w:t>请提供本表所列的证书资料。</w:t>
      </w:r>
    </w:p>
    <w:p>
      <w:pPr>
        <w:spacing w:line="500" w:lineRule="exact"/>
        <w:ind w:firstLine="436" w:firstLineChars="200"/>
        <w:rPr>
          <w:color w:val="auto"/>
          <w:spacing w:val="4"/>
          <w:highlight w:val="none"/>
        </w:rPr>
      </w:pPr>
    </w:p>
    <w:p>
      <w:pPr>
        <w:widowControl/>
        <w:jc w:val="left"/>
        <w:rPr>
          <w:rFonts w:ascii="Arial" w:hAnsi="Arial" w:eastAsia="黑体"/>
          <w:bCs/>
          <w:color w:val="auto"/>
          <w:sz w:val="32"/>
          <w:szCs w:val="32"/>
          <w:highlight w:val="none"/>
        </w:rPr>
      </w:pPr>
    </w:p>
    <w:bookmarkEnd w:id="131"/>
    <w:bookmarkEnd w:id="132"/>
    <w:p>
      <w:pPr>
        <w:pStyle w:val="4"/>
        <w:numPr>
          <w:ilvl w:val="0"/>
          <w:numId w:val="8"/>
        </w:numPr>
        <w:tabs>
          <w:tab w:val="left" w:pos="360"/>
        </w:tabs>
        <w:spacing w:line="240" w:lineRule="auto"/>
        <w:ind w:left="0" w:firstLine="0"/>
        <w:jc w:val="center"/>
        <w:rPr>
          <w:b w:val="0"/>
          <w:color w:val="auto"/>
          <w:highlight w:val="none"/>
        </w:rPr>
      </w:pPr>
      <w:bookmarkStart w:id="157" w:name="_Toc50691037"/>
      <w:bookmarkStart w:id="158" w:name="_Toc43264518"/>
      <w:bookmarkStart w:id="159" w:name="_Toc50703730"/>
      <w:r>
        <w:rPr>
          <w:rFonts w:hint="eastAsia"/>
          <w:b w:val="0"/>
          <w:color w:val="auto"/>
          <w:highlight w:val="none"/>
        </w:rPr>
        <w:t>招标文件要求的其他内容及投标人认为需要加以说明其他内容</w:t>
      </w:r>
    </w:p>
    <w:p>
      <w:pPr>
        <w:pStyle w:val="113"/>
        <w:widowControl/>
        <w:numPr>
          <w:ilvl w:val="0"/>
          <w:numId w:val="0"/>
        </w:numPr>
        <w:tabs>
          <w:tab w:val="left" w:pos="0"/>
        </w:tabs>
        <w:spacing w:line="360" w:lineRule="auto"/>
        <w:ind w:left="0" w:leftChars="0" w:firstLine="0" w:firstLineChars="0"/>
        <w:rPr>
          <w:rFonts w:ascii="宋体" w:hAnsi="宋体"/>
          <w:color w:val="auto"/>
          <w:sz w:val="24"/>
          <w:highlight w:val="none"/>
        </w:rPr>
      </w:pPr>
      <w:r>
        <w:rPr>
          <w:rFonts w:hint="eastAsia" w:ascii="宋体" w:hAnsi="宋体" w:cs="Times New Roman"/>
          <w:color w:val="auto"/>
          <w:kern w:val="2"/>
          <w:sz w:val="24"/>
          <w:szCs w:val="24"/>
          <w:lang w:val="en-US" w:eastAsia="zh-CN" w:bidi="ar-SA"/>
        </w:rPr>
        <w:t>格式自拟</w:t>
      </w:r>
      <w:r>
        <w:rPr>
          <w:rFonts w:hint="eastAsia" w:ascii="宋体" w:hAnsi="宋体"/>
          <w:color w:val="auto"/>
          <w:sz w:val="24"/>
          <w:highlight w:val="none"/>
        </w:rPr>
        <w:t>。</w:t>
      </w:r>
    </w:p>
    <w:p>
      <w:pPr>
        <w:spacing w:line="520" w:lineRule="exact"/>
        <w:ind w:firstLine="436" w:firstLineChars="200"/>
        <w:rPr>
          <w:color w:val="auto"/>
          <w:spacing w:val="4"/>
          <w:highlight w:val="none"/>
        </w:rPr>
        <w:sectPr>
          <w:pgSz w:w="11906" w:h="16838"/>
          <w:pgMar w:top="1440" w:right="1286" w:bottom="1440" w:left="1440" w:header="851" w:footer="992" w:gutter="0"/>
          <w:cols w:space="720" w:num="1"/>
          <w:docGrid w:type="lines" w:linePitch="312" w:charSpace="0"/>
        </w:sectPr>
      </w:pPr>
    </w:p>
    <w:bookmarkEnd w:id="157"/>
    <w:bookmarkEnd w:id="158"/>
    <w:bookmarkEnd w:id="159"/>
    <w:p>
      <w:pPr>
        <w:pStyle w:val="3"/>
        <w:jc w:val="center"/>
        <w:rPr>
          <w:rFonts w:asciiTheme="majorEastAsia" w:hAnsiTheme="majorEastAsia" w:eastAsiaTheme="majorEastAsia" w:cstheme="majorEastAsia"/>
          <w:color w:val="auto"/>
          <w:sz w:val="32"/>
          <w:szCs w:val="32"/>
          <w:highlight w:val="none"/>
        </w:rPr>
      </w:pPr>
      <w:bookmarkStart w:id="160" w:name="_Toc435174932"/>
      <w:bookmarkStart w:id="161" w:name="_Toc438223135"/>
      <w:bookmarkStart w:id="162" w:name="_Toc13635"/>
      <w:bookmarkStart w:id="163" w:name="_Toc77947888"/>
      <w:bookmarkStart w:id="164" w:name="_Toc4723"/>
      <w:bookmarkStart w:id="165" w:name="_Toc5615_WPSOffice_Level1"/>
      <w:bookmarkStart w:id="166" w:name="_Toc8307307"/>
      <w:bookmarkStart w:id="167" w:name="_Toc435516649"/>
      <w:r>
        <w:rPr>
          <w:rFonts w:hint="eastAsia" w:asciiTheme="majorEastAsia" w:hAnsiTheme="majorEastAsia" w:eastAsiaTheme="majorEastAsia" w:cstheme="majorEastAsia"/>
          <w:color w:val="auto"/>
          <w:sz w:val="32"/>
          <w:szCs w:val="32"/>
          <w:highlight w:val="none"/>
        </w:rPr>
        <w:t>第七章 投标人须知</w:t>
      </w:r>
      <w:bookmarkEnd w:id="160"/>
      <w:bookmarkEnd w:id="161"/>
      <w:bookmarkEnd w:id="162"/>
      <w:bookmarkEnd w:id="163"/>
      <w:bookmarkEnd w:id="164"/>
      <w:bookmarkEnd w:id="165"/>
      <w:bookmarkEnd w:id="166"/>
      <w:bookmarkEnd w:id="167"/>
    </w:p>
    <w:p>
      <w:pPr>
        <w:pStyle w:val="4"/>
        <w:numPr>
          <w:ilvl w:val="0"/>
          <w:numId w:val="11"/>
        </w:numPr>
        <w:spacing w:line="240" w:lineRule="auto"/>
        <w:jc w:val="center"/>
        <w:rPr>
          <w:rFonts w:asciiTheme="majorEastAsia" w:hAnsiTheme="majorEastAsia" w:eastAsiaTheme="majorEastAsia"/>
          <w:color w:val="auto"/>
          <w:sz w:val="30"/>
          <w:szCs w:val="30"/>
          <w:highlight w:val="none"/>
        </w:rPr>
      </w:pPr>
      <w:bookmarkStart w:id="168" w:name="_Toc435516650"/>
      <w:bookmarkStart w:id="169" w:name="_Toc77947889"/>
      <w:bookmarkStart w:id="170" w:name="_Toc1658"/>
      <w:bookmarkStart w:id="171" w:name="_Toc435174933"/>
      <w:bookmarkStart w:id="172" w:name="_Toc438223136"/>
      <w:r>
        <w:rPr>
          <w:rFonts w:asciiTheme="majorEastAsia" w:hAnsiTheme="majorEastAsia" w:eastAsiaTheme="majorEastAsia"/>
          <w:color w:val="auto"/>
          <w:sz w:val="30"/>
          <w:szCs w:val="30"/>
          <w:highlight w:val="none"/>
          <w:lang w:eastAsia="zh-TW"/>
        </w:rPr>
        <w:t>说 明</w:t>
      </w:r>
      <w:bookmarkEnd w:id="168"/>
      <w:bookmarkEnd w:id="169"/>
      <w:bookmarkEnd w:id="170"/>
      <w:bookmarkEnd w:id="171"/>
      <w:bookmarkEnd w:id="172"/>
      <w:bookmarkStart w:id="173" w:name="_Toc292267791"/>
    </w:p>
    <w:bookmarkEnd w:id="173"/>
    <w:p>
      <w:pPr>
        <w:numPr>
          <w:ilvl w:val="0"/>
          <w:numId w:val="12"/>
        </w:numPr>
        <w:autoSpaceDE w:val="0"/>
        <w:autoSpaceDN w:val="0"/>
        <w:adjustRightInd w:val="0"/>
        <w:snapToGrid w:val="0"/>
        <w:spacing w:line="360" w:lineRule="auto"/>
        <w:outlineLvl w:val="2"/>
        <w:rPr>
          <w:rFonts w:ascii="宋体" w:hAnsi="宋体"/>
          <w:b/>
          <w:bCs/>
          <w:color w:val="auto"/>
          <w:szCs w:val="21"/>
          <w:highlight w:val="none"/>
        </w:rPr>
      </w:pPr>
      <w:bookmarkStart w:id="174" w:name="_Toc23054"/>
      <w:r>
        <w:rPr>
          <w:rFonts w:hint="eastAsia" w:ascii="宋体" w:hAnsi="宋体"/>
          <w:b/>
          <w:bCs/>
          <w:color w:val="auto"/>
          <w:szCs w:val="21"/>
          <w:highlight w:val="none"/>
        </w:rPr>
        <w:t>适用范围</w:t>
      </w:r>
      <w:bookmarkEnd w:id="174"/>
    </w:p>
    <w:p>
      <w:pPr>
        <w:numPr>
          <w:ilvl w:val="1"/>
          <w:numId w:val="12"/>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本招标文件适用于本投标邀请中所述采购项目。</w:t>
      </w:r>
    </w:p>
    <w:p>
      <w:pPr>
        <w:numPr>
          <w:ilvl w:val="0"/>
          <w:numId w:val="12"/>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bookmarkStart w:id="175" w:name="_Toc28379"/>
      <w:r>
        <w:rPr>
          <w:rFonts w:hint="eastAsia" w:ascii="宋体" w:hAnsi="宋体"/>
          <w:b/>
          <w:color w:val="auto"/>
          <w:szCs w:val="21"/>
          <w:highlight w:val="none"/>
        </w:rPr>
        <w:t>定义</w:t>
      </w:r>
      <w:bookmarkEnd w:id="175"/>
    </w:p>
    <w:p>
      <w:pPr>
        <w:numPr>
          <w:ilvl w:val="1"/>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采购人指各级</w:t>
      </w:r>
      <w:r>
        <w:rPr>
          <w:rFonts w:ascii="宋体" w:hAnsi="宋体"/>
          <w:color w:val="auto"/>
          <w:szCs w:val="21"/>
          <w:highlight w:val="none"/>
        </w:rPr>
        <w:t>国家机关、事业单位和团体组织</w:t>
      </w:r>
      <w:r>
        <w:rPr>
          <w:rFonts w:hint="eastAsia" w:ascii="宋体" w:hAnsi="宋体"/>
          <w:color w:val="auto"/>
          <w:szCs w:val="21"/>
          <w:highlight w:val="none"/>
        </w:rPr>
        <w:t>。</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中所述的采购人已拥有一笔</w:t>
      </w: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。采购人计划将一部分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供应商是指向采购人提供货物、工程或者服务的法人、其他组织或者自然人。</w:t>
      </w:r>
    </w:p>
    <w:p>
      <w:pPr>
        <w:numPr>
          <w:ilvl w:val="1"/>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6" w:name="_Toc4681"/>
      <w:r>
        <w:rPr>
          <w:rFonts w:hint="eastAsia" w:ascii="宋体" w:hAnsi="宋体"/>
          <w:b/>
          <w:bCs/>
          <w:color w:val="auto"/>
          <w:szCs w:val="21"/>
          <w:highlight w:val="none"/>
        </w:rPr>
        <w:t>合格的货物和服务</w:t>
      </w:r>
      <w:bookmarkEnd w:id="176"/>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“服务”是指除货物和工程以外的其他政府采购对象，其中包括：投标人须承担的运输、安装、技术支持、培训以及招标文件规定的其他服务。</w:t>
      </w:r>
    </w:p>
    <w:p>
      <w:pPr>
        <w:numPr>
          <w:ilvl w:val="1"/>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1"/>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若所投产品属于政府强制采购节能产品的，则投标人必须提供该产品国家强制性节能产品进行响应，并提供强制性节能产品认证证书，否则视为无效投标。</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7" w:name="_Toc4403"/>
      <w:r>
        <w:rPr>
          <w:rFonts w:hint="eastAsia" w:ascii="宋体" w:hAnsi="宋体"/>
          <w:b/>
          <w:bCs/>
          <w:color w:val="auto"/>
          <w:szCs w:val="21"/>
          <w:highlight w:val="none"/>
        </w:rPr>
        <w:t>投标费用</w:t>
      </w:r>
      <w:bookmarkEnd w:id="177"/>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采购人均无义务和责任承担这些费用</w:t>
      </w:r>
      <w:r>
        <w:rPr>
          <w:rFonts w:hint="eastAsia" w:ascii="宋体" w:hAnsi="宋体" w:cs="宋体"/>
          <w:color w:val="auto"/>
          <w:szCs w:val="21"/>
          <w:highlight w:val="none"/>
        </w:rPr>
        <w:t>。</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8" w:name="_Toc27847"/>
      <w:r>
        <w:rPr>
          <w:rFonts w:hint="eastAsia" w:ascii="宋体" w:hAnsi="宋体"/>
          <w:b/>
          <w:bCs/>
          <w:color w:val="auto"/>
          <w:szCs w:val="21"/>
          <w:highlight w:val="none"/>
        </w:rPr>
        <w:t>其他</w:t>
      </w:r>
      <w:bookmarkEnd w:id="178"/>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1"/>
          <w:numId w:val="12"/>
        </w:numPr>
        <w:adjustRightInd w:val="0"/>
        <w:snapToGrid w:val="0"/>
        <w:spacing w:line="360" w:lineRule="auto"/>
        <w:rPr>
          <w:rFonts w:cs="宋体" w:asciiTheme="minorEastAsia" w:hAnsiTheme="minorEastAsia" w:eastAsiaTheme="minorEastAsia"/>
          <w:bCs/>
          <w:color w:val="auto"/>
          <w:szCs w:val="21"/>
          <w:highlight w:val="none"/>
        </w:rPr>
      </w:pPr>
      <w:bookmarkStart w:id="179"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80" w:name="_Hlk21591509"/>
      <w:r>
        <w:rPr>
          <w:rFonts w:hint="eastAsia" w:asciiTheme="minorEastAsia" w:hAnsiTheme="minorEastAsia" w:eastAsiaTheme="minorEastAsia"/>
          <w:color w:val="auto"/>
          <w:szCs w:val="21"/>
          <w:highlight w:val="none"/>
        </w:rPr>
        <w:t>供应商限制参与政府采购</w:t>
      </w:r>
      <w:bookmarkEnd w:id="180"/>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t>
      </w:r>
      <w:r>
        <w:rPr>
          <w:rFonts w:hint="eastAsia" w:asciiTheme="minorEastAsia" w:hAnsiTheme="minorEastAsia" w:eastAsiaTheme="minorEastAsia"/>
          <w:color w:val="auto"/>
          <w:szCs w:val="21"/>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4"/>
          <w:rFonts w:asciiTheme="minorEastAsia" w:hAnsiTheme="minorEastAsia" w:eastAsiaTheme="minorEastAsia"/>
          <w:color w:val="auto"/>
          <w:sz w:val="21"/>
          <w:szCs w:val="21"/>
          <w:highlight w:val="none"/>
        </w:rPr>
        <w:t>www.creditchina.gov.cn</w:t>
      </w:r>
      <w:r>
        <w:rPr>
          <w:rStyle w:val="44"/>
          <w:rFonts w:asciiTheme="minorEastAsia" w:hAnsiTheme="minorEastAsia" w:eastAsiaTheme="minorEastAsia"/>
          <w:color w:val="auto"/>
          <w:sz w:val="21"/>
          <w:szCs w:val="21"/>
          <w:highlight w:val="none"/>
        </w:rPr>
        <w:fldChar w:fldCharType="end"/>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t>重大税收违法案件当事人名单</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中国政府采购网</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www.ccgp.gov.cn</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79"/>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深圳市政府采购监督管理网（zfcg.sz.gov.cn）查询相关主体信用记录，对不符合《中华人民共和国政府采购法》第二十二条规定条件的供应商限制参与政府采购。本项目不接受</w:t>
      </w:r>
      <w:r>
        <w:rPr>
          <w:rFonts w:hint="eastAsia" w:cs="宋体" w:asciiTheme="minorEastAsia" w:hAnsiTheme="minorEastAsia" w:eastAsiaTheme="minorEastAsia"/>
          <w:color w:val="auto"/>
          <w:szCs w:val="21"/>
          <w:highlight w:val="none"/>
        </w:rPr>
        <w:t>联合体投标</w:t>
      </w:r>
      <w:r>
        <w:rPr>
          <w:rFonts w:cs="宋体" w:asciiTheme="minorEastAsia" w:hAnsiTheme="minorEastAsia" w:eastAsiaTheme="minorEastAsia"/>
          <w:color w:val="auto"/>
          <w:szCs w:val="21"/>
          <w:highlight w:val="none"/>
        </w:rPr>
        <w:t>。</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。由采购人对信用信息查询记录和证据截图或下载存档，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pPr>
        <w:pStyle w:val="4"/>
        <w:numPr>
          <w:ilvl w:val="0"/>
          <w:numId w:val="11"/>
        </w:numPr>
        <w:spacing w:line="240" w:lineRule="auto"/>
        <w:jc w:val="center"/>
        <w:rPr>
          <w:rFonts w:asciiTheme="majorEastAsia" w:hAnsiTheme="majorEastAsia" w:eastAsiaTheme="majorEastAsia"/>
          <w:color w:val="auto"/>
          <w:sz w:val="30"/>
          <w:szCs w:val="30"/>
          <w:highlight w:val="none"/>
          <w:lang w:eastAsia="zh-TW"/>
        </w:rPr>
      </w:pPr>
      <w:bookmarkStart w:id="181" w:name="_Toc438223137"/>
      <w:bookmarkStart w:id="182" w:name="_Toc77947890"/>
      <w:bookmarkStart w:id="183" w:name="_Toc435174934"/>
      <w:bookmarkStart w:id="184" w:name="_Toc435516651"/>
      <w:bookmarkStart w:id="185" w:name="_Toc21826"/>
      <w:r>
        <w:rPr>
          <w:rFonts w:hint="eastAsia" w:asciiTheme="majorEastAsia" w:hAnsiTheme="majorEastAsia" w:eastAsiaTheme="majorEastAsia"/>
          <w:color w:val="auto"/>
          <w:sz w:val="30"/>
          <w:szCs w:val="30"/>
          <w:highlight w:val="none"/>
          <w:lang w:eastAsia="zh-TW"/>
        </w:rPr>
        <w:t>招标文件</w:t>
      </w:r>
      <w:bookmarkEnd w:id="181"/>
      <w:bookmarkEnd w:id="182"/>
      <w:bookmarkEnd w:id="183"/>
      <w:bookmarkEnd w:id="184"/>
      <w:bookmarkEnd w:id="185"/>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6" w:name="_Toc23967"/>
      <w:r>
        <w:rPr>
          <w:rFonts w:hint="eastAsia" w:ascii="宋体" w:hAnsi="宋体"/>
          <w:b/>
          <w:bCs/>
          <w:color w:val="auto"/>
          <w:szCs w:val="21"/>
          <w:highlight w:val="none"/>
        </w:rPr>
        <w:t>招标文件的构成</w:t>
      </w:r>
      <w:bookmarkEnd w:id="186"/>
    </w:p>
    <w:p>
      <w:pPr>
        <w:numPr>
          <w:ilvl w:val="1"/>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第一章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投标邀请</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第二章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投标资料表</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用户需求书</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四</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评标、定标</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五</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合同</w:t>
      </w:r>
      <w:r>
        <w:rPr>
          <w:rFonts w:hint="eastAsia" w:ascii="宋体" w:hAnsi="宋体" w:cs="宋体"/>
          <w:color w:val="auto"/>
          <w:szCs w:val="21"/>
          <w:highlight w:val="none"/>
        </w:rPr>
        <w:t>文本</w:t>
      </w:r>
    </w:p>
    <w:p>
      <w:pPr>
        <w:snapToGrid w:val="0"/>
        <w:spacing w:line="360" w:lineRule="auto"/>
        <w:ind w:left="445" w:leftChars="212" w:firstLine="1"/>
        <w:rPr>
          <w:rFonts w:ascii="宋体" w:hAnsi="宋体" w:cs="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六</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投标文件格式</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rPr>
        <w:t>第七章　</w:t>
      </w:r>
      <w:r>
        <w:rPr>
          <w:rFonts w:hint="eastAsia" w:ascii="宋体" w:hAnsi="宋体" w:cs="宋体"/>
          <w:color w:val="auto"/>
          <w:szCs w:val="21"/>
          <w:highlight w:val="none"/>
          <w:lang w:eastAsia="zh-TW"/>
        </w:rPr>
        <w:t>投标人须知</w:t>
      </w:r>
    </w:p>
    <w:p>
      <w:pPr>
        <w:numPr>
          <w:ilvl w:val="1"/>
          <w:numId w:val="12"/>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rPr>
        <w:t>深圳</w:t>
      </w:r>
      <w:r>
        <w:rPr>
          <w:rFonts w:hint="eastAsia" w:ascii="宋体" w:hAnsi="宋体" w:cs="宋体"/>
          <w:color w:val="auto"/>
          <w:szCs w:val="21"/>
          <w:highlight w:val="none"/>
          <w:lang w:val="en-US" w:eastAsia="zh-CN"/>
        </w:rPr>
        <w:t>利盛</w:t>
      </w:r>
      <w:r>
        <w:rPr>
          <w:rFonts w:hint="eastAsia" w:ascii="宋体" w:hAnsi="宋体" w:cs="宋体"/>
          <w:color w:val="auto"/>
          <w:szCs w:val="21"/>
          <w:highlight w:val="none"/>
        </w:rPr>
        <w:t>管理</w:t>
      </w:r>
      <w:r>
        <w:rPr>
          <w:rFonts w:hint="eastAsia" w:ascii="宋体" w:hAnsi="宋体" w:cs="宋体"/>
          <w:color w:val="auto"/>
          <w:szCs w:val="21"/>
          <w:highlight w:val="none"/>
          <w:lang w:val="en-US" w:eastAsia="zh-CN"/>
        </w:rPr>
        <w:t>咨询</w:t>
      </w:r>
      <w:r>
        <w:rPr>
          <w:rFonts w:hint="eastAsia" w:ascii="宋体" w:hAnsi="宋体" w:cs="宋体"/>
          <w:color w:val="auto"/>
          <w:szCs w:val="21"/>
          <w:highlight w:val="none"/>
        </w:rPr>
        <w:t>有限公司</w:t>
      </w:r>
      <w:r>
        <w:rPr>
          <w:rFonts w:hint="eastAsia" w:ascii="宋体" w:hAnsi="宋体" w:cs="宋体"/>
          <w:color w:val="auto"/>
          <w:szCs w:val="21"/>
          <w:highlight w:val="none"/>
          <w:lang w:eastAsia="zh-TW"/>
        </w:rPr>
        <w:t>”所有。</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7" w:name="_Toc9423"/>
      <w:r>
        <w:rPr>
          <w:rFonts w:hint="eastAsia" w:ascii="宋体" w:hAnsi="宋体"/>
          <w:b/>
          <w:bCs/>
          <w:color w:val="auto"/>
          <w:szCs w:val="21"/>
          <w:highlight w:val="none"/>
        </w:rPr>
        <w:t>招标文件的澄清或修改</w:t>
      </w:r>
      <w:bookmarkEnd w:id="187"/>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采购人可以对已发出的招标文件进行必要的澄清或者修改。澄清或者修改应当在原公告发布媒体上发布澄清</w:t>
      </w:r>
      <w:r>
        <w:rPr>
          <w:rFonts w:hint="eastAsia" w:ascii="宋体" w:hAnsi="宋体"/>
          <w:color w:val="auto"/>
          <w:szCs w:val="21"/>
          <w:highlight w:val="none"/>
        </w:rPr>
        <w:t>（更正/变更）</w:t>
      </w:r>
      <w:r>
        <w:rPr>
          <w:rFonts w:hint="eastAsia" w:ascii="宋体" w:hAnsi="宋体" w:cs="宋体"/>
          <w:color w:val="auto"/>
          <w:szCs w:val="21"/>
          <w:highlight w:val="none"/>
          <w:lang w:eastAsia="zh-TW"/>
        </w:rPr>
        <w:t>公告。</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无论出于何种原因</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采购人可以主动地或在解答投标人提出的疑问时对已发出的招标文件进行必要的</w:t>
      </w:r>
      <w:r>
        <w:rPr>
          <w:rFonts w:hint="eastAsia" w:ascii="宋体" w:hAnsi="宋体"/>
          <w:color w:val="auto"/>
          <w:szCs w:val="21"/>
          <w:highlight w:val="none"/>
        </w:rPr>
        <w:t>澄清或</w:t>
      </w:r>
      <w:r>
        <w:rPr>
          <w:rFonts w:hint="eastAsia" w:ascii="宋体" w:hAnsi="宋体" w:cs="宋体"/>
          <w:color w:val="auto"/>
          <w:szCs w:val="21"/>
          <w:highlight w:val="none"/>
          <w:lang w:eastAsia="zh-TW"/>
        </w:rPr>
        <w:t>修改</w:t>
      </w:r>
      <w:r>
        <w:rPr>
          <w:rFonts w:hint="eastAsia" w:ascii="宋体" w:hAnsi="宋体"/>
          <w:color w:val="auto"/>
          <w:szCs w:val="21"/>
          <w:highlight w:val="none"/>
        </w:rPr>
        <w:t>（更正）</w:t>
      </w:r>
      <w:r>
        <w:rPr>
          <w:rFonts w:hint="eastAsia" w:ascii="宋体" w:hAnsi="宋体" w:cs="宋体"/>
          <w:color w:val="auto"/>
          <w:szCs w:val="21"/>
          <w:highlight w:val="none"/>
        </w:rPr>
        <w:t>的</w:t>
      </w:r>
      <w:r>
        <w:rPr>
          <w:rFonts w:hint="eastAsia" w:ascii="宋体" w:hAnsi="宋体"/>
          <w:color w:val="auto"/>
          <w:szCs w:val="21"/>
          <w:highlight w:val="none"/>
        </w:rPr>
        <w:t>，于投标截止时间前在指定媒体上发布公告，并通知所有报名的投标</w:t>
      </w:r>
      <w:r>
        <w:rPr>
          <w:rFonts w:hint="eastAsia" w:ascii="宋体" w:hAnsi="宋体" w:cs="宋体"/>
          <w:color w:val="auto"/>
          <w:szCs w:val="21"/>
          <w:highlight w:val="none"/>
        </w:rPr>
        <w:t>人</w:t>
      </w:r>
      <w:r>
        <w:rPr>
          <w:rFonts w:hint="eastAsia" w:ascii="宋体" w:hAnsi="宋体"/>
          <w:color w:val="auto"/>
          <w:szCs w:val="21"/>
          <w:highlight w:val="none"/>
        </w:rPr>
        <w:t>，报名的投标人在收到澄清或修改（更正）通知后应按要求以书面形式（传真有效）予以确认，</w:t>
      </w:r>
      <w:r>
        <w:rPr>
          <w:rFonts w:hint="eastAsia" w:ascii="宋体" w:hAnsi="宋体" w:cs="宋体"/>
          <w:color w:val="auto"/>
          <w:szCs w:val="21"/>
          <w:highlight w:val="none"/>
          <w:lang w:eastAsia="zh-TW"/>
        </w:rPr>
        <w:t>如在24小时之内无书面回函则视为同意修改内容，并有责任履行相应的义务。</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采购人</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并对供应商具有约束力</w:t>
      </w:r>
      <w:r>
        <w:rPr>
          <w:rFonts w:hint="eastAsia" w:ascii="宋体" w:hAnsi="宋体" w:cs="宋体"/>
          <w:color w:val="auto"/>
          <w:szCs w:val="21"/>
          <w:highlight w:val="none"/>
        </w:rPr>
        <w:t>。</w:t>
      </w:r>
    </w:p>
    <w:p>
      <w:pPr>
        <w:numPr>
          <w:ilvl w:val="1"/>
          <w:numId w:val="12"/>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对招标文件中描述</w:t>
      </w:r>
      <w:r>
        <w:rPr>
          <w:rFonts w:hint="eastAsia" w:ascii="宋体" w:hAnsi="宋体" w:cs="宋体"/>
          <w:color w:val="auto"/>
          <w:szCs w:val="21"/>
          <w:highlight w:val="none"/>
        </w:rPr>
        <w:t>有歧义</w:t>
      </w:r>
      <w:r>
        <w:rPr>
          <w:rFonts w:hint="eastAsia" w:ascii="宋体" w:hAnsi="宋体" w:cs="宋体"/>
          <w:color w:val="auto"/>
          <w:szCs w:val="21"/>
          <w:highlight w:val="none"/>
          <w:lang w:eastAsia="zh-TW"/>
        </w:rPr>
        <w:t>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numPr>
          <w:ilvl w:val="0"/>
          <w:numId w:val="12"/>
        </w:numPr>
        <w:autoSpaceDE w:val="0"/>
        <w:autoSpaceDN w:val="0"/>
        <w:adjustRightInd w:val="0"/>
        <w:snapToGrid w:val="0"/>
        <w:spacing w:line="360" w:lineRule="auto"/>
        <w:ind w:left="449" w:hanging="449" w:hangingChars="213"/>
        <w:outlineLvl w:val="2"/>
        <w:rPr>
          <w:rFonts w:ascii="宋体" w:hAnsi="宋体" w:cs="宋体"/>
          <w:color w:val="auto"/>
          <w:szCs w:val="21"/>
          <w:highlight w:val="none"/>
        </w:rPr>
      </w:pPr>
      <w:bookmarkStart w:id="188" w:name="_Toc32090"/>
      <w:r>
        <w:rPr>
          <w:rFonts w:hint="eastAsia" w:ascii="宋体" w:hAnsi="宋体"/>
          <w:b/>
          <w:bCs/>
          <w:color w:val="auto"/>
          <w:szCs w:val="21"/>
          <w:highlight w:val="none"/>
        </w:rPr>
        <w:t>现场考察或者召开开标前答疑会</w:t>
      </w:r>
      <w:bookmarkEnd w:id="188"/>
    </w:p>
    <w:p>
      <w:pPr>
        <w:numPr>
          <w:ilvl w:val="1"/>
          <w:numId w:val="12"/>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除非</w:t>
      </w:r>
      <w:r>
        <w:rPr>
          <w:rFonts w:hint="eastAsia" w:ascii="宋体" w:hAnsi="宋体" w:cs="黑体"/>
          <w:b/>
          <w:color w:val="auto"/>
          <w:szCs w:val="21"/>
          <w:highlight w:val="none"/>
        </w:rPr>
        <w:t>投标资料表</w:t>
      </w:r>
      <w:r>
        <w:rPr>
          <w:rFonts w:hint="eastAsia" w:ascii="宋体" w:hAnsi="宋体" w:cs="宋体"/>
          <w:color w:val="auto"/>
          <w:szCs w:val="21"/>
          <w:highlight w:val="none"/>
        </w:rPr>
        <w:t>中另有规定，不举行项目</w:t>
      </w:r>
      <w:r>
        <w:rPr>
          <w:rFonts w:hint="eastAsia" w:ascii="宋体" w:hAnsi="宋体"/>
          <w:bCs/>
          <w:color w:val="auto"/>
          <w:szCs w:val="21"/>
          <w:highlight w:val="none"/>
        </w:rPr>
        <w:t>现场考察或者召开评标前答疑会</w:t>
      </w:r>
      <w:r>
        <w:rPr>
          <w:rFonts w:hint="eastAsia" w:ascii="宋体" w:hAnsi="宋体" w:cs="宋体"/>
          <w:color w:val="auto"/>
          <w:szCs w:val="21"/>
          <w:highlight w:val="none"/>
        </w:rPr>
        <w:t>，如举行</w:t>
      </w:r>
      <w:r>
        <w:rPr>
          <w:rFonts w:hint="eastAsia" w:ascii="宋体" w:hAnsi="宋体"/>
          <w:bCs/>
          <w:color w:val="auto"/>
          <w:szCs w:val="21"/>
          <w:highlight w:val="none"/>
        </w:rPr>
        <w:t>现场考察或者召开评标前答疑会</w:t>
      </w:r>
      <w:r>
        <w:rPr>
          <w:rFonts w:hint="eastAsia" w:ascii="宋体" w:hAnsi="宋体" w:cs="宋体"/>
          <w:color w:val="auto"/>
          <w:szCs w:val="21"/>
          <w:highlight w:val="none"/>
        </w:rPr>
        <w:t>的，则按以下规定：</w:t>
      </w:r>
    </w:p>
    <w:p>
      <w:pPr>
        <w:numPr>
          <w:ilvl w:val="2"/>
          <w:numId w:val="12"/>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在</w:t>
      </w:r>
      <w:r>
        <w:rPr>
          <w:rFonts w:hint="eastAsia" w:ascii="宋体" w:hAnsi="宋体" w:cs="黑体"/>
          <w:color w:val="auto"/>
          <w:szCs w:val="21"/>
          <w:highlight w:val="none"/>
          <w:lang w:eastAsia="zh-TW"/>
        </w:rPr>
        <w:t>投标资料表</w:t>
      </w:r>
      <w:r>
        <w:rPr>
          <w:rFonts w:hint="eastAsia" w:ascii="宋体" w:hAnsi="宋体" w:cs="宋体"/>
          <w:color w:val="auto"/>
          <w:szCs w:val="21"/>
          <w:highlight w:val="none"/>
        </w:rPr>
        <w:t>中规定的日期、时间和地点组织</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rPr>
        <w:t>；</w:t>
      </w:r>
    </w:p>
    <w:p>
      <w:pPr>
        <w:numPr>
          <w:ilvl w:val="2"/>
          <w:numId w:val="12"/>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对本项目提出的疑问，</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在</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lang w:eastAsia="zh-TW"/>
        </w:rPr>
        <w:t>召开日前至少一个工作日将问题清单以书面形式（加盖公章）提交至采购人。</w:t>
      </w:r>
    </w:p>
    <w:p>
      <w:pPr>
        <w:pStyle w:val="4"/>
        <w:numPr>
          <w:ilvl w:val="0"/>
          <w:numId w:val="11"/>
        </w:numPr>
        <w:spacing w:line="240" w:lineRule="auto"/>
        <w:jc w:val="center"/>
        <w:rPr>
          <w:rFonts w:asciiTheme="majorEastAsia" w:hAnsiTheme="majorEastAsia" w:eastAsiaTheme="majorEastAsia"/>
          <w:color w:val="auto"/>
          <w:sz w:val="30"/>
          <w:szCs w:val="30"/>
          <w:highlight w:val="none"/>
          <w:lang w:eastAsia="zh-TW"/>
        </w:rPr>
      </w:pPr>
      <w:bookmarkStart w:id="189" w:name="_Toc438223138"/>
      <w:bookmarkStart w:id="190" w:name="_Toc15510"/>
      <w:bookmarkStart w:id="191" w:name="_Toc77947891"/>
      <w:bookmarkStart w:id="192" w:name="_Toc435174935"/>
      <w:bookmarkStart w:id="193" w:name="_Toc435516652"/>
      <w:r>
        <w:rPr>
          <w:rFonts w:hint="eastAsia" w:asciiTheme="majorEastAsia" w:hAnsiTheme="majorEastAsia" w:eastAsiaTheme="majorEastAsia"/>
          <w:color w:val="auto"/>
          <w:sz w:val="30"/>
          <w:szCs w:val="30"/>
          <w:highlight w:val="none"/>
          <w:lang w:eastAsia="zh-TW"/>
        </w:rPr>
        <w:t>投标文件的编制</w:t>
      </w:r>
      <w:bookmarkEnd w:id="189"/>
      <w:bookmarkEnd w:id="190"/>
      <w:bookmarkEnd w:id="191"/>
      <w:bookmarkEnd w:id="192"/>
      <w:bookmarkEnd w:id="193"/>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4" w:name="_Toc27317"/>
      <w:r>
        <w:rPr>
          <w:rFonts w:hint="eastAsia" w:ascii="宋体" w:hAnsi="宋体"/>
          <w:b/>
          <w:bCs/>
          <w:color w:val="auto"/>
          <w:szCs w:val="21"/>
          <w:highlight w:val="none"/>
        </w:rPr>
        <w:t>投标的语言</w:t>
      </w:r>
      <w:bookmarkEnd w:id="194"/>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投标人提交的投标文件以及投标人与采购人就有关投标的所有来往函电均应使用中文书写</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标人提交的支持文件或印刷的资料可以用另一种语言</w:t>
      </w:r>
      <w:r>
        <w:rPr>
          <w:rFonts w:hint="eastAsia" w:ascii="宋体" w:hAnsi="宋体" w:cs="宋体"/>
          <w:color w:val="auto"/>
          <w:szCs w:val="21"/>
          <w:highlight w:val="none"/>
        </w:rPr>
        <w:t>，</w:t>
      </w:r>
      <w:r>
        <w:rPr>
          <w:rFonts w:hint="eastAsia" w:ascii="宋体" w:hAnsi="宋体" w:cs="宋体"/>
          <w:color w:val="auto"/>
          <w:szCs w:val="21"/>
          <w:highlight w:val="none"/>
          <w:lang w:eastAsia="zh-TW"/>
        </w:rPr>
        <w:t>但相应内容应附有中文翻译本</w:t>
      </w:r>
      <w:r>
        <w:rPr>
          <w:rFonts w:hint="eastAsia" w:ascii="宋体" w:hAnsi="宋体" w:cs="宋体"/>
          <w:color w:val="auto"/>
          <w:szCs w:val="21"/>
          <w:highlight w:val="none"/>
        </w:rPr>
        <w:t>，由翻译机构盖章或者翻译人员签名。</w:t>
      </w:r>
      <w:r>
        <w:rPr>
          <w:rFonts w:hint="eastAsia" w:ascii="宋体" w:hAnsi="宋体"/>
          <w:color w:val="auto"/>
          <w:highlight w:val="none"/>
        </w:rPr>
        <w:t>两种语言不一致时以中文翻译本为准。</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5" w:name="_Toc2446"/>
      <w:r>
        <w:rPr>
          <w:rFonts w:hint="eastAsia" w:ascii="宋体" w:hAnsi="宋体"/>
          <w:b/>
          <w:bCs/>
          <w:color w:val="auto"/>
          <w:szCs w:val="21"/>
          <w:highlight w:val="none"/>
        </w:rPr>
        <w:t>投标文件的构成</w:t>
      </w:r>
      <w:bookmarkEnd w:id="195"/>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color w:val="auto"/>
          <w:szCs w:val="21"/>
          <w:highlight w:val="none"/>
        </w:rPr>
        <w:t>资格性文件、符合性文件、技术文件、商务文件等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6" w:name="_Toc11091"/>
      <w:r>
        <w:rPr>
          <w:rFonts w:hint="eastAsia" w:ascii="宋体" w:hAnsi="宋体"/>
          <w:b/>
          <w:bCs/>
          <w:color w:val="auto"/>
          <w:szCs w:val="21"/>
          <w:highlight w:val="none"/>
        </w:rPr>
        <w:t>投标文件的编写</w:t>
      </w:r>
      <w:bookmarkEnd w:id="196"/>
    </w:p>
    <w:p>
      <w:pPr>
        <w:numPr>
          <w:ilvl w:val="1"/>
          <w:numId w:val="12"/>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投标人对招标文件中多个包组进行投标的</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其投标文件的编制</w:t>
      </w:r>
      <w:r>
        <w:rPr>
          <w:rFonts w:hint="eastAsia" w:ascii="宋体" w:hAnsi="宋体" w:cs="宋体"/>
          <w:color w:val="auto"/>
          <w:szCs w:val="21"/>
          <w:highlight w:val="none"/>
        </w:rPr>
        <w:t>可按</w:t>
      </w:r>
      <w:r>
        <w:rPr>
          <w:rFonts w:hint="eastAsia" w:ascii="宋体" w:hAnsi="宋体" w:cs="宋体"/>
          <w:color w:val="auto"/>
          <w:szCs w:val="21"/>
          <w:highlight w:val="none"/>
          <w:lang w:eastAsia="zh-TW"/>
        </w:rPr>
        <w:t>每个包组的要求分别装订和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2"/>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w:t>
      </w:r>
      <w:r>
        <w:rPr>
          <w:rFonts w:hint="eastAsia" w:ascii="宋体" w:hAnsi="宋体" w:cs="宋体"/>
          <w:color w:val="auto"/>
          <w:szCs w:val="21"/>
          <w:highlight w:val="none"/>
        </w:rPr>
        <w:t>采购人或者</w:t>
      </w:r>
      <w:r>
        <w:rPr>
          <w:rFonts w:hint="eastAsia" w:ascii="宋体" w:hAnsi="宋体"/>
          <w:color w:val="auto"/>
          <w:szCs w:val="21"/>
          <w:highlight w:val="none"/>
        </w:rPr>
        <w:t>政府采购监督管理部门</w:t>
      </w:r>
      <w:r>
        <w:rPr>
          <w:rFonts w:hint="eastAsia" w:ascii="宋体" w:hAnsi="宋体" w:cs="宋体"/>
          <w:color w:val="auto"/>
          <w:szCs w:val="21"/>
          <w:highlight w:val="none"/>
          <w:lang w:eastAsia="zh-TW"/>
        </w:rPr>
        <w:t>对其中任何资料进行核实的要求。</w:t>
      </w:r>
    </w:p>
    <w:p>
      <w:pPr>
        <w:numPr>
          <w:ilvl w:val="1"/>
          <w:numId w:val="12"/>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7" w:name="_Toc23174"/>
      <w:r>
        <w:rPr>
          <w:rFonts w:hint="eastAsia" w:ascii="宋体" w:hAnsi="宋体"/>
          <w:b/>
          <w:bCs/>
          <w:color w:val="auto"/>
          <w:szCs w:val="21"/>
          <w:highlight w:val="none"/>
        </w:rPr>
        <w:t>联合体投标</w:t>
      </w:r>
      <w:bookmarkEnd w:id="197"/>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以联合体形式参加投标的，联合体各方均必须符合</w:t>
      </w:r>
      <w:r>
        <w:rPr>
          <w:rFonts w:hint="eastAsia" w:ascii="宋体" w:hAnsi="宋体"/>
          <w:bCs/>
          <w:color w:val="auto"/>
          <w:szCs w:val="20"/>
          <w:highlight w:val="none"/>
        </w:rPr>
        <w:t>《中华人民共和国政府采购法》第二十二条第（一）至（六）项规定。</w:t>
      </w:r>
    </w:p>
    <w:p>
      <w:pPr>
        <w:numPr>
          <w:ilvl w:val="2"/>
          <w:numId w:val="12"/>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numPr>
          <w:ilvl w:val="2"/>
          <w:numId w:val="12"/>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12"/>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采购</w:t>
      </w:r>
      <w:r>
        <w:rPr>
          <w:rFonts w:ascii="宋体" w:hAnsi="宋体"/>
          <w:color w:val="auto"/>
          <w:szCs w:val="21"/>
          <w:highlight w:val="none"/>
        </w:rPr>
        <w:t>人签订合同。</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8" w:name="_Toc14020"/>
      <w:r>
        <w:rPr>
          <w:rFonts w:hint="eastAsia" w:ascii="宋体" w:hAnsi="宋体"/>
          <w:b/>
          <w:bCs/>
          <w:color w:val="auto"/>
          <w:szCs w:val="21"/>
          <w:highlight w:val="none"/>
        </w:rPr>
        <w:t>证明投标人合格和资格的文件</w:t>
      </w:r>
      <w:bookmarkEnd w:id="198"/>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w:t>
      </w:r>
      <w:r>
        <w:rPr>
          <w:rFonts w:hint="eastAsia" w:ascii="宋体" w:hAnsi="宋体"/>
          <w:color w:val="auto"/>
          <w:szCs w:val="21"/>
          <w:highlight w:val="none"/>
        </w:rPr>
        <w:t>联合</w:t>
      </w:r>
      <w:r>
        <w:rPr>
          <w:rFonts w:hint="eastAsia" w:ascii="宋体" w:hAnsi="宋体" w:cs="宋体"/>
          <w:color w:val="auto"/>
          <w:szCs w:val="21"/>
          <w:highlight w:val="none"/>
        </w:rPr>
        <w:t>投标协议</w:t>
      </w:r>
      <w:r>
        <w:rPr>
          <w:rFonts w:hint="eastAsia" w:ascii="宋体" w:hAnsi="宋体" w:cs="宋体"/>
          <w:color w:val="auto"/>
          <w:szCs w:val="21"/>
          <w:highlight w:val="none"/>
          <w:lang w:eastAsia="zh-TW"/>
        </w:rPr>
        <w:t>并注明</w:t>
      </w:r>
      <w:r>
        <w:rPr>
          <w:rFonts w:hint="eastAsia" w:ascii="宋体" w:hAnsi="宋体" w:cs="宋体"/>
          <w:color w:val="auto"/>
          <w:szCs w:val="21"/>
          <w:highlight w:val="none"/>
        </w:rPr>
        <w:t>主体方及各方拟承担的工作和责任。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9" w:name="_Toc17198"/>
      <w:r>
        <w:rPr>
          <w:rFonts w:ascii="宋体" w:hAnsi="宋体"/>
          <w:b/>
          <w:bCs/>
          <w:color w:val="auto"/>
          <w:szCs w:val="21"/>
          <w:highlight w:val="none"/>
        </w:rPr>
        <w:t>证明投标标的的合格性和符合招标文件规定的文件</w:t>
      </w:r>
      <w:bookmarkEnd w:id="199"/>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12"/>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0" w:name="_Toc30449"/>
      <w:r>
        <w:rPr>
          <w:rFonts w:hint="eastAsia" w:ascii="宋体" w:hAnsi="宋体"/>
          <w:b/>
          <w:bCs/>
          <w:color w:val="auto"/>
          <w:szCs w:val="21"/>
          <w:highlight w:val="none"/>
        </w:rPr>
        <w:t>投标保证金</w:t>
      </w:r>
      <w:bookmarkEnd w:id="200"/>
      <w:r>
        <w:rPr>
          <w:rFonts w:hint="eastAsia" w:ascii="宋体" w:hAnsi="宋体"/>
          <w:b/>
          <w:bCs/>
          <w:color w:val="auto"/>
          <w:szCs w:val="21"/>
          <w:highlight w:val="none"/>
        </w:rPr>
        <w:t>（本项目不适用）</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的金</w:t>
      </w:r>
      <w:r>
        <w:rPr>
          <w:rFonts w:hint="eastAsia" w:ascii="宋体" w:hAnsi="宋体" w:cs="宋体"/>
          <w:color w:val="auto"/>
          <w:szCs w:val="21"/>
          <w:highlight w:val="none"/>
          <w:lang w:eastAsia="zh-TW"/>
        </w:rPr>
        <w:t>额</w:t>
      </w:r>
      <w:r>
        <w:rPr>
          <w:rFonts w:hint="eastAsia" w:ascii="宋体" w:hAnsi="宋体" w:cs="宋体"/>
          <w:color w:val="auto"/>
          <w:szCs w:val="21"/>
          <w:highlight w:val="none"/>
        </w:rPr>
        <w:t>和期限缴纳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投标人在投标截止时间前撤回已提交的投标文件的，采购人或者采购人应当自收到投标人书面撤回通知之日起5个工作日内，退还已收取的投标保证金，但因投标人自身原因导致无法及时退还的除外。</w:t>
      </w:r>
    </w:p>
    <w:p>
      <w:pPr>
        <w:numPr>
          <w:ilvl w:val="1"/>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中标人的投标保证金，在中标人与采购人签订采购合同之日起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下列任一情况发生时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12"/>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12"/>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拒绝与采购人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12"/>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依法</w:t>
      </w:r>
      <w:r>
        <w:rPr>
          <w:rFonts w:hint="eastAsia" w:ascii="宋体" w:hAnsi="宋体" w:cs="宋体"/>
          <w:color w:val="auto"/>
          <w:szCs w:val="21"/>
          <w:highlight w:val="none"/>
        </w:rPr>
        <w:t>被认定中标无效</w:t>
      </w:r>
      <w:r>
        <w:rPr>
          <w:rFonts w:hint="eastAsia" w:ascii="宋体" w:hAnsi="宋体" w:cs="宋体"/>
          <w:color w:val="auto"/>
          <w:szCs w:val="21"/>
          <w:highlight w:val="none"/>
          <w:lang w:eastAsia="zh-TW"/>
        </w:rPr>
        <w:t>。</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1" w:name="_Toc23376"/>
      <w:r>
        <w:rPr>
          <w:rFonts w:hint="eastAsia" w:ascii="宋体" w:hAnsi="宋体"/>
          <w:b/>
          <w:bCs/>
          <w:color w:val="auto"/>
          <w:szCs w:val="21"/>
          <w:highlight w:val="none"/>
        </w:rPr>
        <w:t>投标有效期</w:t>
      </w:r>
      <w:bookmarkEnd w:id="201"/>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12"/>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采购人可要求投标人延长投标有效期。这种要求与答复均应以书面形式提交。投标人可拒绝采购人的这种要求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w:t>
      </w:r>
      <w:r>
        <w:rPr>
          <w:rFonts w:hint="eastAsia" w:ascii="宋体" w:hAnsi="宋体" w:cs="宋体"/>
          <w:color w:val="auto"/>
          <w:szCs w:val="21"/>
          <w:highlight w:val="none"/>
        </w:rPr>
        <w:t>不予退还</w:t>
      </w:r>
      <w:r>
        <w:rPr>
          <w:rFonts w:hint="eastAsia" w:ascii="宋体" w:hAnsi="宋体" w:cs="宋体"/>
          <w:color w:val="auto"/>
          <w:szCs w:val="21"/>
          <w:highlight w:val="none"/>
          <w:lang w:eastAsia="zh-TW"/>
        </w:rPr>
        <w:t>的规定将在延长了的有效期内继续有效。</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2" w:name="_Toc20270"/>
      <w:r>
        <w:rPr>
          <w:rFonts w:hint="eastAsia" w:ascii="宋体" w:hAnsi="宋体"/>
          <w:b/>
          <w:bCs/>
          <w:color w:val="auto"/>
          <w:szCs w:val="21"/>
          <w:highlight w:val="none"/>
        </w:rPr>
        <w:t>投标文件的式样和签署、密封</w:t>
      </w:r>
      <w:bookmarkEnd w:id="202"/>
    </w:p>
    <w:p>
      <w:pPr>
        <w:numPr>
          <w:ilvl w:val="1"/>
          <w:numId w:val="12"/>
        </w:numPr>
        <w:autoSpaceDE w:val="0"/>
        <w:autoSpaceDN w:val="0"/>
        <w:adjustRightInd w:val="0"/>
        <w:snapToGrid w:val="0"/>
        <w:spacing w:line="360" w:lineRule="auto"/>
        <w:rPr>
          <w:rFonts w:ascii="宋体" w:hAnsi="宋体" w:cs="黑体"/>
          <w:b/>
          <w:bCs/>
          <w:color w:val="auto"/>
          <w:szCs w:val="21"/>
          <w:highlight w:val="none"/>
        </w:rPr>
      </w:pPr>
      <w:bookmarkStart w:id="203" w:name="_Toc435174936"/>
      <w:bookmarkStart w:id="204" w:name="_Toc435516653"/>
      <w:bookmarkStart w:id="205" w:name="_Toc438223139"/>
      <w:r>
        <w:rPr>
          <w:rFonts w:hint="eastAsia" w:ascii="宋体" w:hAnsi="宋体" w:cs="宋体"/>
          <w:color w:val="auto"/>
          <w:szCs w:val="21"/>
          <w:highlight w:val="none"/>
          <w:lang w:eastAsia="zh-TW"/>
        </w:rPr>
        <w:t>投标文件的式样：投标人应准备</w:t>
      </w:r>
      <w:r>
        <w:rPr>
          <w:rFonts w:hint="eastAsia" w:ascii="宋体" w:hAnsi="宋体" w:cs="宋体"/>
          <w:color w:val="auto"/>
          <w:szCs w:val="21"/>
          <w:highlight w:val="none"/>
        </w:rPr>
        <w:t>纸质</w:t>
      </w:r>
      <w:r>
        <w:rPr>
          <w:rFonts w:hint="eastAsia" w:ascii="宋体" w:hAnsi="宋体" w:cs="宋体"/>
          <w:color w:val="auto"/>
          <w:szCs w:val="21"/>
          <w:highlight w:val="none"/>
          <w:lang w:eastAsia="zh-TW"/>
        </w:rPr>
        <w:t>投标文件一份正本</w:t>
      </w:r>
      <w:r>
        <w:rPr>
          <w:rFonts w:hint="eastAsia" w:ascii="宋体" w:hAnsi="宋体" w:cs="宋体"/>
          <w:color w:val="auto"/>
          <w:szCs w:val="21"/>
          <w:highlight w:val="none"/>
        </w:rPr>
        <w:t>、电子文件</w:t>
      </w:r>
      <w:r>
        <w:rPr>
          <w:rFonts w:hint="eastAsia" w:ascii="宋体" w:hAnsi="宋体" w:cs="宋体"/>
          <w:color w:val="auto"/>
          <w:szCs w:val="21"/>
          <w:highlight w:val="none"/>
          <w:lang w:eastAsia="zh-TW"/>
        </w:rPr>
        <w:t>和</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中规定数目的</w:t>
      </w:r>
      <w:r>
        <w:rPr>
          <w:rFonts w:hint="eastAsia" w:ascii="宋体" w:hAnsi="宋体" w:cs="宋体"/>
          <w:color w:val="auto"/>
          <w:szCs w:val="21"/>
          <w:highlight w:val="none"/>
        </w:rPr>
        <w:t>纸质</w:t>
      </w:r>
      <w:r>
        <w:rPr>
          <w:rFonts w:hint="eastAsia" w:ascii="宋体" w:hAnsi="宋体" w:cs="宋体"/>
          <w:color w:val="auto"/>
          <w:szCs w:val="21"/>
          <w:highlight w:val="none"/>
          <w:lang w:eastAsia="zh-TW"/>
        </w:rPr>
        <w:t>副本</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投标文件的副本可采用正本的复印件。每套投标文件须清楚地标明“正本”或</w:t>
      </w:r>
      <w:r>
        <w:rPr>
          <w:rFonts w:hint="eastAsia" w:ascii="宋体" w:hAnsi="宋体" w:cs="宋体"/>
          <w:color w:val="auto"/>
          <w:szCs w:val="21"/>
          <w:highlight w:val="none"/>
        </w:rPr>
        <w:t>“副</w:t>
      </w:r>
      <w:r>
        <w:rPr>
          <w:rFonts w:hint="eastAsia" w:ascii="宋体" w:hAnsi="宋体" w:cs="宋体"/>
          <w:color w:val="auto"/>
          <w:szCs w:val="21"/>
          <w:highlight w:val="none"/>
          <w:lang w:eastAsia="zh-TW"/>
        </w:rPr>
        <w:t>本</w:t>
      </w:r>
      <w:r>
        <w:rPr>
          <w:rFonts w:hint="eastAsia" w:ascii="宋体" w:hAnsi="宋体" w:cs="宋体"/>
          <w:color w:val="auto"/>
          <w:szCs w:val="21"/>
          <w:highlight w:val="none"/>
        </w:rPr>
        <w:t>”</w:t>
      </w:r>
      <w:r>
        <w:rPr>
          <w:rFonts w:hint="eastAsia" w:ascii="宋体" w:hAnsi="宋体" w:cs="宋体"/>
          <w:color w:val="auto"/>
          <w:szCs w:val="21"/>
          <w:highlight w:val="none"/>
          <w:lang w:eastAsia="zh-TW"/>
        </w:rPr>
        <w:t>。若副本与正本不符</w:t>
      </w:r>
      <w:r>
        <w:rPr>
          <w:rFonts w:hint="eastAsia" w:ascii="宋体" w:hAnsi="宋体" w:cs="宋体"/>
          <w:color w:val="auto"/>
          <w:szCs w:val="21"/>
          <w:highlight w:val="none"/>
        </w:rPr>
        <w:t>，</w:t>
      </w:r>
      <w:r>
        <w:rPr>
          <w:rFonts w:hint="eastAsia" w:ascii="宋体" w:hAnsi="宋体" w:cs="宋体"/>
          <w:color w:val="auto"/>
          <w:szCs w:val="21"/>
          <w:highlight w:val="none"/>
          <w:lang w:eastAsia="zh-TW"/>
        </w:rPr>
        <w:t>以正本为准。</w:t>
      </w:r>
    </w:p>
    <w:p>
      <w:pPr>
        <w:numPr>
          <w:ilvl w:val="1"/>
          <w:numId w:val="12"/>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电子文件：是指将按招标文件要求签署、盖章后的正本投标文件扫描成PDF格式后拷贝至无病毒无密码的U盘或光盘。电子文件与正本投标文件一同密封</w:t>
      </w:r>
      <w:r>
        <w:rPr>
          <w:rFonts w:hint="eastAsia" w:ascii="宋体" w:hAnsi="宋体" w:cs="宋体"/>
          <w:color w:val="auto"/>
          <w:szCs w:val="21"/>
          <w:highlight w:val="none"/>
        </w:rPr>
        <w:t>，若电子文件</w:t>
      </w:r>
      <w:r>
        <w:rPr>
          <w:rFonts w:hint="eastAsia" w:ascii="宋体" w:hAnsi="宋体" w:cs="宋体"/>
          <w:color w:val="auto"/>
          <w:szCs w:val="21"/>
          <w:highlight w:val="none"/>
          <w:lang w:eastAsia="zh-TW"/>
        </w:rPr>
        <w:t>与正本不符</w:t>
      </w:r>
      <w:r>
        <w:rPr>
          <w:rFonts w:hint="eastAsia" w:ascii="宋体" w:hAnsi="宋体" w:cs="宋体"/>
          <w:color w:val="auto"/>
          <w:szCs w:val="21"/>
          <w:highlight w:val="none"/>
        </w:rPr>
        <w:t>，</w:t>
      </w:r>
      <w:r>
        <w:rPr>
          <w:rFonts w:hint="eastAsia" w:ascii="宋体" w:hAnsi="宋体" w:cs="宋体"/>
          <w:color w:val="auto"/>
          <w:szCs w:val="21"/>
          <w:highlight w:val="none"/>
          <w:lang w:eastAsia="zh-TW"/>
        </w:rPr>
        <w:t>以正本为准</w:t>
      </w:r>
      <w:r>
        <w:rPr>
          <w:rFonts w:hint="eastAsia" w:ascii="宋体" w:hAnsi="宋体" w:cs="宋体"/>
          <w:color w:val="auto"/>
          <w:szCs w:val="21"/>
          <w:highlight w:val="none"/>
        </w:rPr>
        <w:t>。</w:t>
      </w:r>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投标文件的签署：</w:t>
      </w:r>
      <w:r>
        <w:rPr>
          <w:rFonts w:ascii="宋体" w:hAnsi="宋体" w:cs="黑体"/>
          <w:b/>
          <w:bCs/>
          <w:color w:val="auto"/>
          <w:szCs w:val="21"/>
          <w:highlight w:val="none"/>
        </w:rPr>
        <w:t xml:space="preserve"> </w:t>
      </w:r>
    </w:p>
    <w:p>
      <w:pPr>
        <w:numPr>
          <w:ilvl w:val="2"/>
          <w:numId w:val="12"/>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投标文件的正本需打印或用不褪色墨水书写</w:t>
      </w:r>
      <w:r>
        <w:rPr>
          <w:rFonts w:hint="eastAsia" w:ascii="宋体" w:hAnsi="宋体" w:cs="宋体"/>
          <w:color w:val="auto"/>
          <w:szCs w:val="21"/>
          <w:highlight w:val="none"/>
        </w:rPr>
        <w:t>，且招标文件要求签名的</w:t>
      </w:r>
      <w:r>
        <w:rPr>
          <w:rFonts w:hint="eastAsia" w:ascii="宋体" w:hAnsi="宋体" w:cs="宋体"/>
          <w:color w:val="auto"/>
          <w:szCs w:val="21"/>
          <w:highlight w:val="none"/>
          <w:lang w:eastAsia="zh-TW"/>
        </w:rPr>
        <w:t>由</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代表人或经其正式授权的代表签字</w:t>
      </w:r>
      <w:r>
        <w:rPr>
          <w:rFonts w:hint="eastAsia" w:ascii="宋体" w:hAnsi="宋体" w:cs="宋体"/>
          <w:color w:val="auto"/>
          <w:szCs w:val="21"/>
          <w:highlight w:val="none"/>
        </w:rPr>
        <w:t>或盖章</w:t>
      </w:r>
      <w:r>
        <w:rPr>
          <w:rFonts w:hint="eastAsia" w:ascii="宋体" w:hAnsi="宋体" w:cs="宋体"/>
          <w:color w:val="auto"/>
          <w:szCs w:val="21"/>
          <w:highlight w:val="none"/>
          <w:lang w:eastAsia="zh-TW"/>
        </w:rPr>
        <w:t>，以及招标文件中明示盖公章</w:t>
      </w:r>
      <w:r>
        <w:rPr>
          <w:rFonts w:hint="eastAsia" w:ascii="宋体" w:hAnsi="宋体" w:cs="宋体"/>
          <w:color w:val="auto"/>
          <w:szCs w:val="21"/>
          <w:highlight w:val="none"/>
        </w:rPr>
        <w:t>处</w:t>
      </w:r>
      <w:r>
        <w:rPr>
          <w:rFonts w:hint="eastAsia" w:ascii="宋体" w:hAnsi="宋体" w:cs="宋体"/>
          <w:color w:val="auto"/>
          <w:szCs w:val="21"/>
          <w:highlight w:val="none"/>
          <w:lang w:eastAsia="zh-TW"/>
        </w:rPr>
        <w:t>及</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提供的证明材料应盖投标人公章，</w:t>
      </w:r>
      <w:r>
        <w:rPr>
          <w:rFonts w:hint="eastAsia" w:ascii="宋体" w:hAnsi="宋体" w:cs="宋体"/>
          <w:color w:val="auto"/>
          <w:szCs w:val="21"/>
          <w:highlight w:val="none"/>
        </w:rPr>
        <w:t>副本可以</w:t>
      </w:r>
      <w:r>
        <w:rPr>
          <w:rFonts w:hint="eastAsia" w:ascii="宋体" w:hAnsi="宋体" w:cs="Courier New"/>
          <w:color w:val="auto"/>
          <w:highlight w:val="none"/>
        </w:rPr>
        <w:t>用正本</w:t>
      </w:r>
      <w:r>
        <w:rPr>
          <w:rFonts w:hint="eastAsia" w:ascii="宋体" w:hAnsi="宋体" w:cs="宋体"/>
          <w:color w:val="auto"/>
          <w:szCs w:val="21"/>
          <w:highlight w:val="none"/>
        </w:rPr>
        <w:t>复印，与正本具有同等法律效力</w:t>
      </w:r>
      <w:r>
        <w:rPr>
          <w:rFonts w:hint="eastAsia" w:ascii="宋体" w:hAnsi="宋体" w:cs="宋体"/>
          <w:color w:val="auto"/>
          <w:szCs w:val="21"/>
          <w:highlight w:val="none"/>
          <w:lang w:eastAsia="zh-TW"/>
        </w:rPr>
        <w:t>。授权代表须将以书面形式出具的《法定代表人授权</w:t>
      </w:r>
      <w:r>
        <w:rPr>
          <w:rFonts w:hint="eastAsia" w:ascii="宋体" w:hAnsi="宋体" w:cs="宋体"/>
          <w:color w:val="auto"/>
          <w:szCs w:val="21"/>
          <w:highlight w:val="none"/>
        </w:rPr>
        <w:t>委托</w:t>
      </w:r>
      <w:r>
        <w:rPr>
          <w:rFonts w:hint="eastAsia" w:ascii="宋体" w:hAnsi="宋体" w:cs="宋体"/>
          <w:color w:val="auto"/>
          <w:szCs w:val="21"/>
          <w:highlight w:val="none"/>
          <w:lang w:eastAsia="zh-TW"/>
        </w:rPr>
        <w:t>书》附在</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标文件中。</w:t>
      </w:r>
    </w:p>
    <w:p>
      <w:pPr>
        <w:numPr>
          <w:ilvl w:val="2"/>
          <w:numId w:val="12"/>
        </w:numPr>
        <w:tabs>
          <w:tab w:val="left" w:pos="851"/>
        </w:tabs>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投标文件中的任何重要的插字、涂改和增删，必须由法定代表人或经其正式授权的代表在旁边签章或签字</w:t>
      </w:r>
      <w:r>
        <w:rPr>
          <w:rFonts w:hint="eastAsia" w:ascii="宋体" w:hAnsi="宋体"/>
          <w:color w:val="auto"/>
          <w:highlight w:val="none"/>
        </w:rPr>
        <w:t>或盖投标人公章</w:t>
      </w:r>
      <w:r>
        <w:rPr>
          <w:rFonts w:hint="eastAsia" w:ascii="宋体" w:hAnsi="宋体" w:cs="宋体"/>
          <w:color w:val="auto"/>
          <w:szCs w:val="21"/>
          <w:highlight w:val="none"/>
          <w:lang w:eastAsia="zh-TW"/>
        </w:rPr>
        <w:t>才有效。</w:t>
      </w:r>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color w:val="auto"/>
          <w:szCs w:val="21"/>
          <w:highlight w:val="none"/>
          <w:lang w:eastAsia="zh-TW"/>
        </w:rPr>
        <w:t>：</w:t>
      </w:r>
    </w:p>
    <w:p>
      <w:pPr>
        <w:numPr>
          <w:ilvl w:val="2"/>
          <w:numId w:val="12"/>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w:t>
      </w:r>
      <w:r>
        <w:rPr>
          <w:rFonts w:hint="eastAsia" w:ascii="宋体" w:hAnsi="宋体" w:cs="宋体"/>
          <w:color w:val="auto"/>
          <w:szCs w:val="21"/>
          <w:highlight w:val="none"/>
          <w:lang w:eastAsia="zh-TW"/>
        </w:rPr>
        <w:t>和</w:t>
      </w:r>
      <w:r>
        <w:rPr>
          <w:rFonts w:hint="eastAsia" w:ascii="宋体" w:hAnsi="宋体"/>
          <w:color w:val="auto"/>
          <w:szCs w:val="21"/>
          <w:highlight w:val="none"/>
        </w:rPr>
        <w:t>“</w:t>
      </w:r>
      <w:r>
        <w:rPr>
          <w:rFonts w:hint="eastAsia" w:ascii="宋体" w:hAnsi="宋体" w:cs="宋体"/>
          <w:color w:val="auto"/>
          <w:szCs w:val="21"/>
          <w:highlight w:val="none"/>
          <w:lang w:eastAsia="zh-TW"/>
        </w:rPr>
        <w:t>在</w:t>
      </w:r>
      <w:r>
        <w:rPr>
          <w:rFonts w:hint="eastAsia" w:ascii="宋体" w:hAnsi="宋体" w:cs="宋体"/>
          <w:color w:val="auto"/>
          <w:szCs w:val="21"/>
          <w:highlight w:val="none"/>
        </w:rPr>
        <w:t>（招标文件中规定的开标日期和时间）之前不得启封”的</w:t>
      </w:r>
      <w:r>
        <w:rPr>
          <w:rFonts w:hint="eastAsia" w:ascii="宋体" w:hAnsi="宋体" w:cs="宋体"/>
          <w:color w:val="auto"/>
          <w:szCs w:val="21"/>
          <w:highlight w:val="none"/>
          <w:lang w:eastAsia="zh-TW"/>
        </w:rPr>
        <w:t>字样。</w:t>
      </w:r>
    </w:p>
    <w:p>
      <w:pPr>
        <w:numPr>
          <w:ilvl w:val="2"/>
          <w:numId w:val="12"/>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采购人对误投或提前启封概不负责</w:t>
      </w:r>
      <w:r>
        <w:rPr>
          <w:rFonts w:hint="eastAsia" w:ascii="宋体" w:hAnsi="宋体" w:cs="宋体"/>
          <w:color w:val="auto"/>
          <w:szCs w:val="21"/>
          <w:highlight w:val="none"/>
        </w:rPr>
        <w:t>。</w:t>
      </w:r>
    </w:p>
    <w:p>
      <w:pPr>
        <w:pStyle w:val="4"/>
        <w:numPr>
          <w:ilvl w:val="0"/>
          <w:numId w:val="11"/>
        </w:numPr>
        <w:spacing w:line="240" w:lineRule="auto"/>
        <w:jc w:val="center"/>
        <w:rPr>
          <w:rFonts w:asciiTheme="majorEastAsia" w:hAnsiTheme="majorEastAsia" w:eastAsiaTheme="majorEastAsia"/>
          <w:color w:val="auto"/>
          <w:sz w:val="30"/>
          <w:szCs w:val="30"/>
          <w:highlight w:val="none"/>
          <w:lang w:eastAsia="zh-TW"/>
        </w:rPr>
      </w:pPr>
      <w:bookmarkStart w:id="206" w:name="_Toc28883"/>
      <w:bookmarkStart w:id="207" w:name="_Toc77947892"/>
      <w:r>
        <w:rPr>
          <w:rFonts w:hint="eastAsia" w:asciiTheme="majorEastAsia" w:hAnsiTheme="majorEastAsia" w:eastAsiaTheme="majorEastAsia"/>
          <w:color w:val="auto"/>
          <w:sz w:val="30"/>
          <w:szCs w:val="30"/>
          <w:highlight w:val="none"/>
          <w:lang w:eastAsia="zh-TW"/>
        </w:rPr>
        <w:t>投标文件的递交</w:t>
      </w:r>
      <w:bookmarkEnd w:id="203"/>
      <w:bookmarkEnd w:id="204"/>
      <w:bookmarkEnd w:id="205"/>
      <w:bookmarkEnd w:id="206"/>
      <w:bookmarkEnd w:id="207"/>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8" w:name="_Toc13202"/>
      <w:r>
        <w:rPr>
          <w:rFonts w:hint="eastAsia" w:ascii="宋体" w:hAnsi="宋体"/>
          <w:b/>
          <w:bCs/>
          <w:color w:val="auto"/>
          <w:szCs w:val="21"/>
          <w:highlight w:val="none"/>
        </w:rPr>
        <w:t>投标文件递交</w:t>
      </w:r>
      <w:bookmarkEnd w:id="208"/>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12"/>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逾期送达或者未按照招标文件要求密封的投标文件，采购人应当拒收。</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9" w:name="_Toc22017"/>
      <w:r>
        <w:rPr>
          <w:rFonts w:hint="eastAsia" w:ascii="宋体" w:hAnsi="宋体"/>
          <w:b/>
          <w:bCs/>
          <w:color w:val="auto"/>
          <w:szCs w:val="21"/>
          <w:highlight w:val="none"/>
        </w:rPr>
        <w:t>投标文件的修改和撤回、撤销</w:t>
      </w:r>
      <w:bookmarkEnd w:id="209"/>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采购人。补充、修改的内容应当按招标文件要求签署、盖章、密封后，并作为投标文件的组成部分。在投标截止时间之后，投标人不得对其投标文件做任何修改和补充。</w:t>
      </w:r>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bCs/>
          <w:color w:val="auto"/>
          <w:highlight w:val="none"/>
        </w:rPr>
        <w:t>投标人在投标截止后或在招标文件中规定的投标有效期内不可撤销其投标。否则，不予退还其投标保证金。</w:t>
      </w:r>
    </w:p>
    <w:p>
      <w:pPr>
        <w:numPr>
          <w:ilvl w:val="1"/>
          <w:numId w:val="12"/>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投标人所提交的投标文件在本项目投标截止时间后均不予退还。</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0" w:name="_Toc18853"/>
      <w:r>
        <w:rPr>
          <w:rFonts w:hint="eastAsia" w:ascii="宋体" w:hAnsi="宋体"/>
          <w:b/>
          <w:bCs/>
          <w:color w:val="auto"/>
          <w:szCs w:val="21"/>
          <w:highlight w:val="none"/>
        </w:rPr>
        <w:t>质疑</w:t>
      </w:r>
      <w:bookmarkEnd w:id="210"/>
    </w:p>
    <w:p>
      <w:pPr>
        <w:numPr>
          <w:ilvl w:val="1"/>
          <w:numId w:val="12"/>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12"/>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12"/>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供应商认为采购文件的内容损害其权益的，应在采购文件公布之日起七个工作日内。</w:t>
      </w:r>
    </w:p>
    <w:p>
      <w:pPr>
        <w:numPr>
          <w:ilvl w:val="3"/>
          <w:numId w:val="12"/>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供应商认为采购过程损害其权益的，应在各采购程序环节结束之日起七个工作日内。</w:t>
      </w:r>
    </w:p>
    <w:p>
      <w:pPr>
        <w:numPr>
          <w:ilvl w:val="3"/>
          <w:numId w:val="12"/>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供应商认为中标或者成交结果以及评审委员会、谈判小组、竞价小组组成人员损害其权益的，应在中标或者成交结果公示之日起七个工作日内。</w:t>
      </w:r>
    </w:p>
    <w:p>
      <w:pPr>
        <w:numPr>
          <w:ilvl w:val="2"/>
          <w:numId w:val="12"/>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12"/>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以书面形式向采购人</w:t>
      </w:r>
      <w:r>
        <w:rPr>
          <w:rFonts w:hint="eastAsia" w:ascii="宋体" w:hAnsi="宋体" w:cs="宋体"/>
          <w:color w:val="auto"/>
          <w:szCs w:val="21"/>
          <w:highlight w:val="none"/>
        </w:rPr>
        <w:t>一次性提出针对同一采购程序环节的</w:t>
      </w:r>
      <w:r>
        <w:rPr>
          <w:rFonts w:hint="eastAsia" w:ascii="宋体" w:hAnsi="宋体" w:cs="黑体"/>
          <w:bCs/>
          <w:color w:val="auto"/>
          <w:szCs w:val="21"/>
          <w:highlight w:val="none"/>
        </w:rPr>
        <w:t>质疑。</w:t>
      </w:r>
    </w:p>
    <w:p>
      <w:pPr>
        <w:numPr>
          <w:ilvl w:val="3"/>
          <w:numId w:val="12"/>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以联合体形式参加政府采购活动的，其质疑应当由组成联合体的所有供应商共同提出。</w:t>
      </w:r>
    </w:p>
    <w:p>
      <w:pPr>
        <w:numPr>
          <w:ilvl w:val="3"/>
          <w:numId w:val="12"/>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3"/>
          <w:numId w:val="12"/>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12"/>
        </w:numPr>
        <w:tabs>
          <w:tab w:val="left" w:pos="1134"/>
        </w:tabs>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olor w:val="auto"/>
          <w:szCs w:val="21"/>
          <w:highlight w:val="none"/>
        </w:rPr>
        <w:tab/>
      </w:r>
      <w:r>
        <w:rPr>
          <w:rFonts w:hint="eastAsia" w:ascii="宋体" w:hAnsi="宋体" w:cs="宋体"/>
          <w:color w:val="auto"/>
          <w:szCs w:val="21"/>
          <w:highlight w:val="none"/>
          <w:lang w:eastAsia="zh-TW"/>
        </w:rPr>
        <w:t>采购人</w:t>
      </w:r>
      <w:r>
        <w:rPr>
          <w:rFonts w:hint="eastAsia" w:ascii="宋体" w:hAnsi="宋体"/>
          <w:color w:val="auto"/>
          <w:szCs w:val="21"/>
          <w:highlight w:val="none"/>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12"/>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hAnsi="宋体"/>
          <w:snapToGrid w:val="0"/>
          <w:color w:val="auto"/>
          <w:szCs w:val="21"/>
          <w:highlight w:val="none"/>
        </w:rPr>
        <w:t>采购人接收以书面形式递交的质疑函，接收质疑函的联系人、联系方式和通讯地址详见</w:t>
      </w:r>
      <w:bookmarkStart w:id="211" w:name="_Hlk57971227"/>
      <w:r>
        <w:rPr>
          <w:rFonts w:hint="eastAsia" w:hAnsi="宋体"/>
          <w:b/>
          <w:bCs/>
          <w:snapToGrid w:val="0"/>
          <w:color w:val="auto"/>
          <w:szCs w:val="21"/>
          <w:highlight w:val="none"/>
        </w:rPr>
        <w:t>第二章 投标资料表</w:t>
      </w:r>
      <w:bookmarkEnd w:id="211"/>
      <w:r>
        <w:rPr>
          <w:rFonts w:hint="eastAsia" w:ascii="宋体" w:hAnsi="宋体"/>
          <w:color w:val="auto"/>
          <w:szCs w:val="21"/>
          <w:highlight w:val="none"/>
        </w:rPr>
        <w:t>。</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2" w:name="_Toc19729"/>
      <w:r>
        <w:rPr>
          <w:rFonts w:hint="eastAsia" w:ascii="宋体" w:hAnsi="宋体"/>
          <w:b/>
          <w:bCs/>
          <w:color w:val="auto"/>
          <w:szCs w:val="21"/>
          <w:highlight w:val="none"/>
        </w:rPr>
        <w:t>中标通知书</w:t>
      </w:r>
      <w:bookmarkEnd w:id="212"/>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上发布中标公告，并向中标人发出《中标通知书》，向采购人及未中标人发出《招标结果通知书》，《中标通知书》对中标人和采购人具有同等法律效力。</w:t>
      </w:r>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pStyle w:val="4"/>
        <w:numPr>
          <w:ilvl w:val="0"/>
          <w:numId w:val="11"/>
        </w:numPr>
        <w:spacing w:line="240" w:lineRule="auto"/>
        <w:jc w:val="center"/>
        <w:rPr>
          <w:rFonts w:asciiTheme="majorEastAsia" w:hAnsiTheme="majorEastAsia" w:eastAsiaTheme="majorEastAsia"/>
          <w:color w:val="auto"/>
          <w:sz w:val="30"/>
          <w:szCs w:val="30"/>
          <w:highlight w:val="none"/>
          <w:lang w:eastAsia="zh-TW"/>
        </w:rPr>
      </w:pPr>
      <w:bookmarkStart w:id="213" w:name="_Toc77947893"/>
      <w:bookmarkStart w:id="214" w:name="_Toc435174938"/>
      <w:bookmarkStart w:id="215" w:name="_Toc438223141"/>
      <w:bookmarkStart w:id="216" w:name="_Toc435516655"/>
      <w:bookmarkStart w:id="217" w:name="_Toc6704"/>
      <w:r>
        <w:rPr>
          <w:rFonts w:hint="eastAsia" w:asciiTheme="majorEastAsia" w:hAnsiTheme="majorEastAsia" w:eastAsiaTheme="majorEastAsia"/>
          <w:color w:val="auto"/>
          <w:sz w:val="30"/>
          <w:szCs w:val="30"/>
          <w:highlight w:val="none"/>
          <w:lang w:eastAsia="zh-TW"/>
        </w:rPr>
        <w:t>授予合同</w:t>
      </w:r>
      <w:bookmarkEnd w:id="213"/>
      <w:bookmarkEnd w:id="214"/>
      <w:bookmarkEnd w:id="215"/>
      <w:bookmarkEnd w:id="216"/>
      <w:bookmarkEnd w:id="217"/>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8" w:name="_Toc5467"/>
      <w:r>
        <w:rPr>
          <w:rFonts w:hint="eastAsia" w:ascii="宋体" w:hAnsi="宋体"/>
          <w:b/>
          <w:bCs/>
          <w:color w:val="auto"/>
          <w:szCs w:val="21"/>
          <w:highlight w:val="none"/>
        </w:rPr>
        <w:t>合同的订立</w:t>
      </w:r>
      <w:bookmarkEnd w:id="218"/>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采购人应当自中标通知书发出之日起</w:t>
      </w:r>
      <w:r>
        <w:rPr>
          <w:rFonts w:hint="eastAsia" w:ascii="宋体" w:hAnsi="宋体" w:cs="宋体"/>
          <w:color w:val="auto"/>
          <w:szCs w:val="21"/>
          <w:highlight w:val="none"/>
        </w:rPr>
        <w:t>30</w:t>
      </w:r>
      <w:r>
        <w:rPr>
          <w:rFonts w:hint="eastAsia" w:ascii="宋体" w:hAnsi="宋体" w:cs="宋体"/>
          <w:color w:val="auto"/>
          <w:szCs w:val="21"/>
          <w:highlight w:val="none"/>
          <w:lang w:eastAsia="zh-TW"/>
        </w:rPr>
        <w:t>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12"/>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采购人</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9" w:name="_Toc560"/>
      <w:r>
        <w:rPr>
          <w:rFonts w:hint="eastAsia" w:ascii="宋体" w:hAnsi="宋体"/>
          <w:b/>
          <w:bCs/>
          <w:color w:val="auto"/>
          <w:szCs w:val="21"/>
          <w:highlight w:val="none"/>
        </w:rPr>
        <w:t>合同的履行</w:t>
      </w:r>
      <w:bookmarkEnd w:id="219"/>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0" w:name="_Toc20193"/>
      <w:r>
        <w:rPr>
          <w:rFonts w:hint="eastAsia" w:ascii="宋体" w:hAnsi="宋体"/>
          <w:b/>
          <w:bCs/>
          <w:color w:val="auto"/>
          <w:szCs w:val="21"/>
          <w:highlight w:val="none"/>
        </w:rPr>
        <w:t>履约保证金</w:t>
      </w:r>
      <w:bookmarkEnd w:id="220"/>
    </w:p>
    <w:p>
      <w:pPr>
        <w:numPr>
          <w:ilvl w:val="1"/>
          <w:numId w:val="12"/>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中标人应按照</w:t>
      </w:r>
      <w:r>
        <w:rPr>
          <w:rFonts w:hint="eastAsia" w:ascii="宋体" w:hAnsi="宋体" w:cs="宋体"/>
          <w:b/>
          <w:color w:val="auto"/>
          <w:szCs w:val="21"/>
          <w:highlight w:val="none"/>
        </w:rPr>
        <w:t>投标资料表</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金额，</w:t>
      </w:r>
      <w:r>
        <w:rPr>
          <w:rFonts w:hint="eastAsia" w:ascii="宋体" w:hAnsi="宋体" w:cs="宋体"/>
          <w:color w:val="auto"/>
          <w:szCs w:val="21"/>
          <w:highlight w:val="none"/>
          <w:lang w:eastAsia="zh-TW"/>
        </w:rPr>
        <w:t>采用招标文件中提供的履约保证金保函格式或采购人可以接受的其他形式向采购人提交履约保证金。</w:t>
      </w:r>
    </w:p>
    <w:p>
      <w:pPr>
        <w:numPr>
          <w:ilvl w:val="0"/>
          <w:numId w:val="12"/>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1" w:name="_Toc25777"/>
      <w:r>
        <w:rPr>
          <w:rFonts w:hint="eastAsia" w:ascii="宋体" w:hAnsi="宋体"/>
          <w:b/>
          <w:bCs/>
          <w:color w:val="auto"/>
          <w:szCs w:val="21"/>
          <w:highlight w:val="none"/>
        </w:rPr>
        <w:t>采购代理服务费</w:t>
      </w:r>
      <w:bookmarkEnd w:id="221"/>
    </w:p>
    <w:p>
      <w:pPr>
        <w:numPr>
          <w:ilvl w:val="1"/>
          <w:numId w:val="12"/>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采购代理机构向</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人收取招标代理服务费。</w:t>
      </w:r>
    </w:p>
    <w:sectPr>
      <w:headerReference r:id="rId5"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Tahoma">
    <w:altName w:val="DejaVu Sans"/>
    <w:panose1 w:val="020B0604030504040204"/>
    <w:charset w:val="00"/>
    <w:family w:val="swiss"/>
    <w:pitch w:val="default"/>
    <w:sig w:usb0="00000000" w:usb1="00000000" w:usb2="00000029" w:usb3="00000000" w:csb0="200101FF" w:csb1="20280000"/>
  </w:font>
  <w:font w:name="Cambria">
    <w:altName w:val="FreeSerif"/>
    <w:panose1 w:val="02040503050406030204"/>
    <w:charset w:val="00"/>
    <w:family w:val="roman"/>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Ubuntu Light">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fldChar w:fldCharType="begin"/>
    </w:r>
    <w:r>
      <w:rPr>
        <w:rStyle w:val="41"/>
      </w:rPr>
      <w:instrText xml:space="preserve"> PAGE </w:instrText>
    </w:r>
    <w:r>
      <w:fldChar w:fldCharType="separate"/>
    </w:r>
    <w:r>
      <w:rPr>
        <w:rStyle w:val="41"/>
      </w:rPr>
      <w:t>3</w:t>
    </w:r>
    <w:r>
      <w:fldChar w:fldCharType="end"/>
    </w:r>
    <w:r>
      <w:rPr>
        <w:rStyle w:val="41"/>
        <w:rFonts w:hint="eastAsia"/>
      </w:rPr>
      <w:t>页，共</w:t>
    </w:r>
    <w:r>
      <w:fldChar w:fldCharType="begin"/>
    </w:r>
    <w:r>
      <w:rPr>
        <w:rStyle w:val="41"/>
      </w:rPr>
      <w:instrText xml:space="preserve"> NUMPAGES </w:instrText>
    </w:r>
    <w:r>
      <w:fldChar w:fldCharType="separate"/>
    </w:r>
    <w:r>
      <w:rPr>
        <w:rStyle w:val="41"/>
      </w:rPr>
      <w:t>40</w:t>
    </w:r>
    <w:r>
      <w:fldChar w:fldCharType="end"/>
    </w:r>
    <w:r>
      <w:rPr>
        <w:rStyle w:val="41"/>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hint="eastAsia" w:ascii="宋体" w:hAnsi="宋体" w:eastAsia="宋体"/>
        <w:lang w:eastAsia="zh-CN"/>
      </w:rPr>
    </w:pPr>
    <w:r>
      <w:rPr>
        <w:rFonts w:hint="eastAsia" w:ascii="宋体" w:hAnsi="宋体"/>
      </w:rPr>
      <w:t xml:space="preserve">                           </w:t>
    </w:r>
    <w:r>
      <w:rPr>
        <w:rFonts w:hint="eastAsia" w:ascii="宋体"/>
        <w:bCs/>
        <w:szCs w:val="20"/>
      </w:rPr>
      <w:t>项目编号：</w:t>
    </w:r>
    <w:r>
      <w:rPr>
        <w:rFonts w:hint="eastAsia" w:ascii="宋体" w:hAnsi="宋体" w:cs="宋体"/>
        <w:bCs/>
        <w:szCs w:val="20"/>
        <w:lang w:eastAsia="zh-CN"/>
      </w:rPr>
      <w:t>NSNSJD2024091001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hint="eastAsia" w:ascii="宋体" w:hAnsi="宋体" w:eastAsia="宋体"/>
        <w:lang w:eastAsia="zh-CN"/>
      </w:rPr>
    </w:pPr>
    <w:r>
      <w:rPr>
        <w:rFonts w:hint="eastAsia" w:ascii="宋体"/>
        <w:bCs/>
        <w:szCs w:val="20"/>
      </w:rPr>
      <w:t>项目编号：</w:t>
    </w:r>
    <w:r>
      <w:rPr>
        <w:rFonts w:hint="eastAsia" w:ascii="宋体" w:hAnsi="宋体" w:cs="宋体"/>
        <w:bCs/>
        <w:szCs w:val="20"/>
        <w:lang w:eastAsia="zh-CN"/>
      </w:rPr>
      <w:t>NSNSJD2024091001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019CA"/>
    <w:multiLevelType w:val="multilevel"/>
    <w:tmpl w:val="2E4019C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1719F"/>
    <w:multiLevelType w:val="multilevel"/>
    <w:tmpl w:val="4501719F"/>
    <w:lvl w:ilvl="0" w:tentative="0">
      <w:start w:val="1"/>
      <w:numFmt w:val="decimal"/>
      <w:lvlText w:val="%1."/>
      <w:lvlJc w:val="left"/>
      <w:pPr>
        <w:tabs>
          <w:tab w:val="left" w:pos="420"/>
        </w:tabs>
        <w:ind w:left="420" w:hanging="420"/>
      </w:pPr>
      <w:rPr>
        <w:rFonts w:asciiTheme="minorEastAsia" w:hAnsiTheme="minorEastAsia" w:eastAsiaTheme="minorEastAsia"/>
        <w:b/>
        <w:bCs/>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4">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6EEB7F65"/>
    <w:multiLevelType w:val="multilevel"/>
    <w:tmpl w:val="6EEB7F65"/>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4"/>
  </w:num>
  <w:num w:numId="4">
    <w:abstractNumId w:val="2"/>
  </w:num>
  <w:num w:numId="5">
    <w:abstractNumId w:val="11"/>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YjdhZjdjYjllM2E1NzBjMGJlNWIxODRmMWFhY2UifQ=="/>
  </w:docVars>
  <w:rsids>
    <w:rsidRoot w:val="0092721E"/>
    <w:rsid w:val="00001700"/>
    <w:rsid w:val="00001ADA"/>
    <w:rsid w:val="00002DD8"/>
    <w:rsid w:val="0000783A"/>
    <w:rsid w:val="00010219"/>
    <w:rsid w:val="00011524"/>
    <w:rsid w:val="00015A07"/>
    <w:rsid w:val="00021301"/>
    <w:rsid w:val="0002510B"/>
    <w:rsid w:val="0002533E"/>
    <w:rsid w:val="00027156"/>
    <w:rsid w:val="00027507"/>
    <w:rsid w:val="000320C2"/>
    <w:rsid w:val="000336C8"/>
    <w:rsid w:val="0003409E"/>
    <w:rsid w:val="000358D2"/>
    <w:rsid w:val="000360DD"/>
    <w:rsid w:val="000362CD"/>
    <w:rsid w:val="0003715C"/>
    <w:rsid w:val="00042776"/>
    <w:rsid w:val="00042CF9"/>
    <w:rsid w:val="00045787"/>
    <w:rsid w:val="00051B2A"/>
    <w:rsid w:val="00052F73"/>
    <w:rsid w:val="00054202"/>
    <w:rsid w:val="00055562"/>
    <w:rsid w:val="00056807"/>
    <w:rsid w:val="000608FC"/>
    <w:rsid w:val="0006314C"/>
    <w:rsid w:val="00063D2C"/>
    <w:rsid w:val="00075810"/>
    <w:rsid w:val="00080811"/>
    <w:rsid w:val="000808FD"/>
    <w:rsid w:val="00081CA0"/>
    <w:rsid w:val="00083B4B"/>
    <w:rsid w:val="00084660"/>
    <w:rsid w:val="00084BCA"/>
    <w:rsid w:val="00085C34"/>
    <w:rsid w:val="000860F1"/>
    <w:rsid w:val="00086188"/>
    <w:rsid w:val="000902F5"/>
    <w:rsid w:val="0009106B"/>
    <w:rsid w:val="0009174E"/>
    <w:rsid w:val="00091C48"/>
    <w:rsid w:val="000922CA"/>
    <w:rsid w:val="0009795D"/>
    <w:rsid w:val="000A13E7"/>
    <w:rsid w:val="000A458C"/>
    <w:rsid w:val="000A5671"/>
    <w:rsid w:val="000A6DE6"/>
    <w:rsid w:val="000B0204"/>
    <w:rsid w:val="000B4393"/>
    <w:rsid w:val="000C1E87"/>
    <w:rsid w:val="000C6BE9"/>
    <w:rsid w:val="000D0262"/>
    <w:rsid w:val="000D0396"/>
    <w:rsid w:val="000D0AD6"/>
    <w:rsid w:val="000D0EC5"/>
    <w:rsid w:val="000D161C"/>
    <w:rsid w:val="000D1F76"/>
    <w:rsid w:val="000D2D47"/>
    <w:rsid w:val="000D32D1"/>
    <w:rsid w:val="000D4DC8"/>
    <w:rsid w:val="000D56F8"/>
    <w:rsid w:val="000D6897"/>
    <w:rsid w:val="000D6E79"/>
    <w:rsid w:val="000D74BE"/>
    <w:rsid w:val="000E171F"/>
    <w:rsid w:val="000E26C3"/>
    <w:rsid w:val="000E35B4"/>
    <w:rsid w:val="000E735D"/>
    <w:rsid w:val="000F018F"/>
    <w:rsid w:val="000F0687"/>
    <w:rsid w:val="000F2249"/>
    <w:rsid w:val="000F2A7D"/>
    <w:rsid w:val="000F5D87"/>
    <w:rsid w:val="001051C9"/>
    <w:rsid w:val="0010648E"/>
    <w:rsid w:val="001066F5"/>
    <w:rsid w:val="00107D78"/>
    <w:rsid w:val="001101AF"/>
    <w:rsid w:val="00111F67"/>
    <w:rsid w:val="001177E7"/>
    <w:rsid w:val="00117E87"/>
    <w:rsid w:val="00125DB1"/>
    <w:rsid w:val="0012713F"/>
    <w:rsid w:val="0013147A"/>
    <w:rsid w:val="0013238D"/>
    <w:rsid w:val="00132434"/>
    <w:rsid w:val="0013496E"/>
    <w:rsid w:val="0013792D"/>
    <w:rsid w:val="001408BB"/>
    <w:rsid w:val="001434A5"/>
    <w:rsid w:val="00143653"/>
    <w:rsid w:val="001465F6"/>
    <w:rsid w:val="00152A9F"/>
    <w:rsid w:val="00153301"/>
    <w:rsid w:val="00153B9E"/>
    <w:rsid w:val="001542F6"/>
    <w:rsid w:val="00154590"/>
    <w:rsid w:val="001548AD"/>
    <w:rsid w:val="00155CDD"/>
    <w:rsid w:val="00157F06"/>
    <w:rsid w:val="00160030"/>
    <w:rsid w:val="00162ABC"/>
    <w:rsid w:val="001632B3"/>
    <w:rsid w:val="00170D22"/>
    <w:rsid w:val="00175B9F"/>
    <w:rsid w:val="001836B6"/>
    <w:rsid w:val="0019030F"/>
    <w:rsid w:val="00190B48"/>
    <w:rsid w:val="00191023"/>
    <w:rsid w:val="00195DF5"/>
    <w:rsid w:val="001A1DD8"/>
    <w:rsid w:val="001A50AA"/>
    <w:rsid w:val="001A580A"/>
    <w:rsid w:val="001A616C"/>
    <w:rsid w:val="001A6511"/>
    <w:rsid w:val="001A7C1E"/>
    <w:rsid w:val="001B0E95"/>
    <w:rsid w:val="001B148E"/>
    <w:rsid w:val="001B2082"/>
    <w:rsid w:val="001B4FC6"/>
    <w:rsid w:val="001B5E1E"/>
    <w:rsid w:val="001B60F2"/>
    <w:rsid w:val="001B6492"/>
    <w:rsid w:val="001C3B02"/>
    <w:rsid w:val="001C510A"/>
    <w:rsid w:val="001C5BBC"/>
    <w:rsid w:val="001C5C19"/>
    <w:rsid w:val="001D01D4"/>
    <w:rsid w:val="001D17E8"/>
    <w:rsid w:val="001D438B"/>
    <w:rsid w:val="001D5BF9"/>
    <w:rsid w:val="001E00E8"/>
    <w:rsid w:val="001E1909"/>
    <w:rsid w:val="001E442D"/>
    <w:rsid w:val="001E5677"/>
    <w:rsid w:val="001E7793"/>
    <w:rsid w:val="001F1F84"/>
    <w:rsid w:val="001F29C9"/>
    <w:rsid w:val="001F3AFD"/>
    <w:rsid w:val="001F5382"/>
    <w:rsid w:val="002050AC"/>
    <w:rsid w:val="002067F0"/>
    <w:rsid w:val="0021058E"/>
    <w:rsid w:val="00212D60"/>
    <w:rsid w:val="00212F40"/>
    <w:rsid w:val="00217995"/>
    <w:rsid w:val="00222C5C"/>
    <w:rsid w:val="00223671"/>
    <w:rsid w:val="0022377B"/>
    <w:rsid w:val="00224BC8"/>
    <w:rsid w:val="002254DF"/>
    <w:rsid w:val="00230D64"/>
    <w:rsid w:val="00231CC0"/>
    <w:rsid w:val="0023292F"/>
    <w:rsid w:val="002369B8"/>
    <w:rsid w:val="00240703"/>
    <w:rsid w:val="00240A0F"/>
    <w:rsid w:val="00241A10"/>
    <w:rsid w:val="0024273E"/>
    <w:rsid w:val="00245D64"/>
    <w:rsid w:val="00245EB6"/>
    <w:rsid w:val="002463EC"/>
    <w:rsid w:val="00247EE9"/>
    <w:rsid w:val="0025208A"/>
    <w:rsid w:val="0025220D"/>
    <w:rsid w:val="00252759"/>
    <w:rsid w:val="002552AB"/>
    <w:rsid w:val="0025664A"/>
    <w:rsid w:val="00263A81"/>
    <w:rsid w:val="00264597"/>
    <w:rsid w:val="0026687D"/>
    <w:rsid w:val="002704F2"/>
    <w:rsid w:val="0027428C"/>
    <w:rsid w:val="00274D35"/>
    <w:rsid w:val="00275E64"/>
    <w:rsid w:val="00280001"/>
    <w:rsid w:val="002804D6"/>
    <w:rsid w:val="00281A24"/>
    <w:rsid w:val="0028260A"/>
    <w:rsid w:val="0028361C"/>
    <w:rsid w:val="002841E9"/>
    <w:rsid w:val="0028452A"/>
    <w:rsid w:val="002927D4"/>
    <w:rsid w:val="00294B95"/>
    <w:rsid w:val="00294F7C"/>
    <w:rsid w:val="00296F34"/>
    <w:rsid w:val="00297BDD"/>
    <w:rsid w:val="002A2DB3"/>
    <w:rsid w:val="002A734B"/>
    <w:rsid w:val="002B0DB3"/>
    <w:rsid w:val="002B12E8"/>
    <w:rsid w:val="002C4E0D"/>
    <w:rsid w:val="002C4F5A"/>
    <w:rsid w:val="002C769D"/>
    <w:rsid w:val="002D1179"/>
    <w:rsid w:val="002D1DF7"/>
    <w:rsid w:val="002D2115"/>
    <w:rsid w:val="002D4667"/>
    <w:rsid w:val="002E1FE6"/>
    <w:rsid w:val="002E33EA"/>
    <w:rsid w:val="002E6315"/>
    <w:rsid w:val="002E7B9E"/>
    <w:rsid w:val="002E7E44"/>
    <w:rsid w:val="002F631B"/>
    <w:rsid w:val="002F7360"/>
    <w:rsid w:val="003004AE"/>
    <w:rsid w:val="00303375"/>
    <w:rsid w:val="00307974"/>
    <w:rsid w:val="00310240"/>
    <w:rsid w:val="00311BFC"/>
    <w:rsid w:val="00312E66"/>
    <w:rsid w:val="00314A31"/>
    <w:rsid w:val="00314FC4"/>
    <w:rsid w:val="003159FF"/>
    <w:rsid w:val="00316AC9"/>
    <w:rsid w:val="00320690"/>
    <w:rsid w:val="00324B55"/>
    <w:rsid w:val="003260EE"/>
    <w:rsid w:val="00330FDE"/>
    <w:rsid w:val="003334CA"/>
    <w:rsid w:val="0033452D"/>
    <w:rsid w:val="00340BEE"/>
    <w:rsid w:val="00341B48"/>
    <w:rsid w:val="00342196"/>
    <w:rsid w:val="00342BB7"/>
    <w:rsid w:val="0034325A"/>
    <w:rsid w:val="0035506B"/>
    <w:rsid w:val="003556B3"/>
    <w:rsid w:val="00355823"/>
    <w:rsid w:val="0036344E"/>
    <w:rsid w:val="0036385E"/>
    <w:rsid w:val="003646BE"/>
    <w:rsid w:val="003659B8"/>
    <w:rsid w:val="00366470"/>
    <w:rsid w:val="00367F19"/>
    <w:rsid w:val="00373413"/>
    <w:rsid w:val="00375D19"/>
    <w:rsid w:val="00377915"/>
    <w:rsid w:val="00377B58"/>
    <w:rsid w:val="00381A92"/>
    <w:rsid w:val="0038213F"/>
    <w:rsid w:val="003839EC"/>
    <w:rsid w:val="00383A5C"/>
    <w:rsid w:val="0038674D"/>
    <w:rsid w:val="00387BAD"/>
    <w:rsid w:val="00391238"/>
    <w:rsid w:val="003919ED"/>
    <w:rsid w:val="00394B8A"/>
    <w:rsid w:val="003A015C"/>
    <w:rsid w:val="003A2CBB"/>
    <w:rsid w:val="003A46BE"/>
    <w:rsid w:val="003A7A45"/>
    <w:rsid w:val="003B0F9C"/>
    <w:rsid w:val="003B75C8"/>
    <w:rsid w:val="003C0EBC"/>
    <w:rsid w:val="003C1459"/>
    <w:rsid w:val="003C2744"/>
    <w:rsid w:val="003C4AC5"/>
    <w:rsid w:val="003C60D2"/>
    <w:rsid w:val="003D1EAE"/>
    <w:rsid w:val="003D2A4D"/>
    <w:rsid w:val="003D2E0E"/>
    <w:rsid w:val="003D3EC2"/>
    <w:rsid w:val="003D62D3"/>
    <w:rsid w:val="003D741C"/>
    <w:rsid w:val="003D793A"/>
    <w:rsid w:val="003D7DF4"/>
    <w:rsid w:val="003E16EF"/>
    <w:rsid w:val="003E1A07"/>
    <w:rsid w:val="003E1D9E"/>
    <w:rsid w:val="003E3761"/>
    <w:rsid w:val="003E6098"/>
    <w:rsid w:val="003E7A1A"/>
    <w:rsid w:val="003F1BB4"/>
    <w:rsid w:val="003F1BCD"/>
    <w:rsid w:val="003F268B"/>
    <w:rsid w:val="003F6D74"/>
    <w:rsid w:val="00400B0C"/>
    <w:rsid w:val="0040421B"/>
    <w:rsid w:val="004070AE"/>
    <w:rsid w:val="00416802"/>
    <w:rsid w:val="00417D92"/>
    <w:rsid w:val="00421E4B"/>
    <w:rsid w:val="00425997"/>
    <w:rsid w:val="00426F37"/>
    <w:rsid w:val="00431308"/>
    <w:rsid w:val="0043183A"/>
    <w:rsid w:val="00431932"/>
    <w:rsid w:val="004342B4"/>
    <w:rsid w:val="004348CD"/>
    <w:rsid w:val="00441E67"/>
    <w:rsid w:val="00450035"/>
    <w:rsid w:val="00451220"/>
    <w:rsid w:val="00451A79"/>
    <w:rsid w:val="00461CCC"/>
    <w:rsid w:val="004621DF"/>
    <w:rsid w:val="0046302B"/>
    <w:rsid w:val="004648D1"/>
    <w:rsid w:val="00467EB9"/>
    <w:rsid w:val="00470425"/>
    <w:rsid w:val="00470D03"/>
    <w:rsid w:val="004721EF"/>
    <w:rsid w:val="00472AC0"/>
    <w:rsid w:val="00474379"/>
    <w:rsid w:val="00475AF1"/>
    <w:rsid w:val="0047730C"/>
    <w:rsid w:val="00480D27"/>
    <w:rsid w:val="00484795"/>
    <w:rsid w:val="00484807"/>
    <w:rsid w:val="004917F1"/>
    <w:rsid w:val="004A0EAD"/>
    <w:rsid w:val="004A110E"/>
    <w:rsid w:val="004A41F0"/>
    <w:rsid w:val="004A663F"/>
    <w:rsid w:val="004A7634"/>
    <w:rsid w:val="004B12B8"/>
    <w:rsid w:val="004B1576"/>
    <w:rsid w:val="004B7336"/>
    <w:rsid w:val="004C202C"/>
    <w:rsid w:val="004C6DF3"/>
    <w:rsid w:val="004D2988"/>
    <w:rsid w:val="004D4BB4"/>
    <w:rsid w:val="004D626A"/>
    <w:rsid w:val="004D655F"/>
    <w:rsid w:val="004D65FC"/>
    <w:rsid w:val="004D7474"/>
    <w:rsid w:val="004D7A45"/>
    <w:rsid w:val="004E063D"/>
    <w:rsid w:val="004E2335"/>
    <w:rsid w:val="004E3B37"/>
    <w:rsid w:val="004E5049"/>
    <w:rsid w:val="004E76F2"/>
    <w:rsid w:val="005009A4"/>
    <w:rsid w:val="005060C9"/>
    <w:rsid w:val="00506488"/>
    <w:rsid w:val="005078E9"/>
    <w:rsid w:val="00510EA7"/>
    <w:rsid w:val="00512A85"/>
    <w:rsid w:val="00513851"/>
    <w:rsid w:val="00513E79"/>
    <w:rsid w:val="00514B81"/>
    <w:rsid w:val="00517521"/>
    <w:rsid w:val="00522515"/>
    <w:rsid w:val="00524F35"/>
    <w:rsid w:val="0052710E"/>
    <w:rsid w:val="0052736B"/>
    <w:rsid w:val="0053371F"/>
    <w:rsid w:val="00537753"/>
    <w:rsid w:val="005416C8"/>
    <w:rsid w:val="00542113"/>
    <w:rsid w:val="005455FD"/>
    <w:rsid w:val="00547D67"/>
    <w:rsid w:val="005524CE"/>
    <w:rsid w:val="005531F3"/>
    <w:rsid w:val="00555CFB"/>
    <w:rsid w:val="00555F4F"/>
    <w:rsid w:val="00556439"/>
    <w:rsid w:val="00556939"/>
    <w:rsid w:val="0056055F"/>
    <w:rsid w:val="0056100E"/>
    <w:rsid w:val="00561341"/>
    <w:rsid w:val="00564DC6"/>
    <w:rsid w:val="005671AA"/>
    <w:rsid w:val="00567770"/>
    <w:rsid w:val="00572522"/>
    <w:rsid w:val="00574D5F"/>
    <w:rsid w:val="00576106"/>
    <w:rsid w:val="00576E3D"/>
    <w:rsid w:val="00581131"/>
    <w:rsid w:val="0058488F"/>
    <w:rsid w:val="0058716D"/>
    <w:rsid w:val="0059023D"/>
    <w:rsid w:val="005908ED"/>
    <w:rsid w:val="00593FEC"/>
    <w:rsid w:val="005A0682"/>
    <w:rsid w:val="005A11D1"/>
    <w:rsid w:val="005A6373"/>
    <w:rsid w:val="005B020A"/>
    <w:rsid w:val="005B4291"/>
    <w:rsid w:val="005B5388"/>
    <w:rsid w:val="005B6604"/>
    <w:rsid w:val="005B673D"/>
    <w:rsid w:val="005B6FE9"/>
    <w:rsid w:val="005B7D46"/>
    <w:rsid w:val="005C41E3"/>
    <w:rsid w:val="005C53B8"/>
    <w:rsid w:val="005C7E25"/>
    <w:rsid w:val="005D0AD2"/>
    <w:rsid w:val="005D7D3D"/>
    <w:rsid w:val="005E06E8"/>
    <w:rsid w:val="005E3019"/>
    <w:rsid w:val="005E3406"/>
    <w:rsid w:val="005E706A"/>
    <w:rsid w:val="005E753B"/>
    <w:rsid w:val="005F03B6"/>
    <w:rsid w:val="005F16D1"/>
    <w:rsid w:val="005F3388"/>
    <w:rsid w:val="005F6355"/>
    <w:rsid w:val="006000D1"/>
    <w:rsid w:val="00603607"/>
    <w:rsid w:val="00603F49"/>
    <w:rsid w:val="00606978"/>
    <w:rsid w:val="00610619"/>
    <w:rsid w:val="00610975"/>
    <w:rsid w:val="0062125E"/>
    <w:rsid w:val="0062212B"/>
    <w:rsid w:val="006225DB"/>
    <w:rsid w:val="0062260D"/>
    <w:rsid w:val="00623369"/>
    <w:rsid w:val="00623C97"/>
    <w:rsid w:val="006319CC"/>
    <w:rsid w:val="00634A21"/>
    <w:rsid w:val="006357E2"/>
    <w:rsid w:val="00637069"/>
    <w:rsid w:val="006372F9"/>
    <w:rsid w:val="00641107"/>
    <w:rsid w:val="00641797"/>
    <w:rsid w:val="00644032"/>
    <w:rsid w:val="006506D0"/>
    <w:rsid w:val="00650E75"/>
    <w:rsid w:val="00657879"/>
    <w:rsid w:val="00657D67"/>
    <w:rsid w:val="00667569"/>
    <w:rsid w:val="006702B3"/>
    <w:rsid w:val="006732DD"/>
    <w:rsid w:val="00674492"/>
    <w:rsid w:val="00674A8B"/>
    <w:rsid w:val="00674CE0"/>
    <w:rsid w:val="00674CFD"/>
    <w:rsid w:val="006835FA"/>
    <w:rsid w:val="00690296"/>
    <w:rsid w:val="00690C0D"/>
    <w:rsid w:val="00692A58"/>
    <w:rsid w:val="00692F0C"/>
    <w:rsid w:val="006964E2"/>
    <w:rsid w:val="006A1FD4"/>
    <w:rsid w:val="006A5E12"/>
    <w:rsid w:val="006B0FCC"/>
    <w:rsid w:val="006B344A"/>
    <w:rsid w:val="006C45BC"/>
    <w:rsid w:val="006C5EBC"/>
    <w:rsid w:val="006D1898"/>
    <w:rsid w:val="006D24C9"/>
    <w:rsid w:val="006D35A1"/>
    <w:rsid w:val="006D4112"/>
    <w:rsid w:val="006D4312"/>
    <w:rsid w:val="006D4367"/>
    <w:rsid w:val="006D5D42"/>
    <w:rsid w:val="006E43BE"/>
    <w:rsid w:val="006E6E37"/>
    <w:rsid w:val="006F428C"/>
    <w:rsid w:val="006F55C7"/>
    <w:rsid w:val="006F737B"/>
    <w:rsid w:val="006F78BA"/>
    <w:rsid w:val="007007AD"/>
    <w:rsid w:val="007033A9"/>
    <w:rsid w:val="007117F6"/>
    <w:rsid w:val="00712C52"/>
    <w:rsid w:val="0071336B"/>
    <w:rsid w:val="00716CD2"/>
    <w:rsid w:val="0072185F"/>
    <w:rsid w:val="007246E4"/>
    <w:rsid w:val="0073039E"/>
    <w:rsid w:val="00734F94"/>
    <w:rsid w:val="0073673B"/>
    <w:rsid w:val="00737D95"/>
    <w:rsid w:val="00737FC4"/>
    <w:rsid w:val="00741FD2"/>
    <w:rsid w:val="00743641"/>
    <w:rsid w:val="0074554E"/>
    <w:rsid w:val="00746085"/>
    <w:rsid w:val="007478D2"/>
    <w:rsid w:val="00747EB3"/>
    <w:rsid w:val="00751803"/>
    <w:rsid w:val="00752BE7"/>
    <w:rsid w:val="00761704"/>
    <w:rsid w:val="00765F75"/>
    <w:rsid w:val="0076757B"/>
    <w:rsid w:val="00774808"/>
    <w:rsid w:val="00775174"/>
    <w:rsid w:val="00776370"/>
    <w:rsid w:val="00776C08"/>
    <w:rsid w:val="00781730"/>
    <w:rsid w:val="00781936"/>
    <w:rsid w:val="00781FA1"/>
    <w:rsid w:val="0078421C"/>
    <w:rsid w:val="00785989"/>
    <w:rsid w:val="0078698F"/>
    <w:rsid w:val="00791B01"/>
    <w:rsid w:val="00791BE5"/>
    <w:rsid w:val="00792DC5"/>
    <w:rsid w:val="00792F46"/>
    <w:rsid w:val="00794A33"/>
    <w:rsid w:val="00794CD9"/>
    <w:rsid w:val="007969F3"/>
    <w:rsid w:val="007A1386"/>
    <w:rsid w:val="007A4481"/>
    <w:rsid w:val="007A4A7D"/>
    <w:rsid w:val="007A51B4"/>
    <w:rsid w:val="007A7268"/>
    <w:rsid w:val="007B04BF"/>
    <w:rsid w:val="007B0787"/>
    <w:rsid w:val="007B26C7"/>
    <w:rsid w:val="007B2B61"/>
    <w:rsid w:val="007B3AD9"/>
    <w:rsid w:val="007B58FA"/>
    <w:rsid w:val="007B74AA"/>
    <w:rsid w:val="007B7AF5"/>
    <w:rsid w:val="007C0D11"/>
    <w:rsid w:val="007C0D69"/>
    <w:rsid w:val="007C257D"/>
    <w:rsid w:val="007C26B2"/>
    <w:rsid w:val="007C2F5D"/>
    <w:rsid w:val="007C4F53"/>
    <w:rsid w:val="007C58D1"/>
    <w:rsid w:val="007D5DA8"/>
    <w:rsid w:val="007D66B8"/>
    <w:rsid w:val="007E02D8"/>
    <w:rsid w:val="007E1366"/>
    <w:rsid w:val="007E1962"/>
    <w:rsid w:val="007E48DC"/>
    <w:rsid w:val="007E76F6"/>
    <w:rsid w:val="007F165A"/>
    <w:rsid w:val="007F17BF"/>
    <w:rsid w:val="007F27D8"/>
    <w:rsid w:val="007F4543"/>
    <w:rsid w:val="008030D9"/>
    <w:rsid w:val="0080582E"/>
    <w:rsid w:val="00807B71"/>
    <w:rsid w:val="008237EB"/>
    <w:rsid w:val="008269F9"/>
    <w:rsid w:val="00826A54"/>
    <w:rsid w:val="00827512"/>
    <w:rsid w:val="00832E2E"/>
    <w:rsid w:val="0083614F"/>
    <w:rsid w:val="00837CC4"/>
    <w:rsid w:val="00837FCF"/>
    <w:rsid w:val="00841316"/>
    <w:rsid w:val="008415AA"/>
    <w:rsid w:val="0084690F"/>
    <w:rsid w:val="00847334"/>
    <w:rsid w:val="00847B07"/>
    <w:rsid w:val="0085321A"/>
    <w:rsid w:val="00855F99"/>
    <w:rsid w:val="00857D42"/>
    <w:rsid w:val="00860C0F"/>
    <w:rsid w:val="0086284B"/>
    <w:rsid w:val="00863CAD"/>
    <w:rsid w:val="008651E1"/>
    <w:rsid w:val="0086746B"/>
    <w:rsid w:val="0086784A"/>
    <w:rsid w:val="008722B7"/>
    <w:rsid w:val="00876E91"/>
    <w:rsid w:val="0088159C"/>
    <w:rsid w:val="00883163"/>
    <w:rsid w:val="008851EB"/>
    <w:rsid w:val="0088638A"/>
    <w:rsid w:val="00890CA8"/>
    <w:rsid w:val="00890FDF"/>
    <w:rsid w:val="00892A33"/>
    <w:rsid w:val="00895D7F"/>
    <w:rsid w:val="00897349"/>
    <w:rsid w:val="008A0AE8"/>
    <w:rsid w:val="008A1AF1"/>
    <w:rsid w:val="008A4379"/>
    <w:rsid w:val="008A6C49"/>
    <w:rsid w:val="008B0207"/>
    <w:rsid w:val="008B4DA0"/>
    <w:rsid w:val="008B637F"/>
    <w:rsid w:val="008C2590"/>
    <w:rsid w:val="008C2827"/>
    <w:rsid w:val="008C3704"/>
    <w:rsid w:val="008C5021"/>
    <w:rsid w:val="008C6A90"/>
    <w:rsid w:val="008C6CFC"/>
    <w:rsid w:val="008E260A"/>
    <w:rsid w:val="008E293B"/>
    <w:rsid w:val="008E3FAA"/>
    <w:rsid w:val="008E60B0"/>
    <w:rsid w:val="008E61F6"/>
    <w:rsid w:val="008E7E92"/>
    <w:rsid w:val="008E7F88"/>
    <w:rsid w:val="008F3BA9"/>
    <w:rsid w:val="00903A19"/>
    <w:rsid w:val="0091015C"/>
    <w:rsid w:val="009104BA"/>
    <w:rsid w:val="009112FF"/>
    <w:rsid w:val="00914903"/>
    <w:rsid w:val="0091601F"/>
    <w:rsid w:val="0091741B"/>
    <w:rsid w:val="00917609"/>
    <w:rsid w:val="00921F09"/>
    <w:rsid w:val="009255DA"/>
    <w:rsid w:val="00926F67"/>
    <w:rsid w:val="0092721E"/>
    <w:rsid w:val="00932B30"/>
    <w:rsid w:val="009331B8"/>
    <w:rsid w:val="00933C43"/>
    <w:rsid w:val="0094309C"/>
    <w:rsid w:val="00945824"/>
    <w:rsid w:val="00945BC4"/>
    <w:rsid w:val="00945F96"/>
    <w:rsid w:val="00953A98"/>
    <w:rsid w:val="0096534D"/>
    <w:rsid w:val="00965DAA"/>
    <w:rsid w:val="00967D26"/>
    <w:rsid w:val="0097174A"/>
    <w:rsid w:val="00971E9E"/>
    <w:rsid w:val="00977BFA"/>
    <w:rsid w:val="00980873"/>
    <w:rsid w:val="00982129"/>
    <w:rsid w:val="0098352D"/>
    <w:rsid w:val="00986AEC"/>
    <w:rsid w:val="00990B82"/>
    <w:rsid w:val="009927A3"/>
    <w:rsid w:val="009A337D"/>
    <w:rsid w:val="009A35B7"/>
    <w:rsid w:val="009A43C8"/>
    <w:rsid w:val="009A5606"/>
    <w:rsid w:val="009A781C"/>
    <w:rsid w:val="009B3841"/>
    <w:rsid w:val="009B5DD1"/>
    <w:rsid w:val="009C31D2"/>
    <w:rsid w:val="009C45A9"/>
    <w:rsid w:val="009C4ABC"/>
    <w:rsid w:val="009C5636"/>
    <w:rsid w:val="009C5668"/>
    <w:rsid w:val="009C69B9"/>
    <w:rsid w:val="009C6AB2"/>
    <w:rsid w:val="009C7A54"/>
    <w:rsid w:val="009D2CFF"/>
    <w:rsid w:val="009D3B80"/>
    <w:rsid w:val="009D4B28"/>
    <w:rsid w:val="009D5377"/>
    <w:rsid w:val="009E46B5"/>
    <w:rsid w:val="009E5524"/>
    <w:rsid w:val="009E55F7"/>
    <w:rsid w:val="009E56FB"/>
    <w:rsid w:val="009E6211"/>
    <w:rsid w:val="009F11A5"/>
    <w:rsid w:val="009F2391"/>
    <w:rsid w:val="009F3518"/>
    <w:rsid w:val="009F53D8"/>
    <w:rsid w:val="009F7CBC"/>
    <w:rsid w:val="00A00EF7"/>
    <w:rsid w:val="00A0147C"/>
    <w:rsid w:val="00A0302B"/>
    <w:rsid w:val="00A044A7"/>
    <w:rsid w:val="00A0476A"/>
    <w:rsid w:val="00A04E77"/>
    <w:rsid w:val="00A05EFF"/>
    <w:rsid w:val="00A06797"/>
    <w:rsid w:val="00A122A1"/>
    <w:rsid w:val="00A1405C"/>
    <w:rsid w:val="00A15D08"/>
    <w:rsid w:val="00A21DC1"/>
    <w:rsid w:val="00A274B6"/>
    <w:rsid w:val="00A276AE"/>
    <w:rsid w:val="00A278DE"/>
    <w:rsid w:val="00A379E7"/>
    <w:rsid w:val="00A42BF9"/>
    <w:rsid w:val="00A45A5E"/>
    <w:rsid w:val="00A5002F"/>
    <w:rsid w:val="00A511BD"/>
    <w:rsid w:val="00A519DF"/>
    <w:rsid w:val="00A64F97"/>
    <w:rsid w:val="00A6524E"/>
    <w:rsid w:val="00A65723"/>
    <w:rsid w:val="00A66587"/>
    <w:rsid w:val="00A70495"/>
    <w:rsid w:val="00A70508"/>
    <w:rsid w:val="00A7103B"/>
    <w:rsid w:val="00A73BED"/>
    <w:rsid w:val="00A73F1E"/>
    <w:rsid w:val="00A75CF3"/>
    <w:rsid w:val="00A7694D"/>
    <w:rsid w:val="00A777C7"/>
    <w:rsid w:val="00A829A3"/>
    <w:rsid w:val="00A839A7"/>
    <w:rsid w:val="00A83D9C"/>
    <w:rsid w:val="00A83FD6"/>
    <w:rsid w:val="00A85936"/>
    <w:rsid w:val="00A91FC7"/>
    <w:rsid w:val="00A95530"/>
    <w:rsid w:val="00A97E74"/>
    <w:rsid w:val="00AA0039"/>
    <w:rsid w:val="00AA2949"/>
    <w:rsid w:val="00AA2B72"/>
    <w:rsid w:val="00AA5CD1"/>
    <w:rsid w:val="00AB1F05"/>
    <w:rsid w:val="00AB3EA6"/>
    <w:rsid w:val="00AC11D1"/>
    <w:rsid w:val="00AC5C09"/>
    <w:rsid w:val="00AC60AF"/>
    <w:rsid w:val="00AC6C16"/>
    <w:rsid w:val="00AC7E29"/>
    <w:rsid w:val="00AD1D64"/>
    <w:rsid w:val="00AD2C87"/>
    <w:rsid w:val="00AD45EF"/>
    <w:rsid w:val="00AD54B6"/>
    <w:rsid w:val="00AE0AF4"/>
    <w:rsid w:val="00AE145A"/>
    <w:rsid w:val="00AE2FD7"/>
    <w:rsid w:val="00AE4FBA"/>
    <w:rsid w:val="00AE5548"/>
    <w:rsid w:val="00AF5EFA"/>
    <w:rsid w:val="00AF6E32"/>
    <w:rsid w:val="00B004A7"/>
    <w:rsid w:val="00B01244"/>
    <w:rsid w:val="00B024C1"/>
    <w:rsid w:val="00B03D31"/>
    <w:rsid w:val="00B050C8"/>
    <w:rsid w:val="00B150F4"/>
    <w:rsid w:val="00B154D9"/>
    <w:rsid w:val="00B20BF2"/>
    <w:rsid w:val="00B20F68"/>
    <w:rsid w:val="00B24F2D"/>
    <w:rsid w:val="00B25C40"/>
    <w:rsid w:val="00B31D23"/>
    <w:rsid w:val="00B40884"/>
    <w:rsid w:val="00B428CE"/>
    <w:rsid w:val="00B42917"/>
    <w:rsid w:val="00B460E0"/>
    <w:rsid w:val="00B465AC"/>
    <w:rsid w:val="00B46C05"/>
    <w:rsid w:val="00B47897"/>
    <w:rsid w:val="00B50098"/>
    <w:rsid w:val="00B52A0A"/>
    <w:rsid w:val="00B5646B"/>
    <w:rsid w:val="00B572DA"/>
    <w:rsid w:val="00B63AED"/>
    <w:rsid w:val="00B6513D"/>
    <w:rsid w:val="00B654D7"/>
    <w:rsid w:val="00B70BD3"/>
    <w:rsid w:val="00B74143"/>
    <w:rsid w:val="00B7730E"/>
    <w:rsid w:val="00B8077A"/>
    <w:rsid w:val="00B830C6"/>
    <w:rsid w:val="00B832A0"/>
    <w:rsid w:val="00B86999"/>
    <w:rsid w:val="00B92CA9"/>
    <w:rsid w:val="00B94780"/>
    <w:rsid w:val="00B95C3B"/>
    <w:rsid w:val="00B96274"/>
    <w:rsid w:val="00B97BEF"/>
    <w:rsid w:val="00B97D8F"/>
    <w:rsid w:val="00BA050F"/>
    <w:rsid w:val="00BA27BC"/>
    <w:rsid w:val="00BA2E52"/>
    <w:rsid w:val="00BA330A"/>
    <w:rsid w:val="00BA4DB4"/>
    <w:rsid w:val="00BA6798"/>
    <w:rsid w:val="00BB38E9"/>
    <w:rsid w:val="00BB78C0"/>
    <w:rsid w:val="00BC75E7"/>
    <w:rsid w:val="00BD0CD6"/>
    <w:rsid w:val="00BD5EF6"/>
    <w:rsid w:val="00BE0158"/>
    <w:rsid w:val="00BE182E"/>
    <w:rsid w:val="00BE396E"/>
    <w:rsid w:val="00BE3EBF"/>
    <w:rsid w:val="00BE6513"/>
    <w:rsid w:val="00BE69CF"/>
    <w:rsid w:val="00BE7E35"/>
    <w:rsid w:val="00BF0E06"/>
    <w:rsid w:val="00BF441D"/>
    <w:rsid w:val="00BF6916"/>
    <w:rsid w:val="00C00312"/>
    <w:rsid w:val="00C03C34"/>
    <w:rsid w:val="00C065F1"/>
    <w:rsid w:val="00C07200"/>
    <w:rsid w:val="00C114B4"/>
    <w:rsid w:val="00C13C37"/>
    <w:rsid w:val="00C14E97"/>
    <w:rsid w:val="00C159B0"/>
    <w:rsid w:val="00C15CA9"/>
    <w:rsid w:val="00C17119"/>
    <w:rsid w:val="00C20A46"/>
    <w:rsid w:val="00C2192B"/>
    <w:rsid w:val="00C306B1"/>
    <w:rsid w:val="00C30E01"/>
    <w:rsid w:val="00C33865"/>
    <w:rsid w:val="00C33D67"/>
    <w:rsid w:val="00C3492F"/>
    <w:rsid w:val="00C4078F"/>
    <w:rsid w:val="00C40D78"/>
    <w:rsid w:val="00C47A19"/>
    <w:rsid w:val="00C50D9C"/>
    <w:rsid w:val="00C51D94"/>
    <w:rsid w:val="00C533C0"/>
    <w:rsid w:val="00C54B0E"/>
    <w:rsid w:val="00C56B00"/>
    <w:rsid w:val="00C61111"/>
    <w:rsid w:val="00C62012"/>
    <w:rsid w:val="00C63914"/>
    <w:rsid w:val="00C67202"/>
    <w:rsid w:val="00C67671"/>
    <w:rsid w:val="00C718DD"/>
    <w:rsid w:val="00C746B1"/>
    <w:rsid w:val="00C8338C"/>
    <w:rsid w:val="00C83CF6"/>
    <w:rsid w:val="00C87456"/>
    <w:rsid w:val="00C90013"/>
    <w:rsid w:val="00C915BE"/>
    <w:rsid w:val="00C9438D"/>
    <w:rsid w:val="00C95509"/>
    <w:rsid w:val="00C962B0"/>
    <w:rsid w:val="00C96876"/>
    <w:rsid w:val="00CA1C7E"/>
    <w:rsid w:val="00CA342B"/>
    <w:rsid w:val="00CA7EA4"/>
    <w:rsid w:val="00CA7EC6"/>
    <w:rsid w:val="00CB035B"/>
    <w:rsid w:val="00CB7362"/>
    <w:rsid w:val="00CB7BC1"/>
    <w:rsid w:val="00CC0113"/>
    <w:rsid w:val="00CC1EFC"/>
    <w:rsid w:val="00CC44DD"/>
    <w:rsid w:val="00CC5D2F"/>
    <w:rsid w:val="00CC66C4"/>
    <w:rsid w:val="00CD0E99"/>
    <w:rsid w:val="00CD12C1"/>
    <w:rsid w:val="00CD23D3"/>
    <w:rsid w:val="00CD35E2"/>
    <w:rsid w:val="00CD559E"/>
    <w:rsid w:val="00CE02DE"/>
    <w:rsid w:val="00CE044A"/>
    <w:rsid w:val="00CE79BA"/>
    <w:rsid w:val="00CF5BDF"/>
    <w:rsid w:val="00CF5D13"/>
    <w:rsid w:val="00CF6C8E"/>
    <w:rsid w:val="00CF78C4"/>
    <w:rsid w:val="00CF7918"/>
    <w:rsid w:val="00D002F6"/>
    <w:rsid w:val="00D010E8"/>
    <w:rsid w:val="00D01CEB"/>
    <w:rsid w:val="00D071DD"/>
    <w:rsid w:val="00D07825"/>
    <w:rsid w:val="00D161B4"/>
    <w:rsid w:val="00D21D24"/>
    <w:rsid w:val="00D22C58"/>
    <w:rsid w:val="00D23654"/>
    <w:rsid w:val="00D302D5"/>
    <w:rsid w:val="00D302E7"/>
    <w:rsid w:val="00D311D5"/>
    <w:rsid w:val="00D32C2F"/>
    <w:rsid w:val="00D363C1"/>
    <w:rsid w:val="00D37BD4"/>
    <w:rsid w:val="00D40031"/>
    <w:rsid w:val="00D44A17"/>
    <w:rsid w:val="00D51499"/>
    <w:rsid w:val="00D51B32"/>
    <w:rsid w:val="00D521D5"/>
    <w:rsid w:val="00D52CE8"/>
    <w:rsid w:val="00D52E22"/>
    <w:rsid w:val="00D54E2B"/>
    <w:rsid w:val="00D55532"/>
    <w:rsid w:val="00D55E4A"/>
    <w:rsid w:val="00D6021B"/>
    <w:rsid w:val="00D609F7"/>
    <w:rsid w:val="00D61B9D"/>
    <w:rsid w:val="00D66300"/>
    <w:rsid w:val="00D6742C"/>
    <w:rsid w:val="00D72720"/>
    <w:rsid w:val="00D761F6"/>
    <w:rsid w:val="00D76638"/>
    <w:rsid w:val="00D77521"/>
    <w:rsid w:val="00D77672"/>
    <w:rsid w:val="00D77FC1"/>
    <w:rsid w:val="00D82076"/>
    <w:rsid w:val="00D84838"/>
    <w:rsid w:val="00D8544A"/>
    <w:rsid w:val="00D85969"/>
    <w:rsid w:val="00D85F34"/>
    <w:rsid w:val="00D86969"/>
    <w:rsid w:val="00D869BC"/>
    <w:rsid w:val="00D872C4"/>
    <w:rsid w:val="00D93333"/>
    <w:rsid w:val="00D93FBC"/>
    <w:rsid w:val="00D964BD"/>
    <w:rsid w:val="00D96B9C"/>
    <w:rsid w:val="00DA0EEF"/>
    <w:rsid w:val="00DA3A20"/>
    <w:rsid w:val="00DA5935"/>
    <w:rsid w:val="00DA727F"/>
    <w:rsid w:val="00DB0D78"/>
    <w:rsid w:val="00DB0F78"/>
    <w:rsid w:val="00DB392E"/>
    <w:rsid w:val="00DC10E9"/>
    <w:rsid w:val="00DC3AD7"/>
    <w:rsid w:val="00DC5D0B"/>
    <w:rsid w:val="00DC7767"/>
    <w:rsid w:val="00DD0784"/>
    <w:rsid w:val="00DD2311"/>
    <w:rsid w:val="00DD34FB"/>
    <w:rsid w:val="00DD3899"/>
    <w:rsid w:val="00DD68C9"/>
    <w:rsid w:val="00DD78F5"/>
    <w:rsid w:val="00DD7C6C"/>
    <w:rsid w:val="00DE260D"/>
    <w:rsid w:val="00DE38CC"/>
    <w:rsid w:val="00DE413C"/>
    <w:rsid w:val="00DE55E7"/>
    <w:rsid w:val="00DE787B"/>
    <w:rsid w:val="00DE7A63"/>
    <w:rsid w:val="00DF0A47"/>
    <w:rsid w:val="00DF120D"/>
    <w:rsid w:val="00DF13EC"/>
    <w:rsid w:val="00DF3CF6"/>
    <w:rsid w:val="00DF4757"/>
    <w:rsid w:val="00E0054F"/>
    <w:rsid w:val="00E0397C"/>
    <w:rsid w:val="00E03FF5"/>
    <w:rsid w:val="00E04B8E"/>
    <w:rsid w:val="00E21F5F"/>
    <w:rsid w:val="00E30C88"/>
    <w:rsid w:val="00E316A5"/>
    <w:rsid w:val="00E42AAA"/>
    <w:rsid w:val="00E42C79"/>
    <w:rsid w:val="00E45C51"/>
    <w:rsid w:val="00E5260D"/>
    <w:rsid w:val="00E5445C"/>
    <w:rsid w:val="00E55870"/>
    <w:rsid w:val="00E57DD4"/>
    <w:rsid w:val="00E6358D"/>
    <w:rsid w:val="00E6617F"/>
    <w:rsid w:val="00E6657B"/>
    <w:rsid w:val="00E6687A"/>
    <w:rsid w:val="00E67AF0"/>
    <w:rsid w:val="00E67DFC"/>
    <w:rsid w:val="00E702B6"/>
    <w:rsid w:val="00E72109"/>
    <w:rsid w:val="00E74032"/>
    <w:rsid w:val="00E75436"/>
    <w:rsid w:val="00E84324"/>
    <w:rsid w:val="00E843EB"/>
    <w:rsid w:val="00E847FE"/>
    <w:rsid w:val="00E87789"/>
    <w:rsid w:val="00E90D12"/>
    <w:rsid w:val="00E93437"/>
    <w:rsid w:val="00E94825"/>
    <w:rsid w:val="00E94860"/>
    <w:rsid w:val="00E95D2D"/>
    <w:rsid w:val="00EA010D"/>
    <w:rsid w:val="00EA3A62"/>
    <w:rsid w:val="00EA5B0C"/>
    <w:rsid w:val="00EA5CD9"/>
    <w:rsid w:val="00EC60E8"/>
    <w:rsid w:val="00EC7641"/>
    <w:rsid w:val="00ED2029"/>
    <w:rsid w:val="00ED5C5E"/>
    <w:rsid w:val="00ED6AB4"/>
    <w:rsid w:val="00EE094F"/>
    <w:rsid w:val="00EE0FB2"/>
    <w:rsid w:val="00EE1BF2"/>
    <w:rsid w:val="00EE5C4F"/>
    <w:rsid w:val="00EF1C61"/>
    <w:rsid w:val="00EF4D85"/>
    <w:rsid w:val="00EF7352"/>
    <w:rsid w:val="00F01D8F"/>
    <w:rsid w:val="00F04196"/>
    <w:rsid w:val="00F06302"/>
    <w:rsid w:val="00F07632"/>
    <w:rsid w:val="00F104DE"/>
    <w:rsid w:val="00F11013"/>
    <w:rsid w:val="00F12E4B"/>
    <w:rsid w:val="00F145ED"/>
    <w:rsid w:val="00F15515"/>
    <w:rsid w:val="00F16535"/>
    <w:rsid w:val="00F21613"/>
    <w:rsid w:val="00F24EC2"/>
    <w:rsid w:val="00F315A5"/>
    <w:rsid w:val="00F35A3D"/>
    <w:rsid w:val="00F363E8"/>
    <w:rsid w:val="00F379A2"/>
    <w:rsid w:val="00F37C26"/>
    <w:rsid w:val="00F450AB"/>
    <w:rsid w:val="00F45EF7"/>
    <w:rsid w:val="00F50C05"/>
    <w:rsid w:val="00F54675"/>
    <w:rsid w:val="00F5640B"/>
    <w:rsid w:val="00F61B67"/>
    <w:rsid w:val="00F61CB9"/>
    <w:rsid w:val="00F63336"/>
    <w:rsid w:val="00F6389B"/>
    <w:rsid w:val="00F63DBC"/>
    <w:rsid w:val="00F646EC"/>
    <w:rsid w:val="00F66DDB"/>
    <w:rsid w:val="00F67623"/>
    <w:rsid w:val="00F75831"/>
    <w:rsid w:val="00F7646E"/>
    <w:rsid w:val="00F7750B"/>
    <w:rsid w:val="00F80C96"/>
    <w:rsid w:val="00F814CD"/>
    <w:rsid w:val="00F815F4"/>
    <w:rsid w:val="00F84116"/>
    <w:rsid w:val="00F908C6"/>
    <w:rsid w:val="00F9099E"/>
    <w:rsid w:val="00F90F09"/>
    <w:rsid w:val="00F92B1A"/>
    <w:rsid w:val="00F948C3"/>
    <w:rsid w:val="00F94D57"/>
    <w:rsid w:val="00FA187D"/>
    <w:rsid w:val="00FA2DE0"/>
    <w:rsid w:val="00FA5383"/>
    <w:rsid w:val="00FA6A08"/>
    <w:rsid w:val="00FA6B1A"/>
    <w:rsid w:val="00FB241A"/>
    <w:rsid w:val="00FB2D6B"/>
    <w:rsid w:val="00FB4792"/>
    <w:rsid w:val="00FB6140"/>
    <w:rsid w:val="00FC0238"/>
    <w:rsid w:val="00FC44D0"/>
    <w:rsid w:val="00FC6FD2"/>
    <w:rsid w:val="00FC71DD"/>
    <w:rsid w:val="00FC7AE7"/>
    <w:rsid w:val="00FD006C"/>
    <w:rsid w:val="00FD0D5C"/>
    <w:rsid w:val="00FD1029"/>
    <w:rsid w:val="00FD5266"/>
    <w:rsid w:val="00FD71A3"/>
    <w:rsid w:val="00FD7C0B"/>
    <w:rsid w:val="00FE03E1"/>
    <w:rsid w:val="00FF0084"/>
    <w:rsid w:val="00FF1227"/>
    <w:rsid w:val="00FF2E2F"/>
    <w:rsid w:val="00FF3314"/>
    <w:rsid w:val="00FF3666"/>
    <w:rsid w:val="00FF447A"/>
    <w:rsid w:val="00FF5777"/>
    <w:rsid w:val="01641DCA"/>
    <w:rsid w:val="01C84ACF"/>
    <w:rsid w:val="01FF6BA9"/>
    <w:rsid w:val="02D159D1"/>
    <w:rsid w:val="02F419D3"/>
    <w:rsid w:val="02FE3537"/>
    <w:rsid w:val="034155E9"/>
    <w:rsid w:val="04712AB4"/>
    <w:rsid w:val="054A1175"/>
    <w:rsid w:val="054E09BE"/>
    <w:rsid w:val="05D851BE"/>
    <w:rsid w:val="06291FC7"/>
    <w:rsid w:val="06974D24"/>
    <w:rsid w:val="07E0325B"/>
    <w:rsid w:val="08210266"/>
    <w:rsid w:val="08BD63ED"/>
    <w:rsid w:val="08F60773"/>
    <w:rsid w:val="0994675E"/>
    <w:rsid w:val="09A55995"/>
    <w:rsid w:val="09D2509D"/>
    <w:rsid w:val="0AD51A28"/>
    <w:rsid w:val="0B1D5B5E"/>
    <w:rsid w:val="0B9C1408"/>
    <w:rsid w:val="0C762DC1"/>
    <w:rsid w:val="0CE70ED2"/>
    <w:rsid w:val="0D23177C"/>
    <w:rsid w:val="0D9C069D"/>
    <w:rsid w:val="0E1034C8"/>
    <w:rsid w:val="0E9555F6"/>
    <w:rsid w:val="116F7B99"/>
    <w:rsid w:val="11874FBE"/>
    <w:rsid w:val="11CA62F8"/>
    <w:rsid w:val="11F9626D"/>
    <w:rsid w:val="12102DB6"/>
    <w:rsid w:val="12441A2F"/>
    <w:rsid w:val="128B44DB"/>
    <w:rsid w:val="12A1740C"/>
    <w:rsid w:val="12B27391"/>
    <w:rsid w:val="12C372BA"/>
    <w:rsid w:val="12E20848"/>
    <w:rsid w:val="12FD4A57"/>
    <w:rsid w:val="131258B0"/>
    <w:rsid w:val="13C67FD4"/>
    <w:rsid w:val="14083370"/>
    <w:rsid w:val="14CF5540"/>
    <w:rsid w:val="156B1F9A"/>
    <w:rsid w:val="158A2763"/>
    <w:rsid w:val="158D7F1F"/>
    <w:rsid w:val="15B048EF"/>
    <w:rsid w:val="15CB2BCA"/>
    <w:rsid w:val="15D73229"/>
    <w:rsid w:val="164E12CF"/>
    <w:rsid w:val="167D26E9"/>
    <w:rsid w:val="168D7598"/>
    <w:rsid w:val="17DA3CAD"/>
    <w:rsid w:val="189669D2"/>
    <w:rsid w:val="18E011D9"/>
    <w:rsid w:val="193D1D45"/>
    <w:rsid w:val="19942538"/>
    <w:rsid w:val="1A0F29BA"/>
    <w:rsid w:val="1A102821"/>
    <w:rsid w:val="1A786618"/>
    <w:rsid w:val="1A90434E"/>
    <w:rsid w:val="1A9D17F9"/>
    <w:rsid w:val="1AF736B3"/>
    <w:rsid w:val="1B545730"/>
    <w:rsid w:val="1B8148BC"/>
    <w:rsid w:val="1B896599"/>
    <w:rsid w:val="1BA06EA1"/>
    <w:rsid w:val="1CA7361F"/>
    <w:rsid w:val="1CDC12E6"/>
    <w:rsid w:val="1D0E0CA7"/>
    <w:rsid w:val="1DD93E81"/>
    <w:rsid w:val="1E0D3178"/>
    <w:rsid w:val="1E120C67"/>
    <w:rsid w:val="1E9D55C9"/>
    <w:rsid w:val="1FB74EF4"/>
    <w:rsid w:val="2088262E"/>
    <w:rsid w:val="20A13576"/>
    <w:rsid w:val="21A26BDD"/>
    <w:rsid w:val="21AB454B"/>
    <w:rsid w:val="2247415A"/>
    <w:rsid w:val="228215B9"/>
    <w:rsid w:val="23044152"/>
    <w:rsid w:val="231A58BB"/>
    <w:rsid w:val="24332D1E"/>
    <w:rsid w:val="247A52BF"/>
    <w:rsid w:val="24A93E4E"/>
    <w:rsid w:val="24DC54B3"/>
    <w:rsid w:val="25F33F52"/>
    <w:rsid w:val="261730B7"/>
    <w:rsid w:val="26BA7DD1"/>
    <w:rsid w:val="27BD29B1"/>
    <w:rsid w:val="28B94C71"/>
    <w:rsid w:val="296D600F"/>
    <w:rsid w:val="29B331FB"/>
    <w:rsid w:val="2ABF2267"/>
    <w:rsid w:val="2ADA66CC"/>
    <w:rsid w:val="2AF32F8C"/>
    <w:rsid w:val="2B03716F"/>
    <w:rsid w:val="2B5257FF"/>
    <w:rsid w:val="2B606BD1"/>
    <w:rsid w:val="2CB7248E"/>
    <w:rsid w:val="2D194A73"/>
    <w:rsid w:val="2D28362B"/>
    <w:rsid w:val="2D8C1A45"/>
    <w:rsid w:val="2D911AC4"/>
    <w:rsid w:val="2D966FEF"/>
    <w:rsid w:val="2D9E167E"/>
    <w:rsid w:val="2DD65AFA"/>
    <w:rsid w:val="2DF9FE57"/>
    <w:rsid w:val="2DFD1CC9"/>
    <w:rsid w:val="2EED7377"/>
    <w:rsid w:val="30ED230F"/>
    <w:rsid w:val="31347A94"/>
    <w:rsid w:val="31B01500"/>
    <w:rsid w:val="31BE7FF5"/>
    <w:rsid w:val="325A3A14"/>
    <w:rsid w:val="325C2FDC"/>
    <w:rsid w:val="32BD343E"/>
    <w:rsid w:val="3466475F"/>
    <w:rsid w:val="346E158D"/>
    <w:rsid w:val="35087B02"/>
    <w:rsid w:val="35C07F84"/>
    <w:rsid w:val="36567498"/>
    <w:rsid w:val="36900730"/>
    <w:rsid w:val="38095242"/>
    <w:rsid w:val="387E6AA8"/>
    <w:rsid w:val="38860C34"/>
    <w:rsid w:val="38B7210C"/>
    <w:rsid w:val="38E839A5"/>
    <w:rsid w:val="39E569E8"/>
    <w:rsid w:val="3AAA7DB1"/>
    <w:rsid w:val="3AE78FF8"/>
    <w:rsid w:val="3C1D6253"/>
    <w:rsid w:val="3C8A61F2"/>
    <w:rsid w:val="3CDF9756"/>
    <w:rsid w:val="3D0E417C"/>
    <w:rsid w:val="3DF52BF0"/>
    <w:rsid w:val="3F0432D7"/>
    <w:rsid w:val="3F1D5B21"/>
    <w:rsid w:val="3F234856"/>
    <w:rsid w:val="3F2C0B45"/>
    <w:rsid w:val="3F8C6FC8"/>
    <w:rsid w:val="404203B9"/>
    <w:rsid w:val="4073110D"/>
    <w:rsid w:val="40E9071A"/>
    <w:rsid w:val="42680D91"/>
    <w:rsid w:val="42B17F68"/>
    <w:rsid w:val="43794DB4"/>
    <w:rsid w:val="439249A4"/>
    <w:rsid w:val="43A115C2"/>
    <w:rsid w:val="44AB4958"/>
    <w:rsid w:val="44C95E4D"/>
    <w:rsid w:val="458E49BA"/>
    <w:rsid w:val="45915284"/>
    <w:rsid w:val="45A81449"/>
    <w:rsid w:val="46050649"/>
    <w:rsid w:val="46726930"/>
    <w:rsid w:val="46A369EF"/>
    <w:rsid w:val="46BC1807"/>
    <w:rsid w:val="46C24A73"/>
    <w:rsid w:val="473070C1"/>
    <w:rsid w:val="47815855"/>
    <w:rsid w:val="47A22569"/>
    <w:rsid w:val="48530352"/>
    <w:rsid w:val="487F2A35"/>
    <w:rsid w:val="48B673C6"/>
    <w:rsid w:val="495D6541"/>
    <w:rsid w:val="49BE6FF7"/>
    <w:rsid w:val="4A3E7AAC"/>
    <w:rsid w:val="4A422225"/>
    <w:rsid w:val="4C916798"/>
    <w:rsid w:val="4CDD7942"/>
    <w:rsid w:val="4D0842AE"/>
    <w:rsid w:val="4D1F0574"/>
    <w:rsid w:val="4D273696"/>
    <w:rsid w:val="4D6F0F27"/>
    <w:rsid w:val="4E7E5854"/>
    <w:rsid w:val="4E95688E"/>
    <w:rsid w:val="4F2C382D"/>
    <w:rsid w:val="4F2E3217"/>
    <w:rsid w:val="4F6F4579"/>
    <w:rsid w:val="4F947BD2"/>
    <w:rsid w:val="4FEE34CF"/>
    <w:rsid w:val="4FFFCB84"/>
    <w:rsid w:val="504F669A"/>
    <w:rsid w:val="50683BF9"/>
    <w:rsid w:val="506E2FA9"/>
    <w:rsid w:val="50FE11CB"/>
    <w:rsid w:val="519C31EF"/>
    <w:rsid w:val="51A95397"/>
    <w:rsid w:val="520E5239"/>
    <w:rsid w:val="523D231B"/>
    <w:rsid w:val="531373EA"/>
    <w:rsid w:val="53485162"/>
    <w:rsid w:val="53634631"/>
    <w:rsid w:val="53675695"/>
    <w:rsid w:val="53CF11CD"/>
    <w:rsid w:val="544E765F"/>
    <w:rsid w:val="55034069"/>
    <w:rsid w:val="5539570C"/>
    <w:rsid w:val="55C65745"/>
    <w:rsid w:val="565A4A1D"/>
    <w:rsid w:val="574F208F"/>
    <w:rsid w:val="57CB2D78"/>
    <w:rsid w:val="57CE2535"/>
    <w:rsid w:val="57DD63F9"/>
    <w:rsid w:val="57E642AD"/>
    <w:rsid w:val="58CC1B7A"/>
    <w:rsid w:val="58E6777D"/>
    <w:rsid w:val="58EF734E"/>
    <w:rsid w:val="590349EA"/>
    <w:rsid w:val="591D4222"/>
    <w:rsid w:val="599E4BE5"/>
    <w:rsid w:val="59F471C6"/>
    <w:rsid w:val="5A106B3E"/>
    <w:rsid w:val="5A1F0010"/>
    <w:rsid w:val="5AB71FF9"/>
    <w:rsid w:val="5AC91D2F"/>
    <w:rsid w:val="5ADA4713"/>
    <w:rsid w:val="5B7E4B0D"/>
    <w:rsid w:val="5B857A67"/>
    <w:rsid w:val="5B894E42"/>
    <w:rsid w:val="5BA31905"/>
    <w:rsid w:val="5BA6437E"/>
    <w:rsid w:val="5C07656E"/>
    <w:rsid w:val="5C435576"/>
    <w:rsid w:val="5CCA6CF3"/>
    <w:rsid w:val="5CE96177"/>
    <w:rsid w:val="5CF94CC8"/>
    <w:rsid w:val="5DFC4D91"/>
    <w:rsid w:val="5E54348F"/>
    <w:rsid w:val="5E5B7AAE"/>
    <w:rsid w:val="600318B5"/>
    <w:rsid w:val="60427BE4"/>
    <w:rsid w:val="61A92371"/>
    <w:rsid w:val="61B612ED"/>
    <w:rsid w:val="62285A03"/>
    <w:rsid w:val="62D82485"/>
    <w:rsid w:val="63401DB2"/>
    <w:rsid w:val="63B94B74"/>
    <w:rsid w:val="66463CD1"/>
    <w:rsid w:val="67FF4CD7"/>
    <w:rsid w:val="682F49FC"/>
    <w:rsid w:val="68375408"/>
    <w:rsid w:val="69325DE5"/>
    <w:rsid w:val="6A636C9A"/>
    <w:rsid w:val="6ABA5F43"/>
    <w:rsid w:val="6ADA181C"/>
    <w:rsid w:val="6B5B1417"/>
    <w:rsid w:val="6B60619E"/>
    <w:rsid w:val="6BA71178"/>
    <w:rsid w:val="6C9331E3"/>
    <w:rsid w:val="6CBB05EB"/>
    <w:rsid w:val="6CF829A7"/>
    <w:rsid w:val="6D4BD2C1"/>
    <w:rsid w:val="6DAB622D"/>
    <w:rsid w:val="6DAFB0F6"/>
    <w:rsid w:val="6DD7078C"/>
    <w:rsid w:val="6E024D7E"/>
    <w:rsid w:val="6E771456"/>
    <w:rsid w:val="6E8359FA"/>
    <w:rsid w:val="6ED4144E"/>
    <w:rsid w:val="6F26173F"/>
    <w:rsid w:val="6F3329E1"/>
    <w:rsid w:val="6F666F52"/>
    <w:rsid w:val="6FDFAEB1"/>
    <w:rsid w:val="6FFFACFA"/>
    <w:rsid w:val="700B19B6"/>
    <w:rsid w:val="706C6AEF"/>
    <w:rsid w:val="707412E6"/>
    <w:rsid w:val="70C54BE4"/>
    <w:rsid w:val="70DD729C"/>
    <w:rsid w:val="71101551"/>
    <w:rsid w:val="711A4EDD"/>
    <w:rsid w:val="71D92BDF"/>
    <w:rsid w:val="72050762"/>
    <w:rsid w:val="72122E05"/>
    <w:rsid w:val="7225363D"/>
    <w:rsid w:val="72455CBC"/>
    <w:rsid w:val="727D5794"/>
    <w:rsid w:val="72F765AB"/>
    <w:rsid w:val="73AF0E87"/>
    <w:rsid w:val="73B6B418"/>
    <w:rsid w:val="73E91CC6"/>
    <w:rsid w:val="73FFD2E6"/>
    <w:rsid w:val="746F3DF1"/>
    <w:rsid w:val="75C37045"/>
    <w:rsid w:val="75E65AC7"/>
    <w:rsid w:val="76D506A4"/>
    <w:rsid w:val="775D7A36"/>
    <w:rsid w:val="78054975"/>
    <w:rsid w:val="780D2EC9"/>
    <w:rsid w:val="78C01E37"/>
    <w:rsid w:val="79236EA2"/>
    <w:rsid w:val="7A406952"/>
    <w:rsid w:val="7A8C22DE"/>
    <w:rsid w:val="7AAE5DB4"/>
    <w:rsid w:val="7B1941C4"/>
    <w:rsid w:val="7B913B8F"/>
    <w:rsid w:val="7BDD9A5C"/>
    <w:rsid w:val="7C387A49"/>
    <w:rsid w:val="7C591904"/>
    <w:rsid w:val="7C92478F"/>
    <w:rsid w:val="7CBF510C"/>
    <w:rsid w:val="7CDB12D7"/>
    <w:rsid w:val="7CF4770A"/>
    <w:rsid w:val="7DE35C30"/>
    <w:rsid w:val="7DEF77E7"/>
    <w:rsid w:val="7DFE679C"/>
    <w:rsid w:val="7E1068A1"/>
    <w:rsid w:val="7E710884"/>
    <w:rsid w:val="7EE76221"/>
    <w:rsid w:val="7EFB74E7"/>
    <w:rsid w:val="7F433388"/>
    <w:rsid w:val="7F4E1799"/>
    <w:rsid w:val="7F8222CF"/>
    <w:rsid w:val="7FB99AFC"/>
    <w:rsid w:val="7FDF2D3C"/>
    <w:rsid w:val="95DA999E"/>
    <w:rsid w:val="A2F793F4"/>
    <w:rsid w:val="A377F12E"/>
    <w:rsid w:val="AAEECA80"/>
    <w:rsid w:val="ADFE42DE"/>
    <w:rsid w:val="AF57A193"/>
    <w:rsid w:val="B5FD2A89"/>
    <w:rsid w:val="BB39B87F"/>
    <w:rsid w:val="C37F6FD4"/>
    <w:rsid w:val="DBB7EF9B"/>
    <w:rsid w:val="DC3F77C8"/>
    <w:rsid w:val="DFFFC04D"/>
    <w:rsid w:val="E5FF6D69"/>
    <w:rsid w:val="E65DBF85"/>
    <w:rsid w:val="E77BECCA"/>
    <w:rsid w:val="EFDFF4F1"/>
    <w:rsid w:val="F1FD0C19"/>
    <w:rsid w:val="F7FF9A29"/>
    <w:rsid w:val="F8DEED88"/>
    <w:rsid w:val="F92F84C1"/>
    <w:rsid w:val="FE7F4C9B"/>
    <w:rsid w:val="FEF83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widowControl/>
      <w:jc w:val="left"/>
      <w:outlineLvl w:val="0"/>
    </w:pPr>
    <w:rPr>
      <w:b/>
      <w:bCs/>
      <w:kern w:val="0"/>
      <w:sz w:val="24"/>
    </w:rPr>
  </w:style>
  <w:style w:type="paragraph" w:styleId="4">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0"/>
    <w:qFormat/>
    <w:uiPriority w:val="0"/>
    <w:pPr>
      <w:keepNext/>
      <w:outlineLvl w:val="2"/>
    </w:pPr>
    <w:rPr>
      <w:rFonts w:ascii="楷体_GB2312" w:hAnsi="宋体" w:eastAsia="楷体_GB2312"/>
      <w:b/>
      <w:bCs/>
      <w:sz w:val="32"/>
    </w:rPr>
  </w:style>
  <w:style w:type="paragraph" w:styleId="6">
    <w:name w:val="heading 4"/>
    <w:basedOn w:val="1"/>
    <w:next w:val="1"/>
    <w:link w:val="5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7">
    <w:name w:val="heading 5"/>
    <w:basedOn w:val="1"/>
    <w:next w:val="1"/>
    <w:link w:val="52"/>
    <w:qFormat/>
    <w:uiPriority w:val="0"/>
    <w:pPr>
      <w:keepNext/>
      <w:keepLines/>
      <w:widowControl/>
      <w:spacing w:before="280" w:after="290" w:line="376" w:lineRule="auto"/>
      <w:jc w:val="left"/>
      <w:outlineLvl w:val="4"/>
    </w:pPr>
    <w:rPr>
      <w:b/>
      <w:bCs/>
      <w:kern w:val="0"/>
      <w:sz w:val="28"/>
      <w:szCs w:val="28"/>
    </w:rPr>
  </w:style>
  <w:style w:type="paragraph" w:styleId="8">
    <w:name w:val="heading 6"/>
    <w:basedOn w:val="1"/>
    <w:next w:val="1"/>
    <w:link w:val="53"/>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9">
    <w:name w:val="heading 7"/>
    <w:basedOn w:val="1"/>
    <w:next w:val="1"/>
    <w:link w:val="54"/>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55"/>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56"/>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12">
    <w:name w:val="toc 7"/>
    <w:basedOn w:val="1"/>
    <w:next w:val="1"/>
    <w:qFormat/>
    <w:uiPriority w:val="0"/>
    <w:pPr>
      <w:ind w:left="1260"/>
      <w:jc w:val="left"/>
    </w:pPr>
    <w:rPr>
      <w:rFonts w:ascii="Calibri" w:hAnsi="Calibri" w:cs="Calibri"/>
      <w:sz w:val="18"/>
      <w:szCs w:val="18"/>
    </w:rPr>
  </w:style>
  <w:style w:type="paragraph" w:styleId="13">
    <w:name w:val="Normal Indent"/>
    <w:basedOn w:val="1"/>
    <w:link w:val="106"/>
    <w:qFormat/>
    <w:uiPriority w:val="0"/>
    <w:pPr>
      <w:ind w:firstLine="420" w:firstLineChars="200"/>
    </w:pPr>
    <w:rPr>
      <w:szCs w:val="21"/>
    </w:rPr>
  </w:style>
  <w:style w:type="paragraph" w:styleId="14">
    <w:name w:val="Document Map"/>
    <w:basedOn w:val="1"/>
    <w:link w:val="88"/>
    <w:qFormat/>
    <w:uiPriority w:val="0"/>
    <w:pPr>
      <w:shd w:val="clear" w:color="auto" w:fill="000080"/>
    </w:pPr>
    <w:rPr>
      <w:szCs w:val="20"/>
    </w:rPr>
  </w:style>
  <w:style w:type="paragraph" w:styleId="15">
    <w:name w:val="annotation text"/>
    <w:basedOn w:val="1"/>
    <w:link w:val="63"/>
    <w:qFormat/>
    <w:uiPriority w:val="0"/>
    <w:pPr>
      <w:jc w:val="left"/>
    </w:pPr>
    <w:rPr>
      <w:rFonts w:asciiTheme="minorHAnsi" w:hAnsiTheme="minorHAnsi" w:eastAsiaTheme="minorEastAsia" w:cstheme="minorBidi"/>
    </w:rPr>
  </w:style>
  <w:style w:type="paragraph" w:styleId="16">
    <w:name w:val="Body Text 3"/>
    <w:basedOn w:val="1"/>
    <w:link w:val="81"/>
    <w:qFormat/>
    <w:uiPriority w:val="0"/>
    <w:pPr>
      <w:spacing w:after="120"/>
    </w:pPr>
    <w:rPr>
      <w:sz w:val="16"/>
      <w:szCs w:val="16"/>
    </w:rPr>
  </w:style>
  <w:style w:type="paragraph" w:styleId="17">
    <w:name w:val="Body Text"/>
    <w:basedOn w:val="1"/>
    <w:next w:val="1"/>
    <w:link w:val="91"/>
    <w:qFormat/>
    <w:uiPriority w:val="0"/>
    <w:pPr>
      <w:spacing w:after="120"/>
    </w:pPr>
  </w:style>
  <w:style w:type="paragraph" w:styleId="18">
    <w:name w:val="Body Text Indent"/>
    <w:basedOn w:val="1"/>
    <w:link w:val="76"/>
    <w:qFormat/>
    <w:uiPriority w:val="0"/>
    <w:pPr>
      <w:spacing w:line="560" w:lineRule="exact"/>
      <w:ind w:left="300"/>
    </w:pPr>
    <w:rPr>
      <w:sz w:val="24"/>
    </w:rPr>
  </w:style>
  <w:style w:type="paragraph" w:styleId="19">
    <w:name w:val="toc 5"/>
    <w:basedOn w:val="1"/>
    <w:next w:val="1"/>
    <w:qFormat/>
    <w:uiPriority w:val="0"/>
    <w:pPr>
      <w:ind w:left="840"/>
      <w:jc w:val="left"/>
    </w:pPr>
    <w:rPr>
      <w:rFonts w:ascii="Calibri" w:hAnsi="Calibri" w:cs="Calibri"/>
      <w:sz w:val="18"/>
      <w:szCs w:val="18"/>
    </w:rPr>
  </w:style>
  <w:style w:type="paragraph" w:styleId="20">
    <w:name w:val="toc 3"/>
    <w:basedOn w:val="1"/>
    <w:next w:val="1"/>
    <w:qFormat/>
    <w:uiPriority w:val="39"/>
    <w:pPr>
      <w:ind w:left="420"/>
      <w:jc w:val="left"/>
    </w:pPr>
    <w:rPr>
      <w:rFonts w:ascii="Calibri" w:hAnsi="Calibri" w:cs="Calibri"/>
      <w:i/>
      <w:iCs/>
      <w:sz w:val="20"/>
      <w:szCs w:val="20"/>
    </w:rPr>
  </w:style>
  <w:style w:type="paragraph" w:styleId="21">
    <w:name w:val="Plain Text"/>
    <w:basedOn w:val="1"/>
    <w:link w:val="62"/>
    <w:qFormat/>
    <w:uiPriority w:val="0"/>
    <w:rPr>
      <w:rFonts w:ascii="宋体" w:hAnsi="Courier New" w:cs="Courier New" w:eastAsiaTheme="minorEastAsia"/>
      <w:szCs w:val="21"/>
    </w:rPr>
  </w:style>
  <w:style w:type="paragraph" w:styleId="22">
    <w:name w:val="toc 8"/>
    <w:basedOn w:val="1"/>
    <w:next w:val="1"/>
    <w:qFormat/>
    <w:uiPriority w:val="0"/>
    <w:pPr>
      <w:ind w:left="1470"/>
      <w:jc w:val="left"/>
    </w:pPr>
    <w:rPr>
      <w:rFonts w:ascii="Calibri" w:hAnsi="Calibri" w:cs="Calibri"/>
      <w:sz w:val="18"/>
      <w:szCs w:val="18"/>
    </w:rPr>
  </w:style>
  <w:style w:type="paragraph" w:styleId="23">
    <w:name w:val="Date"/>
    <w:basedOn w:val="1"/>
    <w:next w:val="1"/>
    <w:link w:val="94"/>
    <w:qFormat/>
    <w:uiPriority w:val="0"/>
    <w:pPr>
      <w:widowControl/>
    </w:pPr>
    <w:rPr>
      <w:rFonts w:ascii="宋体"/>
      <w:kern w:val="0"/>
      <w:szCs w:val="20"/>
    </w:rPr>
  </w:style>
  <w:style w:type="paragraph" w:styleId="24">
    <w:name w:val="Body Text Indent 2"/>
    <w:basedOn w:val="1"/>
    <w:link w:val="92"/>
    <w:qFormat/>
    <w:uiPriority w:val="0"/>
    <w:pPr>
      <w:spacing w:line="540" w:lineRule="exact"/>
      <w:ind w:left="462" w:leftChars="220"/>
    </w:pPr>
    <w:rPr>
      <w:sz w:val="24"/>
    </w:rPr>
  </w:style>
  <w:style w:type="paragraph" w:styleId="25">
    <w:name w:val="Balloon Text"/>
    <w:basedOn w:val="1"/>
    <w:link w:val="59"/>
    <w:qFormat/>
    <w:uiPriority w:val="0"/>
    <w:rPr>
      <w:rFonts w:asciiTheme="minorHAnsi" w:hAnsiTheme="minorHAnsi" w:cstheme="minorBidi"/>
      <w:sz w:val="18"/>
      <w:szCs w:val="22"/>
    </w:rPr>
  </w:style>
  <w:style w:type="paragraph" w:styleId="26">
    <w:name w:val="footer"/>
    <w:basedOn w:val="1"/>
    <w:link w:val="47"/>
    <w:unhideWhenUsed/>
    <w:qFormat/>
    <w:uiPriority w:val="0"/>
    <w:pPr>
      <w:tabs>
        <w:tab w:val="center" w:pos="4153"/>
        <w:tab w:val="right" w:pos="8306"/>
      </w:tabs>
      <w:snapToGrid w:val="0"/>
      <w:jc w:val="left"/>
    </w:pPr>
    <w:rPr>
      <w:sz w:val="18"/>
      <w:szCs w:val="18"/>
    </w:rPr>
  </w:style>
  <w:style w:type="paragraph" w:styleId="27">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rFonts w:ascii="Calibri" w:hAnsi="Calibri" w:cs="Calibri"/>
      <w:b/>
      <w:bCs/>
      <w:caps/>
      <w:szCs w:val="20"/>
    </w:rPr>
  </w:style>
  <w:style w:type="paragraph" w:styleId="29">
    <w:name w:val="toc 4"/>
    <w:basedOn w:val="1"/>
    <w:next w:val="1"/>
    <w:qFormat/>
    <w:uiPriority w:val="0"/>
    <w:pPr>
      <w:ind w:left="630"/>
      <w:jc w:val="left"/>
    </w:pPr>
    <w:rPr>
      <w:rFonts w:ascii="Calibri" w:hAnsi="Calibri" w:cs="Calibri"/>
      <w:sz w:val="18"/>
      <w:szCs w:val="18"/>
    </w:rPr>
  </w:style>
  <w:style w:type="paragraph" w:styleId="30">
    <w:name w:val="toc 6"/>
    <w:basedOn w:val="1"/>
    <w:next w:val="1"/>
    <w:qFormat/>
    <w:uiPriority w:val="0"/>
    <w:pPr>
      <w:ind w:left="1050"/>
      <w:jc w:val="left"/>
    </w:pPr>
    <w:rPr>
      <w:rFonts w:ascii="Calibri" w:hAnsi="Calibri" w:cs="Calibri"/>
      <w:sz w:val="18"/>
      <w:szCs w:val="18"/>
    </w:rPr>
  </w:style>
  <w:style w:type="paragraph" w:styleId="31">
    <w:name w:val="Body Text Indent 3"/>
    <w:basedOn w:val="1"/>
    <w:link w:val="97"/>
    <w:qFormat/>
    <w:uiPriority w:val="0"/>
    <w:pPr>
      <w:spacing w:after="120"/>
      <w:ind w:left="420" w:leftChars="200"/>
    </w:pPr>
    <w:rPr>
      <w:sz w:val="16"/>
      <w:szCs w:val="16"/>
    </w:rPr>
  </w:style>
  <w:style w:type="paragraph" w:styleId="32">
    <w:name w:val="toc 2"/>
    <w:basedOn w:val="1"/>
    <w:next w:val="1"/>
    <w:qFormat/>
    <w:uiPriority w:val="39"/>
    <w:pPr>
      <w:ind w:left="210"/>
      <w:jc w:val="left"/>
    </w:pPr>
    <w:rPr>
      <w:rFonts w:ascii="Calibri" w:hAnsi="Calibri" w:cs="Calibri"/>
      <w:smallCaps/>
      <w:szCs w:val="20"/>
    </w:rPr>
  </w:style>
  <w:style w:type="paragraph" w:styleId="33">
    <w:name w:val="toc 9"/>
    <w:basedOn w:val="1"/>
    <w:next w:val="1"/>
    <w:qFormat/>
    <w:uiPriority w:val="0"/>
    <w:pPr>
      <w:ind w:left="1680"/>
      <w:jc w:val="left"/>
    </w:pPr>
    <w:rPr>
      <w:rFonts w:ascii="Calibri" w:hAnsi="Calibri" w:cs="Calibri"/>
      <w:sz w:val="18"/>
      <w:szCs w:val="18"/>
    </w:rPr>
  </w:style>
  <w:style w:type="paragraph" w:styleId="34">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kern w:val="0"/>
      <w:sz w:val="24"/>
    </w:rPr>
  </w:style>
  <w:style w:type="paragraph" w:styleId="36">
    <w:name w:val="annotation subject"/>
    <w:basedOn w:val="15"/>
    <w:next w:val="15"/>
    <w:link w:val="87"/>
    <w:semiHidden/>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themeColor="followedHyperlink"/>
      <w:u w:val="single"/>
      <w14:textFill>
        <w14:solidFill>
          <w14:schemeClr w14:val="folHlink"/>
        </w14:solidFill>
      </w14:textFill>
    </w:rPr>
  </w:style>
  <w:style w:type="character" w:styleId="43">
    <w:name w:val="Emphasis"/>
    <w:qFormat/>
    <w:uiPriority w:val="20"/>
    <w:rPr>
      <w:color w:val="CC0000"/>
    </w:rPr>
  </w:style>
  <w:style w:type="character" w:styleId="44">
    <w:name w:val="Hyperlink"/>
    <w:basedOn w:val="39"/>
    <w:qFormat/>
    <w:uiPriority w:val="99"/>
    <w:rPr>
      <w:rFonts w:eastAsia="宋体"/>
      <w:color w:val="0000FF"/>
      <w:sz w:val="28"/>
      <w:u w:val="single"/>
    </w:rPr>
  </w:style>
  <w:style w:type="character" w:styleId="45">
    <w:name w:val="annotation reference"/>
    <w:qFormat/>
    <w:uiPriority w:val="0"/>
    <w:rPr>
      <w:sz w:val="21"/>
      <w:szCs w:val="21"/>
    </w:rPr>
  </w:style>
  <w:style w:type="character" w:customStyle="1" w:styleId="46">
    <w:name w:val="页眉 字符"/>
    <w:basedOn w:val="39"/>
    <w:link w:val="27"/>
    <w:qFormat/>
    <w:uiPriority w:val="0"/>
    <w:rPr>
      <w:sz w:val="18"/>
      <w:szCs w:val="18"/>
    </w:rPr>
  </w:style>
  <w:style w:type="character" w:customStyle="1" w:styleId="47">
    <w:name w:val="页脚 字符"/>
    <w:basedOn w:val="39"/>
    <w:link w:val="26"/>
    <w:qFormat/>
    <w:uiPriority w:val="0"/>
    <w:rPr>
      <w:sz w:val="18"/>
      <w:szCs w:val="18"/>
    </w:rPr>
  </w:style>
  <w:style w:type="character" w:customStyle="1" w:styleId="48">
    <w:name w:val="标题 1 字符"/>
    <w:basedOn w:val="39"/>
    <w:link w:val="3"/>
    <w:qFormat/>
    <w:uiPriority w:val="0"/>
    <w:rPr>
      <w:rFonts w:ascii="Times New Roman" w:hAnsi="Times New Roman" w:eastAsia="宋体" w:cs="Times New Roman"/>
      <w:b/>
      <w:bCs/>
      <w:kern w:val="0"/>
      <w:sz w:val="24"/>
      <w:szCs w:val="24"/>
    </w:rPr>
  </w:style>
  <w:style w:type="character" w:customStyle="1" w:styleId="49">
    <w:name w:val="标题 2 字符"/>
    <w:basedOn w:val="39"/>
    <w:link w:val="4"/>
    <w:qFormat/>
    <w:uiPriority w:val="0"/>
    <w:rPr>
      <w:rFonts w:ascii="Arial" w:hAnsi="Arial" w:eastAsia="黑体" w:cs="Times New Roman"/>
      <w:b/>
      <w:bCs/>
      <w:sz w:val="32"/>
      <w:szCs w:val="32"/>
    </w:rPr>
  </w:style>
  <w:style w:type="character" w:customStyle="1" w:styleId="50">
    <w:name w:val="标题 3 字符"/>
    <w:basedOn w:val="39"/>
    <w:link w:val="5"/>
    <w:qFormat/>
    <w:uiPriority w:val="0"/>
    <w:rPr>
      <w:rFonts w:ascii="楷体_GB2312" w:hAnsi="宋体" w:eastAsia="楷体_GB2312" w:cs="Times New Roman"/>
      <w:b/>
      <w:bCs/>
      <w:sz w:val="32"/>
      <w:szCs w:val="24"/>
    </w:rPr>
  </w:style>
  <w:style w:type="character" w:customStyle="1" w:styleId="51">
    <w:name w:val="标题 4 字符"/>
    <w:basedOn w:val="39"/>
    <w:link w:val="6"/>
    <w:qFormat/>
    <w:uiPriority w:val="0"/>
    <w:rPr>
      <w:rFonts w:ascii="Arial" w:hAnsi="Arial" w:eastAsia="黑体" w:cs="Times New Roman"/>
      <w:b/>
      <w:bCs/>
      <w:kern w:val="0"/>
      <w:sz w:val="28"/>
      <w:szCs w:val="28"/>
    </w:rPr>
  </w:style>
  <w:style w:type="character" w:customStyle="1" w:styleId="52">
    <w:name w:val="标题 5 字符"/>
    <w:basedOn w:val="39"/>
    <w:link w:val="7"/>
    <w:qFormat/>
    <w:uiPriority w:val="0"/>
    <w:rPr>
      <w:rFonts w:ascii="Times New Roman" w:hAnsi="Times New Roman" w:eastAsia="宋体" w:cs="Times New Roman"/>
      <w:b/>
      <w:bCs/>
      <w:kern w:val="0"/>
      <w:sz w:val="28"/>
      <w:szCs w:val="28"/>
    </w:rPr>
  </w:style>
  <w:style w:type="character" w:customStyle="1" w:styleId="53">
    <w:name w:val="标题 6 字符"/>
    <w:basedOn w:val="39"/>
    <w:link w:val="8"/>
    <w:qFormat/>
    <w:uiPriority w:val="0"/>
    <w:rPr>
      <w:rFonts w:ascii="Arial" w:hAnsi="Arial" w:eastAsia="黑体" w:cs="Times New Roman"/>
      <w:b/>
      <w:bCs/>
      <w:kern w:val="0"/>
      <w:sz w:val="24"/>
      <w:szCs w:val="24"/>
    </w:rPr>
  </w:style>
  <w:style w:type="character" w:customStyle="1" w:styleId="54">
    <w:name w:val="标题 7 字符"/>
    <w:basedOn w:val="39"/>
    <w:link w:val="9"/>
    <w:qFormat/>
    <w:uiPriority w:val="0"/>
    <w:rPr>
      <w:rFonts w:ascii="Times New Roman" w:hAnsi="Times New Roman" w:eastAsia="宋体" w:cs="Times New Roman"/>
      <w:b/>
      <w:bCs/>
      <w:kern w:val="0"/>
      <w:sz w:val="24"/>
      <w:szCs w:val="24"/>
    </w:rPr>
  </w:style>
  <w:style w:type="character" w:customStyle="1" w:styleId="55">
    <w:name w:val="标题 8 字符"/>
    <w:basedOn w:val="39"/>
    <w:link w:val="10"/>
    <w:qFormat/>
    <w:uiPriority w:val="0"/>
    <w:rPr>
      <w:rFonts w:ascii="Arial" w:hAnsi="Arial" w:eastAsia="黑体" w:cs="Times New Roman"/>
      <w:kern w:val="0"/>
      <w:sz w:val="24"/>
      <w:szCs w:val="24"/>
    </w:rPr>
  </w:style>
  <w:style w:type="character" w:customStyle="1" w:styleId="56">
    <w:name w:val="标题 9 字符"/>
    <w:basedOn w:val="39"/>
    <w:link w:val="11"/>
    <w:qFormat/>
    <w:uiPriority w:val="0"/>
    <w:rPr>
      <w:rFonts w:ascii="Arial" w:hAnsi="Arial" w:eastAsia="黑体" w:cs="Times New Roman"/>
      <w:kern w:val="0"/>
      <w:szCs w:val="21"/>
    </w:rPr>
  </w:style>
  <w:style w:type="character" w:customStyle="1" w:styleId="57">
    <w:name w:val="f141"/>
    <w:qFormat/>
    <w:uiPriority w:val="0"/>
    <w:rPr>
      <w:sz w:val="21"/>
      <w:szCs w:val="21"/>
    </w:rPr>
  </w:style>
  <w:style w:type="character" w:customStyle="1" w:styleId="58">
    <w:name w:val="p141"/>
    <w:qFormat/>
    <w:uiPriority w:val="0"/>
    <w:rPr>
      <w:sz w:val="21"/>
      <w:szCs w:val="21"/>
    </w:rPr>
  </w:style>
  <w:style w:type="character" w:customStyle="1" w:styleId="59">
    <w:name w:val="批注框文本 字符"/>
    <w:link w:val="25"/>
    <w:qFormat/>
    <w:locked/>
    <w:uiPriority w:val="0"/>
    <w:rPr>
      <w:rFonts w:eastAsia="宋体"/>
      <w:sz w:val="18"/>
    </w:rPr>
  </w:style>
  <w:style w:type="paragraph" w:customStyle="1" w:styleId="60">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s10pv000000"/>
    <w:basedOn w:val="39"/>
    <w:qFormat/>
    <w:uiPriority w:val="0"/>
  </w:style>
  <w:style w:type="character" w:customStyle="1" w:styleId="62">
    <w:name w:val="纯文本 字符"/>
    <w:link w:val="21"/>
    <w:qFormat/>
    <w:uiPriority w:val="0"/>
    <w:rPr>
      <w:rFonts w:ascii="宋体" w:hAnsi="Courier New" w:cs="Courier New"/>
      <w:szCs w:val="21"/>
    </w:rPr>
  </w:style>
  <w:style w:type="character" w:customStyle="1" w:styleId="63">
    <w:name w:val="批注文字 字符"/>
    <w:link w:val="15"/>
    <w:qFormat/>
    <w:uiPriority w:val="0"/>
    <w:rPr>
      <w:szCs w:val="24"/>
    </w:rPr>
  </w:style>
  <w:style w:type="paragraph" w:customStyle="1" w:styleId="64">
    <w:name w:val="样式 标题 4 + 段前: 5 磅 段后: 5 磅 行距: 单倍行距"/>
    <w:basedOn w:val="6"/>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7">
    <w:name w:val="表格"/>
    <w:basedOn w:val="1"/>
    <w:qFormat/>
    <w:uiPriority w:val="0"/>
    <w:pPr>
      <w:spacing w:line="420" w:lineRule="exact"/>
      <w:ind w:left="84" w:leftChars="40"/>
      <w:jc w:val="center"/>
    </w:pPr>
    <w:rPr>
      <w:rFonts w:ascii="宋体" w:hAnsi="宋体"/>
      <w:bCs/>
      <w:spacing w:val="-12"/>
    </w:rPr>
  </w:style>
  <w:style w:type="paragraph" w:customStyle="1" w:styleId="68">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9">
    <w:name w:val="样式4"/>
    <w:basedOn w:val="1"/>
    <w:qFormat/>
    <w:uiPriority w:val="0"/>
    <w:pPr>
      <w:tabs>
        <w:tab w:val="left" w:pos="2328"/>
      </w:tabs>
      <w:ind w:left="2328" w:hanging="708"/>
    </w:pPr>
  </w:style>
  <w:style w:type="paragraph" w:customStyle="1" w:styleId="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
    <w:name w:val="3 Char"/>
    <w:basedOn w:val="1"/>
    <w:qFormat/>
    <w:uiPriority w:val="0"/>
    <w:pPr>
      <w:widowControl/>
      <w:spacing w:line="400" w:lineRule="exact"/>
      <w:jc w:val="center"/>
    </w:pPr>
    <w:rPr>
      <w:rFonts w:ascii="Verdana" w:hAnsi="Verdana"/>
      <w:kern w:val="0"/>
      <w:szCs w:val="20"/>
      <w:lang w:eastAsia="en-US"/>
    </w:rPr>
  </w:style>
  <w:style w:type="character" w:customStyle="1" w:styleId="72">
    <w:name w:val="批注文字 Char1"/>
    <w:basedOn w:val="39"/>
    <w:semiHidden/>
    <w:qFormat/>
    <w:uiPriority w:val="99"/>
    <w:rPr>
      <w:rFonts w:ascii="Times New Roman" w:hAnsi="Times New Roman" w:eastAsia="宋体" w:cs="Times New Roman"/>
      <w:szCs w:val="24"/>
    </w:rPr>
  </w:style>
  <w:style w:type="paragraph" w:customStyle="1" w:styleId="73">
    <w:name w:val="样式 标题 2 + 宋体 五号 非加粗 黑色"/>
    <w:basedOn w:val="4"/>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74">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76">
    <w:name w:val="正文文本缩进 字符"/>
    <w:basedOn w:val="39"/>
    <w:link w:val="18"/>
    <w:qFormat/>
    <w:uiPriority w:val="0"/>
    <w:rPr>
      <w:rFonts w:ascii="Times New Roman" w:hAnsi="Times New Roman" w:eastAsia="宋体" w:cs="Times New Roman"/>
      <w:sz w:val="24"/>
      <w:szCs w:val="24"/>
    </w:rPr>
  </w:style>
  <w:style w:type="paragraph" w:customStyle="1" w:styleId="77">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7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0">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81">
    <w:name w:val="正文文本 3 字符"/>
    <w:basedOn w:val="39"/>
    <w:link w:val="16"/>
    <w:qFormat/>
    <w:uiPriority w:val="0"/>
    <w:rPr>
      <w:rFonts w:ascii="Times New Roman" w:hAnsi="Times New Roman" w:eastAsia="宋体" w:cs="Times New Roman"/>
      <w:sz w:val="16"/>
      <w:szCs w:val="16"/>
    </w:rPr>
  </w:style>
  <w:style w:type="paragraph" w:customStyle="1" w:styleId="8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3">
    <w:name w:val="列出段落1"/>
    <w:basedOn w:val="1"/>
    <w:qFormat/>
    <w:uiPriority w:val="34"/>
    <w:pPr>
      <w:ind w:firstLine="420" w:firstLineChars="200"/>
    </w:pPr>
  </w:style>
  <w:style w:type="paragraph" w:customStyle="1" w:styleId="84">
    <w:name w:val="默认段落字体 Para Char Char Char Char"/>
    <w:basedOn w:val="1"/>
    <w:qFormat/>
    <w:uiPriority w:val="0"/>
    <w:rPr>
      <w:szCs w:val="20"/>
    </w:rPr>
  </w:style>
  <w:style w:type="paragraph" w:customStyle="1" w:styleId="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87">
    <w:name w:val="批注主题 字符"/>
    <w:basedOn w:val="72"/>
    <w:link w:val="36"/>
    <w:semiHidden/>
    <w:qFormat/>
    <w:uiPriority w:val="0"/>
    <w:rPr>
      <w:rFonts w:ascii="Times New Roman" w:hAnsi="Times New Roman" w:eastAsia="宋体" w:cs="Times New Roman"/>
      <w:b/>
      <w:bCs/>
      <w:szCs w:val="24"/>
    </w:rPr>
  </w:style>
  <w:style w:type="character" w:customStyle="1" w:styleId="88">
    <w:name w:val="文档结构图 字符"/>
    <w:basedOn w:val="39"/>
    <w:link w:val="14"/>
    <w:qFormat/>
    <w:uiPriority w:val="0"/>
    <w:rPr>
      <w:rFonts w:ascii="Times New Roman" w:hAnsi="Times New Roman" w:eastAsia="宋体" w:cs="Times New Roman"/>
      <w:szCs w:val="20"/>
      <w:shd w:val="clear" w:color="auto" w:fill="000080"/>
    </w:rPr>
  </w:style>
  <w:style w:type="paragraph" w:customStyle="1" w:styleId="89">
    <w:name w:val="Char Char Char Char Char Char Char"/>
    <w:basedOn w:val="1"/>
    <w:qFormat/>
    <w:uiPriority w:val="0"/>
    <w:rPr>
      <w:rFonts w:ascii="Tahoma" w:hAnsi="Tahoma" w:cs="Tahoma"/>
      <w:sz w:val="30"/>
      <w:szCs w:val="30"/>
    </w:rPr>
  </w:style>
  <w:style w:type="paragraph" w:customStyle="1" w:styleId="90">
    <w:name w:val="样式 标题 3h3H3sect1.2.3 + 五号 段前: 6 磅 段后: 6 磅 行距: 单倍行距"/>
    <w:basedOn w:val="5"/>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1">
    <w:name w:val="正文文本 字符"/>
    <w:basedOn w:val="39"/>
    <w:link w:val="17"/>
    <w:qFormat/>
    <w:uiPriority w:val="0"/>
    <w:rPr>
      <w:rFonts w:ascii="Times New Roman" w:hAnsi="Times New Roman" w:eastAsia="宋体" w:cs="Times New Roman"/>
      <w:szCs w:val="24"/>
    </w:rPr>
  </w:style>
  <w:style w:type="character" w:customStyle="1" w:styleId="92">
    <w:name w:val="正文文本缩进 2 字符"/>
    <w:basedOn w:val="39"/>
    <w:link w:val="24"/>
    <w:qFormat/>
    <w:uiPriority w:val="0"/>
    <w:rPr>
      <w:rFonts w:ascii="Times New Roman" w:hAnsi="Times New Roman" w:eastAsia="宋体" w:cs="Times New Roman"/>
      <w:sz w:val="24"/>
      <w:szCs w:val="24"/>
    </w:rPr>
  </w:style>
  <w:style w:type="character" w:customStyle="1" w:styleId="93">
    <w:name w:val="纯文本 Char1"/>
    <w:basedOn w:val="39"/>
    <w:qFormat/>
    <w:uiPriority w:val="0"/>
    <w:rPr>
      <w:rFonts w:ascii="宋体" w:hAnsi="Courier New" w:eastAsia="宋体" w:cs="Courier New"/>
      <w:szCs w:val="21"/>
    </w:rPr>
  </w:style>
  <w:style w:type="character" w:customStyle="1" w:styleId="94">
    <w:name w:val="日期 字符"/>
    <w:basedOn w:val="39"/>
    <w:link w:val="23"/>
    <w:qFormat/>
    <w:uiPriority w:val="0"/>
    <w:rPr>
      <w:rFonts w:ascii="宋体" w:hAnsi="Times New Roman" w:eastAsia="宋体" w:cs="Times New Roman"/>
      <w:kern w:val="0"/>
      <w:szCs w:val="20"/>
    </w:rPr>
  </w:style>
  <w:style w:type="character" w:customStyle="1" w:styleId="95">
    <w:name w:val="批注框文本 Char1"/>
    <w:basedOn w:val="39"/>
    <w:semiHidden/>
    <w:qFormat/>
    <w:uiPriority w:val="99"/>
    <w:rPr>
      <w:rFonts w:ascii="Times New Roman" w:hAnsi="Times New Roman" w:eastAsia="宋体" w:cs="Times New Roman"/>
      <w:sz w:val="18"/>
      <w:szCs w:val="18"/>
    </w:rPr>
  </w:style>
  <w:style w:type="character" w:customStyle="1" w:styleId="96">
    <w:name w:val="HTML 预设格式 字符"/>
    <w:basedOn w:val="39"/>
    <w:link w:val="34"/>
    <w:qFormat/>
    <w:uiPriority w:val="0"/>
    <w:rPr>
      <w:rFonts w:ascii="黑体" w:hAnsi="Courier New" w:eastAsia="黑体" w:cs="Courier New"/>
      <w:kern w:val="0"/>
      <w:sz w:val="20"/>
      <w:szCs w:val="20"/>
    </w:rPr>
  </w:style>
  <w:style w:type="character" w:customStyle="1" w:styleId="97">
    <w:name w:val="正文文本缩进 3 字符"/>
    <w:basedOn w:val="39"/>
    <w:link w:val="31"/>
    <w:qFormat/>
    <w:uiPriority w:val="0"/>
    <w:rPr>
      <w:rFonts w:ascii="Times New Roman" w:hAnsi="Times New Roman" w:eastAsia="宋体" w:cs="Times New Roman"/>
      <w:sz w:val="16"/>
      <w:szCs w:val="16"/>
    </w:rPr>
  </w:style>
  <w:style w:type="paragraph" w:customStyle="1" w:styleId="98">
    <w:name w:val="Char1 Char Char Char"/>
    <w:basedOn w:val="1"/>
    <w:qFormat/>
    <w:uiPriority w:val="0"/>
    <w:rPr>
      <w:szCs w:val="20"/>
    </w:rPr>
  </w:style>
  <w:style w:type="paragraph" w:customStyle="1" w:styleId="99">
    <w:name w:val="Char1"/>
    <w:basedOn w:val="1"/>
    <w:qFormat/>
    <w:uiPriority w:val="0"/>
    <w:pPr>
      <w:widowControl/>
      <w:spacing w:after="160" w:line="240" w:lineRule="exact"/>
      <w:jc w:val="left"/>
    </w:pPr>
    <w:rPr>
      <w:sz w:val="24"/>
    </w:rPr>
  </w:style>
  <w:style w:type="paragraph" w:customStyle="1" w:styleId="100">
    <w:name w:val="默认段落字体 Para Char"/>
    <w:basedOn w:val="1"/>
    <w:qFormat/>
    <w:uiPriority w:val="0"/>
  </w:style>
  <w:style w:type="paragraph" w:customStyle="1" w:styleId="101">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2">
    <w:name w:val="TOC 标题1"/>
    <w:basedOn w:val="3"/>
    <w:next w:val="1"/>
    <w:qFormat/>
    <w:uiPriority w:val="39"/>
    <w:pPr>
      <w:keepLines/>
      <w:spacing w:before="480" w:line="276" w:lineRule="auto"/>
      <w:outlineLvl w:val="9"/>
    </w:pPr>
    <w:rPr>
      <w:rFonts w:ascii="Cambria" w:hAnsi="Cambria"/>
      <w:color w:val="365F91"/>
      <w:sz w:val="28"/>
      <w:szCs w:val="28"/>
    </w:rPr>
  </w:style>
  <w:style w:type="paragraph" w:customStyle="1" w:styleId="10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4">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5">
    <w:name w:val="Char Char2 Char"/>
    <w:basedOn w:val="1"/>
    <w:qFormat/>
    <w:uiPriority w:val="0"/>
    <w:rPr>
      <w:rFonts w:ascii="宋体" w:hAnsi="宋体"/>
      <w:b/>
      <w:sz w:val="28"/>
      <w:szCs w:val="28"/>
    </w:rPr>
  </w:style>
  <w:style w:type="character" w:customStyle="1" w:styleId="106">
    <w:name w:val="正文缩进 字符"/>
    <w:link w:val="13"/>
    <w:qFormat/>
    <w:uiPriority w:val="0"/>
    <w:rPr>
      <w:rFonts w:ascii="Times New Roman" w:hAnsi="Times New Roman" w:eastAsia="宋体" w:cs="Times New Roman"/>
      <w:szCs w:val="21"/>
    </w:rPr>
  </w:style>
  <w:style w:type="paragraph" w:customStyle="1" w:styleId="107">
    <w:name w:val="Char Char Char"/>
    <w:basedOn w:val="1"/>
    <w:qFormat/>
    <w:uiPriority w:val="0"/>
    <w:rPr>
      <w:rFonts w:ascii="宋体" w:hAnsi="宋体"/>
      <w:b/>
      <w:sz w:val="28"/>
      <w:szCs w:val="28"/>
    </w:rPr>
  </w:style>
  <w:style w:type="paragraph" w:customStyle="1" w:styleId="108">
    <w:name w:val="Char2"/>
    <w:basedOn w:val="1"/>
    <w:qFormat/>
    <w:uiPriority w:val="0"/>
    <w:pPr>
      <w:widowControl/>
      <w:spacing w:after="160" w:line="240" w:lineRule="exact"/>
      <w:jc w:val="left"/>
    </w:pPr>
    <w:rPr>
      <w:szCs w:val="20"/>
    </w:rPr>
  </w:style>
  <w:style w:type="paragraph" w:customStyle="1" w:styleId="109">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明显参考1"/>
    <w:qFormat/>
    <w:uiPriority w:val="32"/>
    <w:rPr>
      <w:b/>
      <w:bCs/>
      <w:smallCaps/>
      <w:color w:val="C0504D"/>
      <w:spacing w:val="5"/>
      <w:u w:val="single"/>
    </w:rPr>
  </w:style>
  <w:style w:type="paragraph" w:customStyle="1" w:styleId="11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列出段落11"/>
    <w:basedOn w:val="1"/>
    <w:qFormat/>
    <w:uiPriority w:val="34"/>
    <w:pPr>
      <w:ind w:firstLine="420" w:firstLineChars="200"/>
    </w:pPr>
  </w:style>
  <w:style w:type="paragraph" w:styleId="113">
    <w:name w:val="List Paragraph"/>
    <w:basedOn w:val="1"/>
    <w:link w:val="120"/>
    <w:qFormat/>
    <w:uiPriority w:val="34"/>
    <w:pPr>
      <w:ind w:firstLine="420" w:firstLineChars="200"/>
    </w:pPr>
  </w:style>
  <w:style w:type="character" w:customStyle="1" w:styleId="114">
    <w:name w:val="rec-status-desc"/>
    <w:basedOn w:val="39"/>
    <w:qFormat/>
    <w:uiPriority w:val="0"/>
  </w:style>
  <w:style w:type="character" w:customStyle="1" w:styleId="115">
    <w:name w:val="rec-volume"/>
    <w:basedOn w:val="39"/>
    <w:qFormat/>
    <w:uiPriority w:val="0"/>
  </w:style>
  <w:style w:type="character" w:customStyle="1" w:styleId="116">
    <w:name w:val="rec-time"/>
    <w:basedOn w:val="39"/>
    <w:qFormat/>
    <w:uiPriority w:val="0"/>
  </w:style>
  <w:style w:type="paragraph" w:customStyle="1" w:styleId="117">
    <w:name w:val="WPSOffice手动目录 1"/>
    <w:qFormat/>
    <w:uiPriority w:val="0"/>
    <w:rPr>
      <w:rFonts w:ascii="Times New Roman" w:hAnsi="Times New Roman" w:eastAsia="宋体" w:cs="Times New Roman"/>
      <w:lang w:val="en-US" w:eastAsia="zh-CN" w:bidi="ar-SA"/>
    </w:rPr>
  </w:style>
  <w:style w:type="paragraph" w:customStyle="1" w:styleId="1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0">
    <w:name w:val="列表段落 字符"/>
    <w:link w:val="113"/>
    <w:qFormat/>
    <w:uiPriority w:val="34"/>
    <w:rPr>
      <w:kern w:val="2"/>
      <w:sz w:val="21"/>
      <w:szCs w:val="24"/>
    </w:rPr>
  </w:style>
  <w:style w:type="paragraph" w:customStyle="1" w:styleId="12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Normal_13"/>
    <w:qFormat/>
    <w:uiPriority w:val="0"/>
    <w:rPr>
      <w:rFonts w:ascii="Times New Roman" w:hAnsi="Times New Roman" w:eastAsia="宋体" w:cs="Times New Roman"/>
      <w:sz w:val="21"/>
      <w:lang w:val="en-US" w:eastAsia="zh-CN" w:bidi="ar-SA"/>
    </w:rPr>
  </w:style>
  <w:style w:type="paragraph" w:customStyle="1" w:styleId="123">
    <w:name w:val="Heading2"/>
    <w:basedOn w:val="1"/>
    <w:next w:val="1"/>
    <w:qFormat/>
    <w:uiPriority w:val="0"/>
    <w:rPr>
      <w:rFonts w:ascii="Arial" w:hAnsi="Arial" w:eastAsia="黑体" w:cs="Times New Roman"/>
      <w:b/>
      <w:bCs/>
      <w:sz w:val="32"/>
      <w:szCs w:val="32"/>
    </w:rPr>
  </w:style>
  <w:style w:type="character" w:customStyle="1" w:styleId="124">
    <w:name w:val="NormalCharacter"/>
    <w:qFormat/>
    <w:uiPriority w:val="0"/>
  </w:style>
  <w:style w:type="paragraph" w:customStyle="1" w:styleId="125">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19016</Words>
  <Characters>19612</Characters>
  <Lines>187</Lines>
  <Paragraphs>52</Paragraphs>
  <TotalTime>9</TotalTime>
  <ScaleCrop>false</ScaleCrop>
  <LinksUpToDate>false</LinksUpToDate>
  <CharactersWithSpaces>20303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2023-10-09T04:13:00Z</dcterms:created>
  <dc:creator>HXM</dc:creator>
  <cp:lastModifiedBy>南山办帐户</cp:lastModifiedBy>
  <cp:lastPrinted>2024-01-30T09:52:00Z</cp:lastPrinted>
  <dcterms:modified xsi:type="dcterms:W3CDTF">2024-09-10T17:31:05Z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7A42A5592B3F46B799C714934B97A731_13</vt:lpwstr>
  </property>
</Properties>
</file>