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黑体" w:eastAsia="黑体"/>
          <w:color w:val="000000"/>
          <w:sz w:val="32"/>
          <w:szCs w:val="32"/>
        </w:rPr>
      </w:pPr>
      <w:bookmarkStart w:id="0" w:name="_GoBack"/>
      <w:bookmarkEnd w:id="0"/>
    </w:p>
    <w:p>
      <w:pPr>
        <w:spacing w:line="560" w:lineRule="exact"/>
        <w:jc w:val="center"/>
        <w:rPr>
          <w:rFonts w:ascii="黑体" w:eastAsia="黑体"/>
          <w:color w:val="000000"/>
          <w:sz w:val="32"/>
          <w:szCs w:val="32"/>
        </w:rPr>
      </w:pPr>
      <w:r>
        <w:rPr>
          <w:rFonts w:hint="eastAsia" w:ascii="方正小标宋_GBK" w:hAnsi="宋体" w:eastAsia="方正小标宋_GBK"/>
          <w:sz w:val="44"/>
          <w:szCs w:val="44"/>
          <w:highlight w:val="none"/>
          <w:lang w:val="en-US" w:eastAsia="zh-CN"/>
        </w:rPr>
        <w:t>2023年度深圳时装周秀场</w:t>
      </w:r>
      <w:r>
        <w:rPr>
          <w:rFonts w:hint="eastAsia" w:ascii="方正小标宋_GBK" w:hAnsi="宋体" w:eastAsia="方正小标宋_GBK" w:cs="宋体"/>
          <w:bCs/>
          <w:color w:val="000000"/>
          <w:kern w:val="0"/>
          <w:sz w:val="44"/>
          <w:szCs w:val="44"/>
        </w:rPr>
        <w:t>资助项目操作规程</w:t>
      </w:r>
    </w:p>
    <w:p>
      <w:pPr>
        <w:spacing w:line="560" w:lineRule="exact"/>
        <w:jc w:val="center"/>
        <w:outlineLvl w:val="0"/>
        <w:rPr>
          <w:rFonts w:ascii="仿宋_GB2312" w:eastAsia="仿宋_GB2312"/>
          <w:sz w:val="32"/>
          <w:szCs w:val="32"/>
        </w:rPr>
      </w:pPr>
    </w:p>
    <w:p>
      <w:pPr>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为</w:t>
      </w:r>
      <w:r>
        <w:rPr>
          <w:rFonts w:hint="eastAsia" w:ascii="仿宋_GB2312" w:hAnsi="仿宋_GB2312" w:eastAsia="仿宋_GB2312"/>
          <w:sz w:val="32"/>
          <w:lang w:eastAsia="zh-CN"/>
        </w:rPr>
        <w:t>促进我区时尚产业发展，</w:t>
      </w:r>
      <w:r>
        <w:rPr>
          <w:rFonts w:hint="eastAsia" w:ascii="仿宋_GB2312" w:hAnsi="仿宋_GB2312" w:eastAsia="仿宋_GB2312"/>
          <w:sz w:val="32"/>
        </w:rPr>
        <w:t>根据《南山区促进产业高质量发展专项资金管理办法》《南山区促进商贸流通业发展专项扶持措施》</w:t>
      </w:r>
      <w:r>
        <w:rPr>
          <w:rFonts w:hint="eastAsia" w:ascii="仿宋_GB2312" w:hAnsi="仿宋_GB2312" w:eastAsia="仿宋_GB2312"/>
          <w:sz w:val="32"/>
          <w:lang w:eastAsia="zh-CN"/>
        </w:rPr>
        <w:t>等文件要求</w:t>
      </w:r>
      <w:r>
        <w:rPr>
          <w:rFonts w:hint="eastAsia" w:ascii="仿宋_GB2312" w:hAnsi="仿宋_GB2312" w:eastAsia="仿宋_GB2312"/>
          <w:sz w:val="32"/>
          <w:lang w:val="en-US" w:eastAsia="zh-CN"/>
        </w:rPr>
        <w:t>，现</w:t>
      </w:r>
      <w:r>
        <w:rPr>
          <w:rFonts w:hint="eastAsia" w:ascii="仿宋_GB2312" w:hAnsi="仿宋_GB2312" w:eastAsia="仿宋_GB2312"/>
          <w:sz w:val="32"/>
        </w:rPr>
        <w:t>制定本操作规程。</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一、政策内容</w:t>
      </w:r>
    </w:p>
    <w:p>
      <w:pPr>
        <w:spacing w:line="560" w:lineRule="exact"/>
        <w:ind w:firstLine="640" w:firstLineChars="200"/>
        <w:rPr>
          <w:rFonts w:ascii="仿宋_GB2312" w:hAnsi="仿宋_GB2312" w:eastAsia="仿宋_GB2312"/>
          <w:sz w:val="32"/>
        </w:rPr>
      </w:pPr>
      <w:r>
        <w:rPr>
          <w:rFonts w:hint="eastAsia" w:ascii="仿宋_GB2312" w:hAnsi="仿宋_GB2312" w:eastAsia="仿宋_GB2312" w:cs="Times New Roman"/>
          <w:color w:val="auto"/>
          <w:sz w:val="32"/>
          <w:szCs w:val="24"/>
        </w:rPr>
        <w:t>本措施尚未涵盖但对辖区经济发展有重要影响的事项或上级部门有明确要求的事项，由相关单位直接向区主管部门提出申请，主管部门提出受理意见，按</w:t>
      </w:r>
      <w:r>
        <w:rPr>
          <w:rFonts w:hint="eastAsia" w:ascii="仿宋_GB2312" w:hAnsi="仿宋_GB2312" w:eastAsia="仿宋_GB2312" w:cs="Times New Roman"/>
          <w:color w:val="auto"/>
          <w:sz w:val="32"/>
          <w:szCs w:val="24"/>
          <w:lang w:eastAsia="zh-CN"/>
        </w:rPr>
        <w:t>照相关程序</w:t>
      </w:r>
      <w:r>
        <w:rPr>
          <w:rFonts w:hint="eastAsia" w:ascii="仿宋_GB2312" w:hAnsi="仿宋_GB2312" w:eastAsia="仿宋_GB2312" w:cs="Times New Roman"/>
          <w:color w:val="auto"/>
          <w:sz w:val="32"/>
          <w:szCs w:val="24"/>
        </w:rPr>
        <w:t>报</w:t>
      </w:r>
      <w:r>
        <w:rPr>
          <w:rFonts w:hint="eastAsia" w:ascii="仿宋_GB2312" w:hAnsi="Calibri" w:eastAsia="仿宋_GB2312" w:cs="Times New Roman"/>
          <w:sz w:val="32"/>
          <w:szCs w:val="32"/>
        </w:rPr>
        <w:t>政府产业资金专题工作</w:t>
      </w:r>
      <w:r>
        <w:rPr>
          <w:rFonts w:hint="eastAsia" w:ascii="仿宋_GB2312" w:hAnsi="仿宋_GB2312" w:eastAsia="仿宋_GB2312" w:cs="Times New Roman"/>
          <w:color w:val="auto"/>
          <w:sz w:val="32"/>
          <w:szCs w:val="24"/>
        </w:rPr>
        <w:t>会议审议</w:t>
      </w:r>
      <w:r>
        <w:rPr>
          <w:rFonts w:hint="eastAsia" w:ascii="仿宋_GB2312" w:hAnsi="仿宋_GB2312" w:eastAsia="仿宋_GB2312" w:cs="Times New Roman"/>
          <w:sz w:val="32"/>
          <w:szCs w:val="24"/>
          <w:lang w:val="en-US" w:eastAsia="zh-CN"/>
        </w:rPr>
        <w:t>。</w:t>
      </w:r>
    </w:p>
    <w:p>
      <w:pPr>
        <w:widowControl/>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二、资助方式</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本项资助属于</w:t>
      </w:r>
      <w:r>
        <w:rPr>
          <w:rFonts w:hint="eastAsia" w:ascii="仿宋_GB2312" w:hAnsi="仿宋_GB2312" w:eastAsia="仿宋_GB2312" w:cs="仿宋_GB2312"/>
          <w:sz w:val="32"/>
          <w:szCs w:val="32"/>
          <w:lang w:eastAsia="zh-CN"/>
        </w:rPr>
        <w:t>专项</w:t>
      </w:r>
      <w:r>
        <w:rPr>
          <w:rFonts w:hint="eastAsia" w:ascii="仿宋_GB2312" w:hAnsi="仿宋_GB2312" w:eastAsia="仿宋_GB2312" w:cs="仿宋_GB2312"/>
          <w:sz w:val="32"/>
          <w:szCs w:val="32"/>
        </w:rPr>
        <w:t>类项目，资助资金的安排使用坚持公平、公开、公正的原则，实行自愿申报、科学决策和绩效评估的管理制度，采取无偿资助方式和事后补贴制，受资助项目无需验收。</w:t>
      </w:r>
    </w:p>
    <w:p>
      <w:pPr>
        <w:widowControl/>
        <w:spacing w:line="560" w:lineRule="exact"/>
        <w:ind w:firstLine="640" w:firstLineChars="200"/>
        <w:rPr>
          <w:rFonts w:ascii="仿宋_GB2312" w:hAnsi="仿宋_GB2312" w:eastAsia="仿宋_GB2312"/>
          <w:sz w:val="32"/>
        </w:rPr>
      </w:pPr>
      <w:r>
        <w:rPr>
          <w:rFonts w:hint="eastAsia" w:ascii="黑体" w:hAnsi="黑体" w:eastAsia="黑体" w:cs="黑体"/>
          <w:sz w:val="32"/>
          <w:szCs w:val="32"/>
        </w:rPr>
        <w:t>三、资助标准</w:t>
      </w:r>
    </w:p>
    <w:p>
      <w:pPr>
        <w:widowControl/>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大秀场25万元/场、小秀场15万元/场，设计师静态展示0.8万元/展位（9平方米）。</w:t>
      </w:r>
    </w:p>
    <w:p>
      <w:pPr>
        <w:widowControl/>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本项资助受年度资金预算控制，区商务局视申报情况和预算安排，可以对资助金额、支持比例和拨付进度等进行统一调整，申报</w:t>
      </w:r>
      <w:r>
        <w:rPr>
          <w:rFonts w:hint="eastAsia" w:ascii="仿宋_GB2312" w:hAnsi="仿宋_GB2312" w:eastAsia="仿宋_GB2312" w:cs="仿宋_GB2312"/>
          <w:sz w:val="32"/>
          <w:szCs w:val="32"/>
          <w:lang w:eastAsia="zh-CN"/>
        </w:rPr>
        <w:t>主体</w:t>
      </w:r>
      <w:r>
        <w:rPr>
          <w:rFonts w:hint="eastAsia" w:ascii="仿宋_GB2312" w:hAnsi="仿宋_GB2312" w:eastAsia="仿宋_GB2312" w:cs="仿宋_GB2312"/>
          <w:sz w:val="32"/>
          <w:szCs w:val="32"/>
        </w:rPr>
        <w:t>应无条件同意调整结果。</w:t>
      </w:r>
    </w:p>
    <w:p>
      <w:pPr>
        <w:widowControl/>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四、申请条件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（一）申请本项资金资助的企业应符合以下条件：</w:t>
      </w:r>
    </w:p>
    <w:p>
      <w:pPr>
        <w:widowControl/>
        <w:spacing w:line="560" w:lineRule="exact"/>
        <w:ind w:firstLine="640" w:firstLineChars="200"/>
        <w:rPr>
          <w:rFonts w:ascii="仿宋_GB2312" w:hAnsi="仿宋_GB2312" w:eastAsia="仿宋_GB2312"/>
          <w:b w:val="0"/>
          <w:bCs w:val="0"/>
          <w:sz w:val="32"/>
          <w:szCs w:val="32"/>
        </w:rPr>
      </w:pPr>
      <w:r>
        <w:rPr>
          <w:rFonts w:hint="eastAsia" w:ascii="仿宋_GB2312" w:hAnsi="Times New Roman" w:eastAsia="仿宋_GB2312"/>
          <w:b w:val="0"/>
          <w:bCs w:val="0"/>
          <w:color w:val="auto"/>
          <w:sz w:val="32"/>
          <w:szCs w:val="32"/>
        </w:rPr>
        <w:t>1、</w:t>
      </w:r>
      <w:r>
        <w:rPr>
          <w:rFonts w:hint="eastAsia" w:ascii="仿宋_GB2312" w:hAnsi="仿宋_GB2312" w:eastAsia="仿宋_GB2312" w:cs="仿宋_GB2312"/>
          <w:color w:val="auto"/>
          <w:kern w:val="2"/>
          <w:sz w:val="32"/>
          <w:szCs w:val="32"/>
          <w:highlight w:val="none"/>
          <w:lang w:val="en-US" w:eastAsia="zh-CN" w:bidi="ar-SA"/>
        </w:rPr>
        <w:t>在南山区依法从事实际经营，并具有独立法人资格的企业</w:t>
      </w:r>
      <w:r>
        <w:rPr>
          <w:rFonts w:hint="eastAsia" w:ascii="仿宋_GB2312" w:hAnsi="仿宋_GB2312" w:eastAsia="仿宋_GB2312"/>
          <w:b w:val="0"/>
          <w:bCs w:val="0"/>
          <w:sz w:val="32"/>
          <w:szCs w:val="32"/>
        </w:rPr>
        <w:t>；</w:t>
      </w:r>
    </w:p>
    <w:p>
      <w:pPr>
        <w:pageBreakBefore w:val="0"/>
        <w:widowControl/>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2、履行相关数据申报义务、守法经营、诚实守信、有规范的财务管理制度；</w:t>
      </w:r>
    </w:p>
    <w:p>
      <w:pPr>
        <w:widowControl/>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3、应积极配合区委、区政府及审计要求相关工作。</w:t>
      </w:r>
    </w:p>
    <w:p>
      <w:pPr>
        <w:widowControl/>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（二）本项资金资助的</w:t>
      </w:r>
      <w:r>
        <w:rPr>
          <w:rFonts w:hint="eastAsia" w:ascii="仿宋_GB2312" w:hAnsi="仿宋_GB2312" w:eastAsia="仿宋_GB2312"/>
          <w:sz w:val="32"/>
          <w:szCs w:val="32"/>
          <w:lang w:eastAsia="zh-CN"/>
        </w:rPr>
        <w:t>企业</w:t>
      </w:r>
      <w:r>
        <w:rPr>
          <w:rFonts w:hint="eastAsia" w:ascii="仿宋_GB2312" w:hAnsi="仿宋_GB2312" w:eastAsia="仿宋_GB2312"/>
          <w:sz w:val="32"/>
          <w:szCs w:val="32"/>
        </w:rPr>
        <w:t>还应</w:t>
      </w:r>
      <w:r>
        <w:rPr>
          <w:rFonts w:hint="eastAsia" w:ascii="仿宋_GB2312" w:hAnsi="仿宋_GB2312" w:eastAsia="仿宋_GB2312"/>
          <w:sz w:val="32"/>
          <w:szCs w:val="32"/>
          <w:lang w:eastAsia="zh-CN"/>
        </w:rPr>
        <w:t>同时</w:t>
      </w:r>
      <w:r>
        <w:rPr>
          <w:rFonts w:hint="eastAsia" w:ascii="仿宋_GB2312" w:hAnsi="仿宋_GB2312" w:eastAsia="仿宋_GB2312"/>
          <w:sz w:val="32"/>
          <w:szCs w:val="32"/>
        </w:rPr>
        <w:t>符合以下条件：</w:t>
      </w:r>
    </w:p>
    <w:p>
      <w:pPr>
        <w:widowControl/>
        <w:spacing w:line="560" w:lineRule="exact"/>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rPr>
        <w:t>1、参加</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2023深圳时装周秋冬系列”</w:t>
      </w:r>
      <w:r>
        <w:rPr>
          <w:rFonts w:hint="eastAsia" w:ascii="仿宋_GB2312" w:hAnsi="仿宋_GB2312" w:eastAsia="仿宋_GB2312"/>
          <w:sz w:val="32"/>
          <w:szCs w:val="32"/>
          <w:lang w:eastAsia="zh-CN"/>
        </w:rPr>
        <w:t>或</w:t>
      </w:r>
      <w:r>
        <w:rPr>
          <w:rFonts w:hint="eastAsia" w:ascii="仿宋_GB2312" w:hAnsi="仿宋_GB2312" w:eastAsia="仿宋_GB2312"/>
          <w:sz w:val="32"/>
          <w:szCs w:val="32"/>
        </w:rPr>
        <w:t>“2024深圳时装周春夏系列”活动的企业</w:t>
      </w:r>
      <w:r>
        <w:rPr>
          <w:rFonts w:hint="eastAsia" w:ascii="仿宋_GB2312" w:hAnsi="仿宋_GB2312" w:eastAsia="仿宋_GB2312"/>
          <w:sz w:val="32"/>
          <w:szCs w:val="32"/>
          <w:lang w:eastAsia="zh-CN"/>
        </w:rPr>
        <w:t>；</w:t>
      </w:r>
    </w:p>
    <w:p>
      <w:pPr>
        <w:widowControl/>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lang w:val="en-US" w:eastAsia="zh-CN"/>
        </w:rPr>
        <w:t>2、自参加深圳时装周时起至申请本项目时</w:t>
      </w:r>
      <w:r>
        <w:rPr>
          <w:rFonts w:hint="eastAsia" w:ascii="仿宋_GB2312" w:hAnsi="仿宋_GB2312" w:eastAsia="仿宋_GB2312"/>
          <w:sz w:val="32"/>
          <w:szCs w:val="32"/>
          <w:lang w:eastAsia="zh-CN"/>
        </w:rPr>
        <w:t>缴纳社保人数</w:t>
      </w:r>
      <w:r>
        <w:rPr>
          <w:rFonts w:hint="eastAsia" w:ascii="仿宋_GB2312" w:hAnsi="仿宋_GB2312" w:eastAsia="仿宋_GB2312"/>
          <w:sz w:val="32"/>
          <w:szCs w:val="32"/>
          <w:lang w:val="en-US" w:eastAsia="zh-CN"/>
        </w:rPr>
        <w:t>维持3人及以上。</w:t>
      </w:r>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三</w:t>
      </w:r>
      <w:r>
        <w:rPr>
          <w:rFonts w:hint="eastAsia" w:ascii="仿宋_GB2312" w:eastAsia="仿宋_GB2312"/>
          <w:sz w:val="32"/>
          <w:szCs w:val="32"/>
        </w:rPr>
        <w:t>）有下列情况之一的，本</w:t>
      </w:r>
      <w:r>
        <w:rPr>
          <w:rFonts w:hint="eastAsia" w:ascii="仿宋_GB2312" w:eastAsia="仿宋_GB2312"/>
          <w:sz w:val="32"/>
          <w:szCs w:val="32"/>
          <w:lang w:eastAsia="zh-CN"/>
        </w:rPr>
        <w:t>项目</w:t>
      </w:r>
      <w:r>
        <w:rPr>
          <w:rFonts w:hint="eastAsia" w:ascii="仿宋_GB2312" w:eastAsia="仿宋_GB2312"/>
          <w:sz w:val="32"/>
          <w:szCs w:val="32"/>
        </w:rPr>
        <w:t>资金不予资助：</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1、被依法依规纳入严重失信主体名单或失信惩戒措施清单的；</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2、提出资助申请时，</w:t>
      </w:r>
      <w:r>
        <w:rPr>
          <w:rFonts w:hint="eastAsia" w:ascii="仿宋_GB2312" w:hAnsi="宋体" w:eastAsia="仿宋_GB2312"/>
          <w:sz w:val="32"/>
          <w:szCs w:val="32"/>
          <w:highlight w:val="none"/>
          <w:lang w:val="en-US" w:eastAsia="zh-CN"/>
        </w:rPr>
        <w:t>申报主体项目实施地或数据申报地发生变化，不再符合申报条件的</w:t>
      </w:r>
      <w:r>
        <w:rPr>
          <w:rFonts w:hint="eastAsia" w:ascii="仿宋_GB2312" w:hAnsi="仿宋_GB2312" w:eastAsia="仿宋_GB2312" w:cs="仿宋_GB2312"/>
          <w:b w:val="0"/>
          <w:bCs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3、在此前深圳时装周活动中存在违规、失信等行为的。</w:t>
      </w:r>
    </w:p>
    <w:p>
      <w:pPr>
        <w:spacing w:line="560" w:lineRule="exact"/>
        <w:ind w:firstLine="640" w:firstLineChars="200"/>
        <w:rPr>
          <w:rFonts w:ascii="仿宋_GB2312" w:hAnsi="宋体" w:eastAsia="仿宋_GB2312"/>
          <w:sz w:val="32"/>
          <w:szCs w:val="32"/>
        </w:rPr>
      </w:pPr>
      <w:r>
        <w:rPr>
          <w:rFonts w:hint="eastAsia" w:ascii="黑体" w:hAnsi="黑体" w:eastAsia="黑体"/>
          <w:color w:val="000000"/>
          <w:sz w:val="32"/>
          <w:szCs w:val="32"/>
        </w:rPr>
        <w:t>五、办理流程</w:t>
      </w:r>
    </w:p>
    <w:p>
      <w:pPr>
        <w:widowControl w:val="0"/>
        <w:wordWrap w:val="0"/>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（一）</w:t>
      </w:r>
      <w:r>
        <w:rPr>
          <w:rFonts w:hint="eastAsia" w:ascii="仿宋_GB2312" w:hAnsi="仿宋_GB2312" w:eastAsia="仿宋_GB2312"/>
          <w:sz w:val="32"/>
          <w:szCs w:val="32"/>
          <w:lang w:eastAsia="zh-CN"/>
        </w:rPr>
        <w:t>登录“</w:t>
      </w:r>
      <w:r>
        <w:rPr>
          <w:rFonts w:hint="eastAsia" w:ascii="仿宋_GB2312" w:hAnsi="仿宋_GB2312" w:eastAsia="仿宋_GB2312"/>
          <w:sz w:val="32"/>
          <w:szCs w:val="32"/>
          <w:lang w:val="en-US" w:eastAsia="zh-CN"/>
        </w:rPr>
        <w:t>A</w:t>
      </w:r>
      <w:r>
        <w:rPr>
          <w:rFonts w:hint="eastAsia" w:ascii="仿宋_GB2312" w:hAnsi="仿宋_GB2312" w:eastAsia="仿宋_GB2312"/>
          <w:sz w:val="32"/>
          <w:szCs w:val="32"/>
          <w:lang w:eastAsia="zh-CN"/>
        </w:rPr>
        <w:t>i南山企业服务综合平台”（https://www.inanshan.org.cn/），网上提交申报材料</w:t>
      </w:r>
      <w:r>
        <w:rPr>
          <w:rFonts w:hint="eastAsia" w:ascii="仿宋_GB2312" w:hAnsi="仿宋_GB2312" w:eastAsia="仿宋_GB2312"/>
          <w:sz w:val="32"/>
          <w:szCs w:val="32"/>
        </w:rPr>
        <w:t>；</w:t>
      </w:r>
    </w:p>
    <w:p>
      <w:pPr>
        <w:widowControl/>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（二）</w:t>
      </w:r>
      <w:r>
        <w:rPr>
          <w:rFonts w:hint="eastAsia" w:ascii="仿宋_GB2312" w:eastAsia="仿宋_GB2312"/>
          <w:sz w:val="32"/>
          <w:szCs w:val="32"/>
          <w:highlight w:val="none"/>
          <w:lang w:eastAsia="zh-CN"/>
        </w:rPr>
        <w:t>区企业发展服务中心受理</w:t>
      </w:r>
      <w:r>
        <w:rPr>
          <w:rFonts w:hint="eastAsia" w:ascii="仿宋_GB2312" w:eastAsia="仿宋_GB2312"/>
          <w:kern w:val="2"/>
          <w:sz w:val="32"/>
          <w:szCs w:val="32"/>
          <w:highlight w:val="none"/>
          <w:lang w:eastAsia="zh-CN"/>
        </w:rPr>
        <w:t>申请，对申报材料进行形式性审核</w:t>
      </w:r>
      <w:r>
        <w:rPr>
          <w:rFonts w:hint="eastAsia" w:ascii="仿宋_GB2312" w:eastAsia="仿宋_GB2312"/>
          <w:sz w:val="32"/>
          <w:szCs w:val="32"/>
          <w:highlight w:val="none"/>
          <w:lang w:eastAsia="zh-CN"/>
        </w:rPr>
        <w:t>，</w:t>
      </w:r>
      <w:r>
        <w:rPr>
          <w:rFonts w:hint="default" w:ascii="仿宋_GB2312" w:eastAsia="仿宋_GB2312"/>
          <w:sz w:val="32"/>
          <w:szCs w:val="32"/>
          <w:highlight w:val="none"/>
          <w:lang w:eastAsia="zh-CN"/>
        </w:rPr>
        <w:t>区商务局</w:t>
      </w:r>
      <w:r>
        <w:rPr>
          <w:rFonts w:hint="eastAsia" w:ascii="仿宋_GB2312" w:eastAsia="仿宋_GB2312"/>
          <w:sz w:val="32"/>
          <w:szCs w:val="32"/>
          <w:highlight w:val="none"/>
          <w:lang w:eastAsia="zh-CN"/>
        </w:rPr>
        <w:t>复审申报材料</w:t>
      </w:r>
      <w:r>
        <w:rPr>
          <w:rFonts w:hint="eastAsia" w:ascii="仿宋_GB2312" w:hAnsi="仿宋_GB2312" w:eastAsia="仿宋_GB2312"/>
          <w:sz w:val="32"/>
          <w:szCs w:val="32"/>
        </w:rPr>
        <w:t xml:space="preserve">； </w:t>
      </w:r>
    </w:p>
    <w:p>
      <w:pPr>
        <w:widowControl/>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（三）</w:t>
      </w:r>
      <w:r>
        <w:rPr>
          <w:rFonts w:hint="eastAsia" w:ascii="仿宋_GB2312" w:hAnsi="仿宋_GB2312" w:eastAsia="仿宋_GB2312"/>
          <w:sz w:val="32"/>
          <w:szCs w:val="32"/>
          <w:lang w:eastAsia="zh-CN"/>
        </w:rPr>
        <w:t>区商务局</w:t>
      </w:r>
      <w:r>
        <w:rPr>
          <w:rFonts w:hint="eastAsia" w:ascii="仿宋_GB2312" w:hAnsi="仿宋_GB2312" w:eastAsia="仿宋_GB2312"/>
          <w:sz w:val="32"/>
          <w:szCs w:val="32"/>
        </w:rPr>
        <w:t>拟定资助计划；</w:t>
      </w:r>
    </w:p>
    <w:p>
      <w:pPr>
        <w:widowControl/>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（四）</w:t>
      </w:r>
      <w:r>
        <w:rPr>
          <w:rFonts w:hint="eastAsia" w:ascii="仿宋_GB2312" w:eastAsia="仿宋_GB2312"/>
          <w:sz w:val="32"/>
          <w:szCs w:val="32"/>
          <w:highlight w:val="none"/>
        </w:rPr>
        <w:t>区相关部门对申报主体的有关经营资质情况进行核查</w:t>
      </w:r>
      <w:r>
        <w:rPr>
          <w:rFonts w:hint="eastAsia" w:ascii="仿宋_GB2312" w:hAnsi="仿宋_GB2312" w:eastAsia="仿宋_GB2312"/>
          <w:sz w:val="32"/>
          <w:szCs w:val="32"/>
        </w:rPr>
        <w:t>；</w:t>
      </w:r>
    </w:p>
    <w:p>
      <w:pPr>
        <w:widowControl/>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（五）</w:t>
      </w:r>
      <w:r>
        <w:rPr>
          <w:rFonts w:hint="eastAsia" w:ascii="仿宋_GB2312" w:hAnsi="仿宋_GB2312" w:eastAsia="仿宋_GB2312"/>
          <w:sz w:val="32"/>
          <w:szCs w:val="32"/>
          <w:lang w:eastAsia="zh-CN"/>
        </w:rPr>
        <w:t>区企业发展服务中心</w:t>
      </w:r>
      <w:r>
        <w:rPr>
          <w:rFonts w:hint="eastAsia" w:ascii="仿宋_GB2312" w:hAnsi="仿宋_GB2312" w:eastAsia="仿宋_GB2312"/>
          <w:sz w:val="32"/>
          <w:szCs w:val="32"/>
        </w:rPr>
        <w:t>将拟资助项目向社会公示5个工作日，对公示期满，无有效投诉的项目资助计划，区</w:t>
      </w:r>
      <w:r>
        <w:rPr>
          <w:rFonts w:hint="eastAsia" w:ascii="仿宋_GB2312" w:hAnsi="仿宋_GB2312" w:eastAsia="仿宋_GB2312"/>
          <w:sz w:val="32"/>
          <w:szCs w:val="32"/>
          <w:lang w:eastAsia="zh-CN"/>
        </w:rPr>
        <w:t>商务局</w:t>
      </w:r>
      <w:r>
        <w:rPr>
          <w:rFonts w:hint="eastAsia" w:ascii="仿宋_GB2312" w:hAnsi="仿宋_GB2312" w:eastAsia="仿宋_GB2312"/>
          <w:sz w:val="32"/>
          <w:szCs w:val="32"/>
        </w:rPr>
        <w:t>再按照相应审核程序提交会议审议；</w:t>
      </w:r>
    </w:p>
    <w:p>
      <w:pPr>
        <w:widowControl/>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（六）经审议后，由</w:t>
      </w:r>
      <w:r>
        <w:rPr>
          <w:rFonts w:hint="eastAsia" w:ascii="仿宋_GB2312" w:hAnsi="仿宋_GB2312" w:eastAsia="仿宋_GB2312"/>
          <w:sz w:val="32"/>
          <w:szCs w:val="32"/>
          <w:lang w:eastAsia="zh-CN"/>
        </w:rPr>
        <w:t>区商务局</w:t>
      </w:r>
      <w:r>
        <w:rPr>
          <w:rFonts w:hint="eastAsia" w:ascii="仿宋_GB2312" w:hAnsi="仿宋_GB2312" w:eastAsia="仿宋_GB2312"/>
          <w:sz w:val="32"/>
          <w:szCs w:val="32"/>
        </w:rPr>
        <w:t>直接行文下达资金计划；</w:t>
      </w:r>
    </w:p>
    <w:p>
      <w:pPr>
        <w:spacing w:line="560" w:lineRule="exact"/>
        <w:ind w:firstLine="640" w:firstLineChars="200"/>
        <w:rPr>
          <w:rFonts w:hint="eastAsia" w:eastAsia="仿宋_GB2312"/>
          <w:lang w:eastAsia="zh-CN"/>
        </w:rPr>
      </w:pPr>
      <w:r>
        <w:rPr>
          <w:rFonts w:hint="eastAsia" w:ascii="仿宋_GB2312" w:hAnsi="仿宋_GB2312" w:eastAsia="仿宋_GB2312"/>
          <w:sz w:val="32"/>
          <w:szCs w:val="32"/>
          <w:lang w:eastAsia="zh-CN"/>
        </w:rPr>
        <w:t>（七）</w:t>
      </w:r>
      <w:r>
        <w:rPr>
          <w:rFonts w:hint="eastAsia" w:ascii="仿宋_GB2312" w:eastAsia="仿宋_GB2312"/>
          <w:sz w:val="32"/>
          <w:szCs w:val="32"/>
        </w:rPr>
        <w:t>申报主体线上提交加盖单位财务专用章的收据；</w:t>
      </w:r>
    </w:p>
    <w:p>
      <w:pPr>
        <w:widowControl/>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八</w:t>
      </w:r>
      <w:r>
        <w:rPr>
          <w:rFonts w:hint="eastAsia" w:ascii="仿宋_GB2312" w:hAnsi="仿宋_GB2312" w:eastAsia="仿宋_GB2312"/>
          <w:sz w:val="32"/>
          <w:szCs w:val="32"/>
        </w:rPr>
        <w:t>）区财政部门及时安排资金，</w:t>
      </w:r>
      <w:r>
        <w:rPr>
          <w:rFonts w:hint="eastAsia" w:ascii="仿宋_GB2312" w:hAnsi="仿宋_GB2312" w:eastAsia="仿宋_GB2312"/>
          <w:sz w:val="32"/>
          <w:szCs w:val="32"/>
          <w:lang w:eastAsia="zh-CN"/>
        </w:rPr>
        <w:t>区商务局</w:t>
      </w:r>
      <w:r>
        <w:rPr>
          <w:rFonts w:hint="eastAsia" w:ascii="仿宋_GB2312" w:hAnsi="仿宋_GB2312" w:eastAsia="仿宋_GB2312"/>
          <w:sz w:val="32"/>
          <w:szCs w:val="32"/>
        </w:rPr>
        <w:t>办理资金拨付手续。</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w:t>
      </w:r>
      <w:r>
        <w:rPr>
          <w:rFonts w:hint="eastAsia" w:ascii="黑体" w:hAnsi="黑体" w:eastAsia="黑体" w:cs="黑体"/>
          <w:sz w:val="32"/>
          <w:szCs w:val="32"/>
          <w:lang w:eastAsia="zh-CN"/>
        </w:rPr>
        <w:t>所需</w:t>
      </w:r>
      <w:r>
        <w:rPr>
          <w:rFonts w:hint="eastAsia" w:ascii="黑体" w:hAnsi="黑体" w:eastAsia="黑体" w:cs="黑体"/>
          <w:sz w:val="32"/>
          <w:szCs w:val="32"/>
        </w:rPr>
        <w:t>材料</w:t>
      </w:r>
    </w:p>
    <w:p>
      <w:pPr>
        <w:widowControl/>
        <w:tabs>
          <w:tab w:val="left" w:pos="2940"/>
        </w:tabs>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（一）《项目申请书》（登录“Ai南山企业服务综合平台”https://www.inanshan.org.cn/在线填写，法定代表人签字并加盖单位公章后，原件彩色扫描成PDF文件上传）;</w:t>
      </w:r>
    </w:p>
    <w:p>
      <w:pPr>
        <w:widowControl/>
        <w:tabs>
          <w:tab w:val="left" w:pos="2940"/>
        </w:tabs>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（二）</w:t>
      </w:r>
      <w:r>
        <w:rPr>
          <w:rFonts w:hint="eastAsia" w:ascii="仿宋_GB2312" w:eastAsia="仿宋_GB2312"/>
          <w:color w:val="000000"/>
          <w:sz w:val="32"/>
          <w:szCs w:val="32"/>
        </w:rPr>
        <w:t>统一社会信用代码证书（原件彩色扫描成PDF文件上传）;</w:t>
      </w:r>
    </w:p>
    <w:p>
      <w:pPr>
        <w:widowControl/>
        <w:tabs>
          <w:tab w:val="left" w:pos="2940"/>
        </w:tabs>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（三）法定代表人身份</w:t>
      </w:r>
      <w:r>
        <w:rPr>
          <w:rFonts w:hint="eastAsia" w:ascii="仿宋_GB2312" w:eastAsia="仿宋_GB2312"/>
          <w:color w:val="000000"/>
          <w:sz w:val="32"/>
          <w:szCs w:val="32"/>
          <w:lang w:eastAsia="zh-CN"/>
        </w:rPr>
        <w:t>证明</w:t>
      </w:r>
      <w:r>
        <w:rPr>
          <w:rFonts w:hint="eastAsia" w:ascii="仿宋_GB2312" w:eastAsia="仿宋_GB2312"/>
          <w:color w:val="000000"/>
          <w:sz w:val="32"/>
          <w:szCs w:val="32"/>
        </w:rPr>
        <w:t>[原件或（复印件加盖单位公章）彩色扫描成PDF文件上传]；</w:t>
      </w:r>
    </w:p>
    <w:p>
      <w:pPr>
        <w:widowControl/>
        <w:tabs>
          <w:tab w:val="left" w:pos="2940"/>
        </w:tabs>
        <w:spacing w:line="56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rPr>
        <w:t>（四）申报主体由税务部门开具的单位</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023至2025</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年</w:t>
      </w:r>
      <w:r>
        <w:rPr>
          <w:rFonts w:hint="eastAsia" w:ascii="仿宋_GB2312" w:eastAsia="仿宋_GB2312"/>
          <w:color w:val="000000"/>
          <w:sz w:val="32"/>
          <w:szCs w:val="32"/>
        </w:rPr>
        <w:t>度</w:t>
      </w:r>
      <w:r>
        <w:rPr>
          <w:rFonts w:hint="eastAsia" w:ascii="仿宋_GB2312" w:eastAsia="仿宋_GB2312"/>
          <w:color w:val="000000"/>
          <w:sz w:val="32"/>
          <w:szCs w:val="32"/>
          <w:lang w:eastAsia="zh-CN"/>
        </w:rPr>
        <w:t>完</w:t>
      </w:r>
      <w:r>
        <w:rPr>
          <w:rFonts w:hint="eastAsia" w:ascii="仿宋_GB2312" w:eastAsia="仿宋_GB2312"/>
          <w:color w:val="000000"/>
          <w:sz w:val="32"/>
          <w:szCs w:val="32"/>
        </w:rPr>
        <w:t>税证明（上传税务系统下载带有税务机关红色印章的电子版，三个年度分开查询下载，下载后合并为一个PDF文件上传，事业单位除外);</w:t>
      </w:r>
    </w:p>
    <w:p>
      <w:pPr>
        <w:widowControl/>
        <w:tabs>
          <w:tab w:val="left" w:pos="2940"/>
        </w:tabs>
        <w:spacing w:line="560" w:lineRule="exact"/>
        <w:ind w:firstLine="640" w:firstLineChars="200"/>
        <w:rPr>
          <w:rFonts w:hint="eastAsia" w:ascii="仿宋_GB2312" w:eastAsia="仿宋_GB2312"/>
          <w:b w:val="0"/>
          <w:bCs w:val="0"/>
          <w:color w:val="000000"/>
          <w:sz w:val="32"/>
          <w:szCs w:val="32"/>
        </w:rPr>
      </w:pPr>
      <w:r>
        <w:rPr>
          <w:rFonts w:hint="eastAsia" w:ascii="仿宋_GB2312" w:eastAsia="仿宋_GB2312"/>
          <w:color w:val="000000"/>
          <w:sz w:val="32"/>
          <w:szCs w:val="32"/>
          <w:lang w:val="en-US" w:eastAsia="zh-CN"/>
        </w:rPr>
        <w:t>（五）</w:t>
      </w:r>
      <w:r>
        <w:rPr>
          <w:rFonts w:hint="eastAsia" w:ascii="仿宋_GB2312" w:eastAsia="仿宋_GB2312"/>
          <w:color w:val="000000"/>
          <w:sz w:val="32"/>
          <w:szCs w:val="32"/>
          <w:lang w:eastAsia="zh-CN"/>
        </w:rPr>
        <w:t>申报主体</w:t>
      </w:r>
      <w:r>
        <w:rPr>
          <w:rFonts w:hint="eastAsia" w:ascii="仿宋_GB2312" w:eastAsia="仿宋_GB2312"/>
          <w:color w:val="000000"/>
          <w:sz w:val="32"/>
          <w:szCs w:val="32"/>
          <w:lang w:val="en-US" w:eastAsia="zh-CN"/>
        </w:rPr>
        <w:t>2023年至2025年年度财务报表</w:t>
      </w:r>
      <w:r>
        <w:rPr>
          <w:rFonts w:hint="default" w:ascii="仿宋_GB2312" w:eastAsia="仿宋_GB2312"/>
          <w:color w:val="000000"/>
          <w:sz w:val="32"/>
          <w:szCs w:val="32"/>
          <w:lang w:val="en-US" w:eastAsia="zh-CN"/>
        </w:rPr>
        <w:t>、员工社保证明</w:t>
      </w:r>
      <w:r>
        <w:rPr>
          <w:rFonts w:hint="eastAsia" w:ascii="仿宋_GB2312" w:eastAsia="仿宋_GB2312"/>
          <w:color w:val="000000"/>
          <w:sz w:val="32"/>
          <w:szCs w:val="32"/>
        </w:rPr>
        <w:t>（原件彩色扫描成PDF文件上传）</w:t>
      </w:r>
      <w:r>
        <w:rPr>
          <w:rFonts w:hint="eastAsia" w:ascii="仿宋_GB2312" w:eastAsia="仿宋_GB2312"/>
          <w:b w:val="0"/>
          <w:bCs w:val="0"/>
          <w:color w:val="000000"/>
          <w:sz w:val="32"/>
          <w:szCs w:val="32"/>
        </w:rPr>
        <w:t>；</w:t>
      </w:r>
    </w:p>
    <w:p>
      <w:pPr>
        <w:widowControl/>
        <w:spacing w:line="560" w:lineRule="exact"/>
        <w:ind w:firstLine="640" w:firstLineChars="200"/>
        <w:rPr>
          <w:rFonts w:ascii="仿宋_GB2312" w:eastAsia="仿宋_GB2312"/>
          <w:color w:val="000000"/>
          <w:sz w:val="32"/>
          <w:szCs w:val="32"/>
        </w:rPr>
      </w:pPr>
      <w:r>
        <w:rPr>
          <w:rFonts w:hint="eastAsia" w:ascii="仿宋_GB2312" w:eastAsia="仿宋_GB2312"/>
          <w:b w:val="0"/>
          <w:bCs w:val="0"/>
          <w:color w:val="000000"/>
          <w:sz w:val="32"/>
          <w:szCs w:val="32"/>
          <w:lang w:eastAsia="zh-CN"/>
        </w:rPr>
        <w:t>（六）</w:t>
      </w:r>
      <w:r>
        <w:rPr>
          <w:rFonts w:hint="eastAsia" w:ascii="仿宋_GB2312" w:eastAsia="仿宋_GB2312"/>
          <w:color w:val="000000"/>
          <w:sz w:val="32"/>
          <w:szCs w:val="32"/>
          <w:lang w:val="en-US" w:eastAsia="zh-CN"/>
        </w:rPr>
        <w:t>申报主体参加</w:t>
      </w:r>
      <w:r>
        <w:rPr>
          <w:rFonts w:hint="eastAsia" w:ascii="仿宋_GB2312" w:eastAsia="仿宋_GB2312"/>
          <w:color w:val="000000"/>
          <w:sz w:val="32"/>
          <w:szCs w:val="32"/>
          <w:lang w:eastAsia="zh-CN"/>
        </w:rPr>
        <w:t>深圳时装周活动的证明材料，如活动合同、</w:t>
      </w:r>
      <w:r>
        <w:rPr>
          <w:rFonts w:hint="eastAsia" w:ascii="仿宋_GB2312" w:eastAsia="仿宋_GB2312"/>
          <w:b w:val="0"/>
          <w:bCs w:val="0"/>
          <w:color w:val="000000"/>
          <w:sz w:val="32"/>
          <w:szCs w:val="32"/>
          <w:lang w:eastAsia="zh-CN"/>
        </w:rPr>
        <w:t>活动费用发票及相关付款凭证、银行流水单据等</w:t>
      </w:r>
      <w:r>
        <w:rPr>
          <w:rFonts w:hint="eastAsia" w:ascii="仿宋_GB2312" w:eastAsia="仿宋_GB2312"/>
          <w:b w:val="0"/>
          <w:bCs w:val="0"/>
          <w:color w:val="000000"/>
          <w:sz w:val="32"/>
          <w:szCs w:val="32"/>
        </w:rPr>
        <w:t>（</w:t>
      </w:r>
      <w:r>
        <w:rPr>
          <w:rFonts w:hint="eastAsia" w:ascii="仿宋_GB2312" w:eastAsia="仿宋_GB2312"/>
          <w:color w:val="000000"/>
          <w:sz w:val="32"/>
          <w:szCs w:val="32"/>
        </w:rPr>
        <w:t>原件彩色扫描成PDF文件上传</w:t>
      </w:r>
      <w:r>
        <w:rPr>
          <w:rFonts w:hint="eastAsia" w:ascii="仿宋_GB2312" w:eastAsia="仿宋_GB2312"/>
          <w:b w:val="0"/>
          <w:bCs w:val="0"/>
          <w:color w:val="000000"/>
          <w:sz w:val="32"/>
          <w:szCs w:val="32"/>
        </w:rPr>
        <w:t>）</w:t>
      </w:r>
      <w:r>
        <w:rPr>
          <w:rFonts w:hint="eastAsia" w:ascii="仿宋_GB2312" w:eastAsia="仿宋_GB2312"/>
          <w:color w:val="000000"/>
          <w:sz w:val="32"/>
          <w:szCs w:val="32"/>
        </w:rPr>
        <w:t>；</w:t>
      </w:r>
    </w:p>
    <w:p>
      <w:pPr>
        <w:widowControl/>
        <w:spacing w:line="56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w:t>
      </w:r>
      <w:r>
        <w:rPr>
          <w:rFonts w:hint="eastAsia" w:ascii="仿宋_GB2312" w:eastAsia="仿宋_GB2312"/>
          <w:color w:val="000000"/>
          <w:sz w:val="32"/>
          <w:szCs w:val="32"/>
          <w:lang w:eastAsia="zh-CN"/>
        </w:rPr>
        <w:t>七</w:t>
      </w:r>
      <w:r>
        <w:rPr>
          <w:rFonts w:hint="eastAsia" w:ascii="仿宋_GB2312" w:eastAsia="仿宋_GB2312"/>
          <w:color w:val="000000"/>
          <w:sz w:val="32"/>
          <w:szCs w:val="32"/>
        </w:rPr>
        <w:t>）</w:t>
      </w:r>
      <w:r>
        <w:rPr>
          <w:rFonts w:hint="eastAsia" w:ascii="仿宋_GB2312" w:eastAsia="仿宋_GB2312"/>
          <w:color w:val="000000"/>
          <w:sz w:val="32"/>
          <w:szCs w:val="32"/>
          <w:lang w:eastAsia="zh-CN"/>
        </w:rPr>
        <w:t>申报主体参加深圳时装周的成果文件（</w:t>
      </w:r>
      <w:r>
        <w:rPr>
          <w:rFonts w:hint="eastAsia" w:ascii="仿宋_GB2312" w:eastAsia="仿宋_GB2312"/>
          <w:color w:val="000000"/>
          <w:sz w:val="32"/>
          <w:szCs w:val="32"/>
        </w:rPr>
        <w:t>活动方案及总结</w:t>
      </w:r>
      <w:r>
        <w:rPr>
          <w:rFonts w:hint="eastAsia" w:ascii="仿宋_GB2312" w:eastAsia="仿宋_GB2312"/>
          <w:color w:val="000000"/>
          <w:sz w:val="32"/>
          <w:szCs w:val="32"/>
          <w:lang w:eastAsia="zh-CN"/>
        </w:rPr>
        <w:t>，需包含活动</w:t>
      </w:r>
      <w:r>
        <w:rPr>
          <w:rFonts w:hint="eastAsia" w:ascii="仿宋_GB2312" w:eastAsia="仿宋_GB2312"/>
          <w:color w:val="000000"/>
          <w:sz w:val="32"/>
          <w:szCs w:val="32"/>
        </w:rPr>
        <w:t>日期排程</w:t>
      </w:r>
      <w:r>
        <w:rPr>
          <w:rFonts w:hint="eastAsia" w:ascii="仿宋_GB2312" w:eastAsia="仿宋_GB2312"/>
          <w:color w:val="000000"/>
          <w:sz w:val="32"/>
          <w:szCs w:val="32"/>
          <w:lang w:eastAsia="zh-CN"/>
        </w:rPr>
        <w:t>、现场照片、物料及体现企业标识、商标或原创设计等）</w:t>
      </w:r>
      <w:r>
        <w:rPr>
          <w:rFonts w:hint="eastAsia" w:ascii="仿宋_GB2312" w:eastAsia="仿宋_GB2312"/>
          <w:color w:val="000000"/>
          <w:sz w:val="32"/>
          <w:szCs w:val="32"/>
        </w:rPr>
        <w:t>（原件彩色扫描成PDF文件上传）；</w:t>
      </w:r>
    </w:p>
    <w:p>
      <w:pPr>
        <w:widowControl/>
        <w:spacing w:line="56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（八）承诺函（</w:t>
      </w:r>
      <w:r>
        <w:rPr>
          <w:rFonts w:hint="eastAsia" w:ascii="仿宋_GB2312" w:eastAsia="仿宋_GB2312"/>
          <w:color w:val="000000"/>
          <w:sz w:val="32"/>
          <w:szCs w:val="32"/>
        </w:rPr>
        <w:t>原件彩色扫描成PDF文件上传</w:t>
      </w:r>
      <w:r>
        <w:rPr>
          <w:rFonts w:hint="eastAsia" w:ascii="仿宋_GB2312" w:eastAsia="仿宋_GB2312"/>
          <w:color w:val="000000"/>
          <w:sz w:val="32"/>
          <w:szCs w:val="32"/>
          <w:lang w:eastAsia="zh-CN"/>
        </w:rPr>
        <w:t>）；</w:t>
      </w:r>
    </w:p>
    <w:p>
      <w:pPr>
        <w:widowControl/>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eastAsia="zh-CN"/>
        </w:rPr>
        <w:t>九</w:t>
      </w:r>
      <w:r>
        <w:rPr>
          <w:rFonts w:hint="eastAsia" w:ascii="仿宋_GB2312" w:eastAsia="仿宋_GB2312"/>
          <w:color w:val="000000"/>
          <w:sz w:val="32"/>
          <w:szCs w:val="32"/>
        </w:rPr>
        <w:t>）审核部门认为需要提供的其他材料[原件（或复印件加盖单位公章）彩色扫描成PDF文件上传]。</w:t>
      </w:r>
    </w:p>
    <w:p>
      <w:pPr>
        <w:widowControl/>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七、时限要求</w:t>
      </w:r>
    </w:p>
    <w:p>
      <w:pPr>
        <w:widowControl/>
        <w:spacing w:line="560" w:lineRule="exact"/>
        <w:ind w:firstLine="640" w:firstLineChars="200"/>
        <w:rPr>
          <w:rFonts w:hint="eastAsia" w:ascii="仿宋_GB2312" w:eastAsia="仿宋_GB2312"/>
          <w:bCs/>
          <w:sz w:val="32"/>
          <w:szCs w:val="32"/>
        </w:rPr>
      </w:pPr>
      <w:r>
        <w:rPr>
          <w:rFonts w:hint="eastAsia" w:ascii="仿宋_GB2312" w:eastAsia="仿宋_GB2312"/>
          <w:bCs/>
          <w:sz w:val="32"/>
          <w:szCs w:val="32"/>
        </w:rPr>
        <w:t>（一）区发</w:t>
      </w:r>
      <w:r>
        <w:rPr>
          <w:rFonts w:hint="eastAsia" w:ascii="仿宋_GB2312" w:eastAsia="仿宋_GB2312"/>
          <w:bCs/>
          <w:sz w:val="32"/>
          <w:szCs w:val="32"/>
          <w:lang w:eastAsia="zh-CN"/>
        </w:rPr>
        <w:t>商务</w:t>
      </w:r>
      <w:r>
        <w:rPr>
          <w:rFonts w:hint="eastAsia" w:ascii="仿宋_GB2312" w:eastAsia="仿宋_GB2312"/>
          <w:bCs/>
          <w:sz w:val="32"/>
          <w:szCs w:val="32"/>
        </w:rPr>
        <w:t>局视申请情况安排集中受理企业申请，具体受理时间以发布的申报通知为准。</w:t>
      </w:r>
    </w:p>
    <w:p>
      <w:pPr>
        <w:widowControl/>
        <w:spacing w:line="560" w:lineRule="exact"/>
        <w:ind w:firstLine="640" w:firstLineChars="200"/>
        <w:rPr>
          <w:rFonts w:hint="eastAsia" w:ascii="仿宋_GB2312" w:eastAsia="仿宋_GB2312"/>
          <w:bCs/>
          <w:sz w:val="32"/>
          <w:szCs w:val="32"/>
        </w:rPr>
      </w:pPr>
      <w:r>
        <w:rPr>
          <w:rFonts w:hint="eastAsia" w:ascii="仿宋_GB2312" w:eastAsia="仿宋_GB2312"/>
          <w:bCs/>
          <w:sz w:val="32"/>
          <w:szCs w:val="32"/>
        </w:rPr>
        <w:t>（二）申报主体须按照区</w:t>
      </w:r>
      <w:r>
        <w:rPr>
          <w:rFonts w:hint="eastAsia" w:ascii="仿宋_GB2312" w:eastAsia="仿宋_GB2312"/>
          <w:bCs/>
          <w:sz w:val="32"/>
          <w:szCs w:val="32"/>
          <w:lang w:eastAsia="zh-CN"/>
        </w:rPr>
        <w:t>商务</w:t>
      </w:r>
      <w:r>
        <w:rPr>
          <w:rFonts w:hint="eastAsia" w:ascii="仿宋_GB2312" w:eastAsia="仿宋_GB2312"/>
          <w:bCs/>
          <w:sz w:val="32"/>
          <w:szCs w:val="32"/>
        </w:rPr>
        <w:t>局相关通知要求及时提交资金拨付所需材料，逾期不办理者视为自动放弃。</w:t>
      </w:r>
    </w:p>
    <w:p>
      <w:pPr>
        <w:spacing w:line="560" w:lineRule="exact"/>
        <w:ind w:firstLine="640" w:firstLineChars="200"/>
        <w:rPr>
          <w:rFonts w:ascii="仿宋_GB2312" w:hAnsi="仿宋" w:eastAsia="仿宋_GB2312"/>
          <w:color w:val="000000"/>
          <w:sz w:val="32"/>
          <w:szCs w:val="32"/>
        </w:rPr>
      </w:pPr>
      <w:r>
        <w:rPr>
          <w:rFonts w:hint="eastAsia" w:ascii="黑体" w:hAnsi="黑体" w:eastAsia="黑体" w:cs="黑体"/>
          <w:sz w:val="32"/>
          <w:szCs w:val="32"/>
        </w:rPr>
        <w:t>八、</w:t>
      </w:r>
      <w:r>
        <w:rPr>
          <w:rFonts w:hint="eastAsia" w:ascii="黑体" w:hAnsi="黑体" w:eastAsia="黑体"/>
          <w:color w:val="000000"/>
          <w:sz w:val="32"/>
          <w:szCs w:val="32"/>
        </w:rPr>
        <w:t>其他事项</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（一）本项目所依据的政策内容执行期间如遇国家、省、市有关政策调整的，按照上级有关规定执行。</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lang w:eastAsia="zh-CN"/>
        </w:rPr>
        <w:t>（二）</w:t>
      </w:r>
      <w:r>
        <w:rPr>
          <w:rFonts w:hint="eastAsia" w:ascii="仿宋_GB2312" w:hAnsi="仿宋" w:eastAsia="仿宋_GB2312"/>
          <w:color w:val="000000"/>
          <w:sz w:val="32"/>
          <w:szCs w:val="32"/>
        </w:rPr>
        <w:t>申请本项目资助的企业应保证其申报材料的完整性、真实性、准确性及合法性，并承担所提交的项目申报材料的相关法律责任，如有虚假或侵权等行为，该项目申请无效，如事后发现存在以上行为，本资金主管部门将保留依法追究其法律责任的权利。</w:t>
      </w:r>
    </w:p>
    <w:p>
      <w:pPr>
        <w:widowControl/>
        <w:spacing w:line="560" w:lineRule="exact"/>
        <w:ind w:firstLine="640" w:firstLineChars="200"/>
        <w:rPr>
          <w:rFonts w:ascii="黑体" w:hAnsi="黑体" w:eastAsia="黑体" w:cs="黑体"/>
          <w:sz w:val="32"/>
          <w:szCs w:val="32"/>
        </w:rPr>
      </w:pPr>
      <w:r>
        <w:rPr>
          <w:rFonts w:hint="eastAsia" w:ascii="黑体" w:hAnsi="黑体" w:eastAsia="黑体"/>
          <w:color w:val="000000"/>
          <w:sz w:val="32"/>
          <w:szCs w:val="32"/>
        </w:rPr>
        <w:t>九、</w:t>
      </w:r>
      <w:r>
        <w:rPr>
          <w:rFonts w:hint="eastAsia" w:ascii="黑体" w:hAnsi="黑体" w:eastAsia="黑体" w:cs="黑体"/>
          <w:sz w:val="32"/>
          <w:szCs w:val="32"/>
        </w:rPr>
        <w:t>附则</w:t>
      </w:r>
    </w:p>
    <w:p>
      <w:pPr>
        <w:widowControl/>
        <w:spacing w:line="560" w:lineRule="exact"/>
        <w:ind w:firstLine="640" w:firstLineChars="200"/>
        <w:rPr>
          <w:rFonts w:ascii="仿宋_GB2312" w:eastAsia="仿宋_GB2312"/>
          <w:b/>
          <w:sz w:val="32"/>
          <w:szCs w:val="32"/>
        </w:rPr>
      </w:pPr>
      <w:r>
        <w:rPr>
          <w:rFonts w:hint="eastAsia" w:ascii="仿宋_GB2312" w:hAnsi="仿宋_GB2312" w:eastAsia="仿宋_GB2312" w:cs="仿宋_GB2312"/>
          <w:kern w:val="2"/>
          <w:sz w:val="32"/>
          <w:szCs w:val="32"/>
        </w:rPr>
        <w:t>本项目责任部门为</w:t>
      </w:r>
      <w:r>
        <w:rPr>
          <w:rFonts w:hint="default" w:ascii="仿宋_GB2312" w:hAnsi="仿宋_GB2312" w:eastAsia="仿宋_GB2312" w:cs="仿宋_GB2312"/>
          <w:sz w:val="32"/>
          <w:szCs w:val="32"/>
          <w:lang w:eastAsia="zh-CN"/>
        </w:rPr>
        <w:t>区商务局</w:t>
      </w:r>
      <w:r>
        <w:rPr>
          <w:rFonts w:hint="eastAsia" w:ascii="仿宋_GB2312" w:hAnsi="仿宋_GB2312" w:eastAsia="仿宋_GB2312" w:cs="仿宋_GB2312"/>
          <w:kern w:val="2"/>
          <w:sz w:val="32"/>
          <w:szCs w:val="32"/>
        </w:rPr>
        <w:t>，本</w:t>
      </w:r>
      <w:r>
        <w:rPr>
          <w:rFonts w:hint="eastAsia" w:ascii="仿宋_GB2312" w:hAnsi="仿宋_GB2312" w:eastAsia="仿宋_GB2312" w:cs="仿宋_GB2312"/>
          <w:kern w:val="2"/>
          <w:sz w:val="32"/>
          <w:szCs w:val="32"/>
          <w:lang w:eastAsia="zh-CN"/>
        </w:rPr>
        <w:t>操作</w:t>
      </w:r>
      <w:r>
        <w:rPr>
          <w:rFonts w:hint="eastAsia" w:ascii="仿宋_GB2312" w:hAnsi="仿宋_GB2312" w:eastAsia="仿宋_GB2312" w:cs="仿宋_GB2312"/>
          <w:kern w:val="2"/>
          <w:sz w:val="32"/>
          <w:szCs w:val="32"/>
        </w:rPr>
        <w:t>规程由</w:t>
      </w:r>
      <w:r>
        <w:rPr>
          <w:rFonts w:hint="default" w:ascii="仿宋_GB2312" w:hAnsi="仿宋_GB2312" w:eastAsia="仿宋_GB2312" w:cs="仿宋_GB2312"/>
          <w:sz w:val="32"/>
          <w:szCs w:val="32"/>
          <w:lang w:eastAsia="zh-CN"/>
        </w:rPr>
        <w:t>区商务局</w:t>
      </w:r>
      <w:r>
        <w:rPr>
          <w:rFonts w:hint="eastAsia" w:ascii="仿宋_GB2312" w:hAnsi="仿宋_GB2312" w:eastAsia="仿宋_GB2312" w:cs="仿宋_GB2312"/>
          <w:kern w:val="2"/>
          <w:sz w:val="32"/>
          <w:szCs w:val="32"/>
        </w:rPr>
        <w:t>负责解释，自发布之日起施行。</w:t>
      </w:r>
    </w:p>
    <w:sectPr>
      <w:headerReference r:id="rId3" w:type="default"/>
      <w:footerReference r:id="rId4" w:type="default"/>
      <w:pgSz w:w="11906" w:h="16838"/>
      <w:pgMar w:top="1440" w:right="1466"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Nimbus Roman No9 L"/>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revisionView w:markup="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6B2F"/>
    <w:rsid w:val="0009285F"/>
    <w:rsid w:val="000F631B"/>
    <w:rsid w:val="00172A27"/>
    <w:rsid w:val="001C4499"/>
    <w:rsid w:val="00215F7B"/>
    <w:rsid w:val="00220909"/>
    <w:rsid w:val="004351D5"/>
    <w:rsid w:val="00441876"/>
    <w:rsid w:val="0047793B"/>
    <w:rsid w:val="004D3DA9"/>
    <w:rsid w:val="00504B61"/>
    <w:rsid w:val="00573F78"/>
    <w:rsid w:val="005A1A5B"/>
    <w:rsid w:val="005E0384"/>
    <w:rsid w:val="00612FC7"/>
    <w:rsid w:val="00625D5F"/>
    <w:rsid w:val="0066788F"/>
    <w:rsid w:val="00816B6D"/>
    <w:rsid w:val="008570E1"/>
    <w:rsid w:val="00867100"/>
    <w:rsid w:val="008934A0"/>
    <w:rsid w:val="008B1923"/>
    <w:rsid w:val="00950E50"/>
    <w:rsid w:val="00965ECB"/>
    <w:rsid w:val="00AC3DB7"/>
    <w:rsid w:val="00AF3E44"/>
    <w:rsid w:val="00B53B0C"/>
    <w:rsid w:val="00BD4656"/>
    <w:rsid w:val="00C33FD3"/>
    <w:rsid w:val="00C51EA1"/>
    <w:rsid w:val="00CC735C"/>
    <w:rsid w:val="00D07528"/>
    <w:rsid w:val="00E74497"/>
    <w:rsid w:val="0183046B"/>
    <w:rsid w:val="0189320A"/>
    <w:rsid w:val="0E245B77"/>
    <w:rsid w:val="1B67C300"/>
    <w:rsid w:val="24C86182"/>
    <w:rsid w:val="29FE3BED"/>
    <w:rsid w:val="2EFEC547"/>
    <w:rsid w:val="2F9F8A6D"/>
    <w:rsid w:val="2FFF5C41"/>
    <w:rsid w:val="33F7918C"/>
    <w:rsid w:val="3491089C"/>
    <w:rsid w:val="39EF0017"/>
    <w:rsid w:val="3B2777BB"/>
    <w:rsid w:val="3BE52EB4"/>
    <w:rsid w:val="3DFEDD5F"/>
    <w:rsid w:val="3DFF882F"/>
    <w:rsid w:val="3FAC2205"/>
    <w:rsid w:val="3FECEE3B"/>
    <w:rsid w:val="46E9B11E"/>
    <w:rsid w:val="47FBADFE"/>
    <w:rsid w:val="4DBFD188"/>
    <w:rsid w:val="4DE9AAE2"/>
    <w:rsid w:val="4E779E14"/>
    <w:rsid w:val="4FBF97B2"/>
    <w:rsid w:val="57BFDCA4"/>
    <w:rsid w:val="58676097"/>
    <w:rsid w:val="5D5D2BE9"/>
    <w:rsid w:val="5F5200B6"/>
    <w:rsid w:val="604E445E"/>
    <w:rsid w:val="67DF3837"/>
    <w:rsid w:val="67F8B100"/>
    <w:rsid w:val="6CF45176"/>
    <w:rsid w:val="6FFCD078"/>
    <w:rsid w:val="6FFCE235"/>
    <w:rsid w:val="733E2F35"/>
    <w:rsid w:val="779E6CFD"/>
    <w:rsid w:val="77F764BB"/>
    <w:rsid w:val="77FF00CB"/>
    <w:rsid w:val="78970E7D"/>
    <w:rsid w:val="79F45974"/>
    <w:rsid w:val="7A9E9F6D"/>
    <w:rsid w:val="7B4F1FA2"/>
    <w:rsid w:val="7CE334F7"/>
    <w:rsid w:val="7D5F11EE"/>
    <w:rsid w:val="7DFCCC94"/>
    <w:rsid w:val="7FBB14B2"/>
    <w:rsid w:val="7FD7B3B2"/>
    <w:rsid w:val="7FEDDB47"/>
    <w:rsid w:val="8BEDF5CB"/>
    <w:rsid w:val="93FE6F53"/>
    <w:rsid w:val="9FF7FD9D"/>
    <w:rsid w:val="AFFE86AE"/>
    <w:rsid w:val="BA5FA884"/>
    <w:rsid w:val="BDBF80CB"/>
    <w:rsid w:val="BE9B2633"/>
    <w:rsid w:val="BFBFFD2C"/>
    <w:rsid w:val="BFEB26C4"/>
    <w:rsid w:val="BFEBE810"/>
    <w:rsid w:val="D7BB392B"/>
    <w:rsid w:val="D7FF3362"/>
    <w:rsid w:val="D9DB52B1"/>
    <w:rsid w:val="D9FF6640"/>
    <w:rsid w:val="DBFDBAFA"/>
    <w:rsid w:val="DF970A88"/>
    <w:rsid w:val="DFDFCDAE"/>
    <w:rsid w:val="DFFB1463"/>
    <w:rsid w:val="E75EE9B7"/>
    <w:rsid w:val="E775CAD5"/>
    <w:rsid w:val="E7F82191"/>
    <w:rsid w:val="EBFFB465"/>
    <w:rsid w:val="EEF70F2D"/>
    <w:rsid w:val="EFEF2623"/>
    <w:rsid w:val="F5FF4781"/>
    <w:rsid w:val="F6B5AA67"/>
    <w:rsid w:val="F97A154B"/>
    <w:rsid w:val="F9FC02E7"/>
    <w:rsid w:val="FB8DC701"/>
    <w:rsid w:val="FBF3F0ED"/>
    <w:rsid w:val="FBF7214C"/>
    <w:rsid w:val="FBFA3880"/>
    <w:rsid w:val="FBFBF7DD"/>
    <w:rsid w:val="FBFFC117"/>
    <w:rsid w:val="FC35A899"/>
    <w:rsid w:val="FCBD470C"/>
    <w:rsid w:val="FFAF1E5D"/>
    <w:rsid w:val="FFE7DE01"/>
    <w:rsid w:val="FFF7EDE6"/>
    <w:rsid w:val="FFFD3956"/>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9"/>
    <w:pPr>
      <w:keepNext/>
      <w:keepLines/>
      <w:spacing w:line="360" w:lineRule="auto"/>
      <w:jc w:val="center"/>
      <w:outlineLvl w:val="0"/>
    </w:pPr>
    <w:rPr>
      <w:rFonts w:eastAsia="黑体"/>
      <w:kern w:val="44"/>
      <w:sz w:val="44"/>
      <w:szCs w:val="44"/>
      <w:lang w:val="zh-CN"/>
    </w:rPr>
  </w:style>
  <w:style w:type="paragraph" w:styleId="5">
    <w:name w:val="heading 4"/>
    <w:basedOn w:val="1"/>
    <w:next w:val="1"/>
    <w:qFormat/>
    <w:uiPriority w:val="0"/>
    <w:pPr>
      <w:keepNext/>
      <w:keepLines/>
      <w:spacing w:before="280" w:beforeLines="0" w:after="290" w:afterLines="0" w:line="376" w:lineRule="auto"/>
      <w:outlineLvl w:val="3"/>
    </w:pPr>
    <w:rPr>
      <w:rFonts w:ascii="Cambria" w:hAnsi="Cambria" w:eastAsia="宋体" w:cs="Times New Roman"/>
      <w:b/>
      <w:bCs/>
      <w:sz w:val="28"/>
      <w:szCs w:val="28"/>
    </w:rPr>
  </w:style>
  <w:style w:type="character" w:default="1" w:styleId="16">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cs="Courier New"/>
      <w:szCs w:val="21"/>
    </w:rPr>
  </w:style>
  <w:style w:type="paragraph" w:styleId="3">
    <w:name w:val="index 8"/>
    <w:basedOn w:val="1"/>
    <w:next w:val="1"/>
    <w:qFormat/>
    <w:uiPriority w:val="0"/>
    <w:pPr>
      <w:ind w:left="2940"/>
    </w:pPr>
  </w:style>
  <w:style w:type="paragraph" w:styleId="6">
    <w:name w:val="caption"/>
    <w:basedOn w:val="1"/>
    <w:next w:val="1"/>
    <w:qFormat/>
    <w:uiPriority w:val="0"/>
    <w:pPr>
      <w:adjustRightInd w:val="0"/>
      <w:spacing w:before="152" w:after="160"/>
      <w:textAlignment w:val="baseline"/>
    </w:pPr>
    <w:rPr>
      <w:rFonts w:ascii="Arial" w:hAnsi="Arial" w:eastAsia="黑体"/>
      <w:szCs w:val="20"/>
    </w:rPr>
  </w:style>
  <w:style w:type="paragraph" w:styleId="7">
    <w:name w:val="annotation text"/>
    <w:basedOn w:val="1"/>
    <w:link w:val="24"/>
    <w:qFormat/>
    <w:uiPriority w:val="0"/>
    <w:pPr>
      <w:jc w:val="left"/>
    </w:pPr>
  </w:style>
  <w:style w:type="paragraph" w:styleId="8">
    <w:name w:val="Body Text"/>
    <w:basedOn w:val="1"/>
    <w:unhideWhenUsed/>
    <w:qFormat/>
    <w:uiPriority w:val="99"/>
    <w:pPr>
      <w:spacing w:after="120"/>
    </w:p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annotation subject"/>
    <w:basedOn w:val="7"/>
    <w:next w:val="7"/>
    <w:link w:val="25"/>
    <w:qFormat/>
    <w:uiPriority w:val="0"/>
    <w:rPr>
      <w:b/>
      <w:bCs/>
    </w:rPr>
  </w:style>
  <w:style w:type="paragraph" w:styleId="14">
    <w:name w:val="Body Text First Indent"/>
    <w:basedOn w:val="8"/>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character" w:styleId="17">
    <w:name w:val="page number"/>
    <w:basedOn w:val="16"/>
    <w:qFormat/>
    <w:uiPriority w:val="0"/>
  </w:style>
  <w:style w:type="character" w:styleId="18">
    <w:name w:val="Hyperlink"/>
    <w:qFormat/>
    <w:uiPriority w:val="0"/>
    <w:rPr>
      <w:color w:val="0000FF"/>
      <w:u w:val="single"/>
    </w:rPr>
  </w:style>
  <w:style w:type="character" w:styleId="19">
    <w:name w:val="annotation reference"/>
    <w:qFormat/>
    <w:uiPriority w:val="0"/>
    <w:rPr>
      <w:sz w:val="21"/>
      <w:szCs w:val="21"/>
    </w:rPr>
  </w:style>
  <w:style w:type="paragraph" w:customStyle="1" w:styleId="20">
    <w:name w:val="Heading4"/>
    <w:basedOn w:val="1"/>
    <w:next w:val="1"/>
    <w:qFormat/>
    <w:uiPriority w:val="0"/>
    <w:pPr>
      <w:keepNext/>
      <w:keepLines/>
      <w:spacing w:before="280" w:after="290" w:line="376" w:lineRule="auto"/>
      <w:textAlignment w:val="baseline"/>
    </w:pPr>
    <w:rPr>
      <w:rFonts w:ascii="Cambria" w:hAnsi="Cambria" w:eastAsia="宋体" w:cs="Times New Roman"/>
      <w:b/>
      <w:bCs/>
      <w:sz w:val="28"/>
      <w:szCs w:val="28"/>
    </w:rPr>
  </w:style>
  <w:style w:type="character" w:customStyle="1" w:styleId="21">
    <w:name w:val="页码1"/>
    <w:qFormat/>
    <w:uiPriority w:val="0"/>
    <w:rPr>
      <w:rFonts w:cs="Times New Roman"/>
    </w:rPr>
  </w:style>
  <w:style w:type="character" w:customStyle="1" w:styleId="22">
    <w:name w:val="Char Char1"/>
    <w:qFormat/>
    <w:uiPriority w:val="0"/>
    <w:rPr>
      <w:kern w:val="2"/>
      <w:sz w:val="18"/>
      <w:szCs w:val="18"/>
    </w:rPr>
  </w:style>
  <w:style w:type="character" w:customStyle="1" w:styleId="23">
    <w:name w:val="Char Char"/>
    <w:qFormat/>
    <w:uiPriority w:val="0"/>
    <w:rPr>
      <w:kern w:val="2"/>
      <w:sz w:val="18"/>
      <w:szCs w:val="18"/>
    </w:rPr>
  </w:style>
  <w:style w:type="character" w:customStyle="1" w:styleId="24">
    <w:name w:val="批注文字 Char"/>
    <w:link w:val="7"/>
    <w:qFormat/>
    <w:uiPriority w:val="0"/>
    <w:rPr>
      <w:kern w:val="2"/>
      <w:sz w:val="21"/>
      <w:szCs w:val="24"/>
    </w:rPr>
  </w:style>
  <w:style w:type="character" w:customStyle="1" w:styleId="25">
    <w:name w:val="批注主题 Char"/>
    <w:link w:val="13"/>
    <w:qFormat/>
    <w:uiPriority w:val="0"/>
    <w:rPr>
      <w:b/>
      <w:bCs/>
      <w:kern w:val="2"/>
      <w:sz w:val="21"/>
      <w:szCs w:val="24"/>
    </w:rPr>
  </w:style>
  <w:style w:type="paragraph" w:customStyle="1" w:styleId="26">
    <w:name w:val="默认段落字体 Para Char Char"/>
    <w:basedOn w:val="1"/>
    <w:qFormat/>
    <w:uiPriority w:val="0"/>
  </w:style>
  <w:style w:type="paragraph" w:customStyle="1" w:styleId="27">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4</Pages>
  <Words>444</Words>
  <Characters>2537</Characters>
  <Lines>21</Lines>
  <Paragraphs>5</Paragraphs>
  <TotalTime>0</TotalTime>
  <ScaleCrop>false</ScaleCrop>
  <LinksUpToDate>false</LinksUpToDate>
  <CharactersWithSpaces>2976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2018-09-19T12:53:00Z</dcterms:created>
  <dc:creator>NSKJJ</dc:creator>
  <cp:lastModifiedBy>服贸专员</cp:lastModifiedBy>
  <cp:lastPrinted>2026-01-19T09:12:00Z</cp:lastPrinted>
  <dcterms:modified xsi:type="dcterms:W3CDTF">2026-03-24T10:53:02Z</dcterms:modified>
  <dc:title>南山区自主创新产业发展专项资金——核心技术突破资助计划操作规程（申请指南）</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680CD44909BA91D09F0C5F69AEC542BC</vt:lpwstr>
  </property>
</Properties>
</file>