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7A253">
      <w:pPr>
        <w:spacing w:line="560" w:lineRule="exact"/>
        <w:jc w:val="both"/>
        <w:rPr>
          <w:rFonts w:hint="eastAsia" w:eastAsia="黑体"/>
          <w:sz w:val="32"/>
          <w:szCs w:val="32"/>
          <w:lang w:eastAsia="zh-CN"/>
        </w:rPr>
      </w:pPr>
    </w:p>
    <w:p w14:paraId="68DCBFB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南山区促进产业高质量发展专项资金——</w:t>
      </w:r>
    </w:p>
    <w:p w14:paraId="3F577D9E">
      <w:pPr>
        <w:spacing w:line="560" w:lineRule="exact"/>
        <w:ind w:firstLine="0" w:firstLineChars="0"/>
        <w:jc w:val="center"/>
        <w:outlineLvl w:val="0"/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44"/>
          <w:szCs w:val="44"/>
          <w:highlight w:val="none"/>
          <w:lang w:val="en-US" w:eastAsia="zh-CN"/>
        </w:rPr>
        <w:t>南山区商务局</w:t>
      </w:r>
      <w:r>
        <w:rPr>
          <w:rFonts w:ascii="方正小标宋_GBK" w:hAnsi="宋体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分项资金</w:t>
      </w: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——</w:t>
      </w:r>
    </w:p>
    <w:p w14:paraId="6CFE20ED">
      <w:pPr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支持推动夜间经济发展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项目操作规程</w:t>
      </w:r>
    </w:p>
    <w:p w14:paraId="1FD50C6D">
      <w:pPr>
        <w:tabs>
          <w:tab w:val="left" w:pos="5505"/>
        </w:tabs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ab/>
      </w:r>
    </w:p>
    <w:p w14:paraId="67F756D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支持推动夜间经济发展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同时规范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南山区促进产业高质量发展专项资金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的使用和管理，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据《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南山区促进产业高质量发展专项资金管理办法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等文件规定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制定本操作规程。</w:t>
      </w:r>
    </w:p>
    <w:p w14:paraId="0BDCC150">
      <w:pPr>
        <w:widowControl/>
        <w:spacing w:line="560" w:lineRule="exact"/>
        <w:ind w:firstLine="537" w:firstLineChars="168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一、政策内容</w:t>
      </w:r>
    </w:p>
    <w:p w14:paraId="7602DC3E">
      <w:pPr>
        <w:widowControl/>
        <w:spacing w:line="560" w:lineRule="exact"/>
        <w:ind w:firstLine="537" w:firstLineChars="1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支持推动夜间经济发展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辖区商业企业或商业综合体开展特色夜间活动，对经申报核准资助的活动按不超过实际投入额的50%予以补贴，单个主体每年资助金额最高50万元。对达到市资助标准的南山区特色商圈（步行街）及夜间经济示范街区，按照市财政奖励金额1:1给予经营主体最高1000万元奖励。</w:t>
      </w:r>
    </w:p>
    <w:p w14:paraId="137E80FD">
      <w:pPr>
        <w:widowControl/>
        <w:spacing w:line="560" w:lineRule="exact"/>
        <w:ind w:firstLine="537" w:firstLineChars="168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 w14:paraId="4C749F0B">
      <w:pPr>
        <w:widowControl/>
        <w:spacing w:line="560" w:lineRule="exact"/>
        <w:ind w:firstLine="537" w:firstLineChars="1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本项资助属于核准类项目，资助资金的安排使用坚持公平、公开、公正的原则，实行自愿申报、科学决策和绩效评估的管理制度，采取无偿资助方式和事后补贴制，受资助项目无需验收。</w:t>
      </w:r>
    </w:p>
    <w:p w14:paraId="7C5F6C46">
      <w:pPr>
        <w:widowControl/>
        <w:spacing w:line="560" w:lineRule="exact"/>
        <w:ind w:firstLine="537" w:firstLineChars="16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本项资助受年度资金预算控制，区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局视申报情况和预算安排，可以对资助金额、支持比例和拨付进度等进行统一调整，申报主体应无条件同意调整结果。</w:t>
      </w:r>
    </w:p>
    <w:p w14:paraId="45B0E493">
      <w:pPr>
        <w:widowControl/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三、资助标准</w:t>
      </w:r>
    </w:p>
    <w:p w14:paraId="3913AD87">
      <w:pPr>
        <w:widowControl/>
        <w:spacing w:line="560" w:lineRule="exact"/>
        <w:ind w:left="0" w:leftChars="0" w:firstLine="534" w:firstLineChars="16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支持辖区商业企业或商业综合体开展特色夜间活动，对经申报核准资助的活动按不超过实际投入额（按照不含税金额核算）的50%予以补贴，单个主体每年资助金额最高50万元。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限上一年度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在深圳市举办完毕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，且实施范围含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南山区的活动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需具备以下条件之一：</w:t>
      </w:r>
    </w:p>
    <w:p w14:paraId="1DBDA01C">
      <w:pPr>
        <w:pStyle w:val="10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firstLine="534" w:firstLineChars="167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上年度销售额达到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亿元的零售企业；</w:t>
      </w:r>
    </w:p>
    <w:p w14:paraId="284742CD">
      <w:pPr>
        <w:spacing w:line="560" w:lineRule="exact"/>
        <w:ind w:firstLine="534" w:firstLineChars="167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上年度营业额达到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2亿元的餐饮企业；</w:t>
      </w:r>
    </w:p>
    <w:p w14:paraId="4B568F0A">
      <w:pPr>
        <w:pStyle w:val="10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firstLine="534" w:firstLineChars="167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上年度营收达到1亿元的大型商业综合体。</w:t>
      </w:r>
    </w:p>
    <w:p w14:paraId="4060359C">
      <w:pPr>
        <w:pStyle w:val="10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firstLine="534" w:firstLineChars="167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对达到市资助标准的南山区特色商圈（步行街）及夜间经济示范街区，按照市财政奖励金额1:1给予经营主体最高1000万元奖励。</w:t>
      </w:r>
    </w:p>
    <w:p w14:paraId="786B52A0">
      <w:pPr>
        <w:widowControl/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四、申请条件</w:t>
      </w:r>
    </w:p>
    <w:p w14:paraId="065ABC73">
      <w:pPr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（一）申请本项资金资助的企业应符合以下基本条件：</w:t>
      </w:r>
    </w:p>
    <w:p w14:paraId="651A2EE4">
      <w:pPr>
        <w:pStyle w:val="1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34" w:firstLineChars="167"/>
        <w:jc w:val="both"/>
        <w:textAlignment w:val="auto"/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</w:rPr>
        <w:t>1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</w:rPr>
        <w:t>在南山区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依法从事实际经营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</w:rPr>
        <w:t>，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eastAsia="zh-CN"/>
        </w:rPr>
        <w:t>并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</w:rPr>
        <w:t>具有独立法人资格；</w:t>
      </w:r>
    </w:p>
    <w:p w14:paraId="2D78688D">
      <w:pPr>
        <w:pStyle w:val="1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34" w:firstLineChars="167"/>
        <w:jc w:val="both"/>
        <w:textAlignment w:val="auto"/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</w:rPr>
        <w:t>2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</w:rPr>
        <w:t>履行统计数据申报义务、守法经营、诚实守信、有规范的财务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eastAsia="zh-CN"/>
        </w:rPr>
        <w:t>管理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</w:rPr>
        <w:t>制度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eastAsia="zh-CN"/>
        </w:rPr>
        <w:t>；</w:t>
      </w:r>
    </w:p>
    <w:p w14:paraId="2432D86F">
      <w:pPr>
        <w:pStyle w:val="1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34" w:firstLineChars="167"/>
        <w:jc w:val="both"/>
        <w:textAlignment w:val="auto"/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3.应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积极配合区委、区政府相关工作；</w:t>
      </w:r>
    </w:p>
    <w:p w14:paraId="3DC61994">
      <w:pPr>
        <w:pStyle w:val="1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34" w:firstLineChars="167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申请活动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在上一年度“南山购物季”、南山区“岁末欢乐季”等区专项活动中获取补贴；</w:t>
      </w:r>
    </w:p>
    <w:p w14:paraId="11A7F35B">
      <w:pPr>
        <w:pStyle w:val="1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34" w:firstLineChars="167"/>
        <w:jc w:val="both"/>
        <w:textAlignment w:val="auto"/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.本项目不得与前海合作区制定的同类性质扶持政策重复申报。</w:t>
      </w:r>
    </w:p>
    <w:p w14:paraId="12784036">
      <w:pPr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（二）有下列情况之一的，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资金不予资助：</w:t>
      </w:r>
    </w:p>
    <w:p w14:paraId="515463FF">
      <w:pPr>
        <w:pStyle w:val="1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34" w:firstLineChars="167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/>
        </w:rPr>
        <w:t>1.被依法依规纳入严重失信主体名单或失信惩戒措施清单的；</w:t>
      </w:r>
    </w:p>
    <w:p w14:paraId="1E4C6CE3">
      <w:pPr>
        <w:pStyle w:val="1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34" w:firstLineChars="167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/>
        </w:rPr>
        <w:t>提出资助申请后，申报主体注册地或在地统计关系发生变化，不再符合申报条件的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。</w:t>
      </w:r>
    </w:p>
    <w:p w14:paraId="1268CA3D">
      <w:pPr>
        <w:widowControl/>
        <w:spacing w:line="560" w:lineRule="exact"/>
        <w:outlineLvl w:val="0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 xml:space="preserve">    五、办理流程</w:t>
      </w:r>
    </w:p>
    <w:p w14:paraId="61F4410B">
      <w:pPr>
        <w:pStyle w:val="1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登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/>
        </w:rPr>
        <w:t>录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i南山企业服务综合平台”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在线填写《南山区促进产业高质量发展专项资金——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区商务局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-支持推动夜间经济发展项目申请书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》相关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申报材料；</w:t>
      </w:r>
    </w:p>
    <w:p w14:paraId="79C383DF">
      <w:pPr>
        <w:pStyle w:val="1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区企业发展服务中心受理申请，对申报材料进行形式性审核，区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商务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 xml:space="preserve">局复审申报材料； </w:t>
      </w:r>
    </w:p>
    <w:p w14:paraId="1C33D5C9">
      <w:pPr>
        <w:pStyle w:val="1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商务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局拟定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项目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资助计划；</w:t>
      </w:r>
    </w:p>
    <w:p w14:paraId="6F00753E">
      <w:pPr>
        <w:pStyle w:val="1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区相关部门对申报主体的有关经营资质情况进行核查；</w:t>
      </w:r>
    </w:p>
    <w:p w14:paraId="08F75244">
      <w:pPr>
        <w:pStyle w:val="1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区企业发展服务中心将拟资助项目向社会公示5个工作日，对公示期满，无有效投诉的项目资助计划，区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商务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局按照相应审核程序提交审议；</w:t>
      </w:r>
    </w:p>
    <w:p w14:paraId="4FAD26D7">
      <w:pPr>
        <w:pStyle w:val="1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经审议后，由区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商务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局行文下达资金计划；</w:t>
      </w:r>
    </w:p>
    <w:p w14:paraId="4746E63E">
      <w:pPr>
        <w:spacing w:line="560" w:lineRule="exact"/>
        <w:ind w:firstLine="640" w:firstLineChars="200"/>
        <w:rPr>
          <w:rFonts w:hint="eastAsia" w:ascii="仿宋_GB2312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/>
        </w:rPr>
        <w:t>（七）申报主体线上提交加盖单位财务专用章的收据；</w:t>
      </w:r>
    </w:p>
    <w:p w14:paraId="0691D6D1">
      <w:pPr>
        <w:spacing w:line="560" w:lineRule="exact"/>
        <w:ind w:firstLine="640" w:firstLineChars="200"/>
        <w:rPr>
          <w:rFonts w:hint="eastAsia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区财政部门及时安排资金，区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商务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局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对受理项目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</w:rPr>
        <w:t>办理资金拨付手续。</w:t>
      </w:r>
    </w:p>
    <w:p w14:paraId="1176017F">
      <w:pPr>
        <w:widowControl/>
        <w:spacing w:line="560" w:lineRule="exact"/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六、所需材料</w:t>
      </w:r>
    </w:p>
    <w:p w14:paraId="5A2F6CE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（一）《项目申请书》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i南山企业服务综合平台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在线填写，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签字并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单位公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章后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原件彩色扫描成PDF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；</w:t>
      </w:r>
    </w:p>
    <w:p w14:paraId="3D72657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统一社会信用代码证书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（原件彩色扫描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成PDF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；</w:t>
      </w:r>
    </w:p>
    <w:p w14:paraId="006BDBE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（三）法定代表人身份证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[原件（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复印件加盖单位公章）彩色扫描成PDF文件上传]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；</w:t>
      </w:r>
    </w:p>
    <w:p w14:paraId="559D339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）申报单位由税务部门开具的单位上年度纳税证明（上传税务系统下载带有税务机关红色印章的电子版，事业单位除外)；</w:t>
      </w:r>
    </w:p>
    <w:p w14:paraId="57282FC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支持推动夜间经济发展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需提供：</w:t>
      </w:r>
    </w:p>
    <w:p w14:paraId="356DC34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（打印件加盖公章彩色扫描成PDF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上传）；</w:t>
      </w:r>
    </w:p>
    <w:p w14:paraId="0745B1FC">
      <w:pPr>
        <w:pStyle w:val="12"/>
        <w:spacing w:line="560" w:lineRule="exact"/>
        <w:ind w:firstLine="628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活动总结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（打印件加盖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公章彩色扫描成PDF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E7EB819">
      <w:pPr>
        <w:pStyle w:val="12"/>
        <w:spacing w:line="560" w:lineRule="exact"/>
        <w:ind w:firstLine="628" w:firstLineChars="200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3.与活动投入有关的合同、协议（</w:t>
      </w:r>
      <w:r>
        <w:rPr>
          <w:rFonts w:hint="eastAsia" w:hAnsi="仿宋_GB2312" w:eastAsia="仿宋_GB2312" w:cs="仿宋_GB2312"/>
          <w:sz w:val="32"/>
          <w:szCs w:val="32"/>
        </w:rPr>
        <w:t>原件彩色扫描成PDF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</w:t>
      </w:r>
      <w:r>
        <w:rPr>
          <w:rFonts w:hint="eastAsia" w:hAnsi="仿宋_GB2312" w:eastAsia="仿宋_GB2312" w:cs="仿宋_GB2312"/>
          <w:sz w:val="32"/>
          <w:szCs w:val="32"/>
        </w:rPr>
        <w:t>上传</w:t>
      </w:r>
      <w:r>
        <w:rPr>
          <w:rFonts w:hint="eastAsia" w:hAnsi="仿宋_GB2312" w:cs="仿宋_GB2312"/>
          <w:sz w:val="32"/>
          <w:szCs w:val="32"/>
          <w:lang w:val="en-US" w:eastAsia="zh-CN"/>
        </w:rPr>
        <w:t>）；</w:t>
      </w:r>
    </w:p>
    <w:p w14:paraId="1AB46674">
      <w:pPr>
        <w:pStyle w:val="12"/>
        <w:spacing w:line="560" w:lineRule="exact"/>
        <w:ind w:firstLine="628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4.与活动</w:t>
      </w:r>
      <w:r>
        <w:rPr>
          <w:rFonts w:hint="eastAsia" w:hAnsi="仿宋_GB2312" w:cs="仿宋_GB2312"/>
          <w:sz w:val="32"/>
          <w:szCs w:val="32"/>
          <w:lang w:val="en-US" w:eastAsia="zh-CN"/>
        </w:rPr>
        <w:t>投入协议合同有关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费用</w:t>
      </w:r>
      <w:r>
        <w:rPr>
          <w:rFonts w:hint="eastAsia" w:hAnsi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发票、银行回单</w:t>
      </w:r>
      <w:r>
        <w:rPr>
          <w:rFonts w:hint="eastAsia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hAnsi="仿宋_GB2312" w:eastAsia="仿宋_GB2312" w:cs="仿宋_GB2312"/>
          <w:sz w:val="32"/>
          <w:szCs w:val="32"/>
        </w:rPr>
        <w:t>原件彩色扫描成PDF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</w:t>
      </w:r>
      <w:r>
        <w:rPr>
          <w:rFonts w:hint="eastAsia" w:hAnsi="仿宋_GB2312" w:eastAsia="仿宋_GB2312" w:cs="仿宋_GB2312"/>
          <w:sz w:val="32"/>
          <w:szCs w:val="32"/>
        </w:rPr>
        <w:t>上传</w:t>
      </w:r>
      <w:r>
        <w:rPr>
          <w:rFonts w:hint="eastAsia" w:hAnsi="仿宋_GB2312" w:cs="仿宋_GB2312"/>
          <w:sz w:val="32"/>
          <w:szCs w:val="32"/>
          <w:lang w:val="en-US" w:eastAsia="zh-CN"/>
        </w:rPr>
        <w:t>）；</w:t>
      </w:r>
    </w:p>
    <w:p w14:paraId="125969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上一年度12月份的批发和零售业商品销售和库存表或餐饮业经营情况表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或财务状况表</w:t>
      </w:r>
      <w:r>
        <w:rPr>
          <w:rFonts w:hint="eastAsia" w:ascii="仿宋_GB2312" w:hAnsi="仿宋_GB2312" w:eastAsia="仿宋_GB2312" w:cs="仿宋_GB2312"/>
          <w:sz w:val="32"/>
          <w:szCs w:val="32"/>
        </w:rPr>
        <w:t>（无月报可提供年报）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及上一年度调查单位基本情况表[统计联网直报平台下载电子版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公章）彩色扫描成PDF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上传]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5D58C5E">
      <w:pPr>
        <w:pStyle w:val="12"/>
        <w:numPr>
          <w:ilvl w:val="0"/>
          <w:numId w:val="0"/>
        </w:numPr>
        <w:spacing w:line="560" w:lineRule="exact"/>
        <w:ind w:firstLine="628" w:firstLineChars="200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6.</w:t>
      </w:r>
      <w:r>
        <w:rPr>
          <w:rFonts w:hint="eastAsia" w:hAnsi="仿宋_GB2312" w:eastAsia="仿宋_GB2312" w:cs="仿宋_GB2312"/>
          <w:sz w:val="32"/>
          <w:szCs w:val="32"/>
        </w:rPr>
        <w:t>有资质的会计师事务所提供的项目投入专项审计报告，其中须列明活动费用支出明细（原件彩色扫描</w:t>
      </w:r>
      <w:r>
        <w:rPr>
          <w:rFonts w:hint="eastAsia" w:hAnsi="仿宋_GB2312" w:cs="仿宋_GB2312"/>
          <w:szCs w:val="32"/>
        </w:rPr>
        <w:t>成PDF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</w:t>
      </w:r>
      <w:r>
        <w:rPr>
          <w:rFonts w:hint="eastAsia" w:hAnsi="仿宋_GB2312" w:eastAsia="仿宋_GB2312" w:cs="仿宋_GB2312"/>
          <w:sz w:val="32"/>
          <w:szCs w:val="32"/>
        </w:rPr>
        <w:t>上传）；</w:t>
      </w:r>
    </w:p>
    <w:p w14:paraId="7D3B5692">
      <w:pPr>
        <w:pStyle w:val="12"/>
        <w:spacing w:line="560" w:lineRule="exact"/>
        <w:ind w:firstLine="628" w:firstLineChars="200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7.活动投入明细表，其中须包括合同时间、合同名称、合同金额、</w:t>
      </w:r>
      <w:r>
        <w:rPr>
          <w:rFonts w:hint="eastAsia" w:hAnsi="仿宋_GB2312" w:eastAsia="仿宋_GB2312" w:cs="仿宋_GB2312"/>
          <w:kern w:val="0"/>
          <w:sz w:val="32"/>
          <w:szCs w:val="32"/>
          <w:lang w:eastAsia="zh-CN"/>
        </w:rPr>
        <w:t>发票号、发票代码、发票类型、发票金额（不含税）、发票税额</w:t>
      </w:r>
      <w:r>
        <w:rPr>
          <w:rFonts w:hint="eastAsia" w:hAnsi="仿宋_GB2312" w:cs="仿宋_GB2312"/>
          <w:sz w:val="32"/>
          <w:szCs w:val="32"/>
          <w:lang w:val="en-US" w:eastAsia="zh-CN"/>
        </w:rPr>
        <w:t>等（打印件加盖单位公章彩色扫描</w:t>
      </w:r>
      <w:r>
        <w:rPr>
          <w:rFonts w:hint="eastAsia" w:hAnsi="仿宋_GB2312" w:eastAsia="仿宋_GB2312" w:cs="仿宋_GB2312"/>
          <w:sz w:val="32"/>
          <w:szCs w:val="32"/>
        </w:rPr>
        <w:t>成PDF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</w:t>
      </w:r>
      <w:r>
        <w:rPr>
          <w:rFonts w:hint="eastAsia" w:hAnsi="仿宋_GB2312" w:cs="仿宋_GB2312"/>
          <w:sz w:val="32"/>
          <w:szCs w:val="32"/>
          <w:lang w:val="en-US" w:eastAsia="zh-CN"/>
        </w:rPr>
        <w:t>上传）。</w:t>
      </w:r>
    </w:p>
    <w:p w14:paraId="7FA0EF96">
      <w:pPr>
        <w:widowControl/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支持推动夜间经济发展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需提供：</w:t>
      </w:r>
    </w:p>
    <w:p w14:paraId="43F478A4">
      <w:pPr>
        <w:widowControl/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市级夜间经济示范街区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所在商圈（步行街）被评为市级示范特色商圈（步行街）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获评通知文件、证书或牌匾等相关证明材料[原件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（或打印件加盖单位公章）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彩色扫描成PDF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上传]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F322F69">
      <w:pPr>
        <w:widowControl/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2.获取“支持建设国际一流商业消费街区项目”市财政奖励的银行流水回单等证明材料（打印件加盖单位公章彩色扫描成PDF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上传）。</w:t>
      </w:r>
    </w:p>
    <w:p w14:paraId="59E26609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审核部门认为需要提供的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打印件加盖单位公章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彩色扫描成PDF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A2445DB">
      <w:pPr>
        <w:pStyle w:val="10"/>
        <w:shd w:val="clear" w:color="auto" w:fill="FFFFFF"/>
        <w:spacing w:before="0" w:beforeAutospacing="0" w:after="0" w:afterAutospacing="0" w:line="560" w:lineRule="exact"/>
        <w:ind w:firstLine="645"/>
        <w:jc w:val="both"/>
        <w:outlineLvl w:val="0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 w14:paraId="167F4EDD">
      <w:pPr>
        <w:pStyle w:val="1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（一）区商务局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视申请情况安排集中受理企业申请，具体受理时间以发布的申报通知为准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1241F6D">
      <w:pPr>
        <w:pStyle w:val="1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 w14:paraId="461CDAB2">
      <w:pPr>
        <w:pStyle w:val="10"/>
        <w:shd w:val="clear" w:color="auto" w:fill="FFFFFF"/>
        <w:spacing w:before="0" w:beforeAutospacing="0" w:after="0" w:afterAutospacing="0" w:line="560" w:lineRule="exact"/>
        <w:ind w:firstLine="645"/>
        <w:jc w:val="both"/>
        <w:outlineLvl w:val="0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八、其他事项</w:t>
      </w:r>
    </w:p>
    <w:p w14:paraId="3CFC58C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8" w:firstLineChars="0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执行期间如遇国家、省、市有关政策调整的，按照上级有关规定执行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；</w:t>
      </w:r>
    </w:p>
    <w:p w14:paraId="2A65141F">
      <w:pPr>
        <w:pStyle w:val="1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 w14:paraId="73C4F686">
      <w:pPr>
        <w:pStyle w:val="1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outlineLvl w:val="0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九、附则</w:t>
      </w:r>
    </w:p>
    <w:p w14:paraId="669E1C2F">
      <w:pPr>
        <w:pStyle w:val="1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规程由南山区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eastAsia="zh-CN"/>
        </w:rPr>
        <w:t>商务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局负责解释，自发布之日起施行。</w:t>
      </w:r>
    </w:p>
    <w:sectPr>
      <w:footerReference r:id="rId3" w:type="default"/>
      <w:footerReference r:id="rId4" w:type="even"/>
      <w:pgSz w:w="11906" w:h="16838"/>
      <w:pgMar w:top="1497" w:right="1746" w:bottom="1497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994AF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12</w:t>
    </w:r>
    <w:r>
      <w:fldChar w:fldCharType="end"/>
    </w:r>
  </w:p>
  <w:p w14:paraId="3200033E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FC3BB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6331B690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E5E95"/>
    <w:rsid w:val="000A590B"/>
    <w:rsid w:val="000A7A92"/>
    <w:rsid w:val="000D43A3"/>
    <w:rsid w:val="000F4DB9"/>
    <w:rsid w:val="001008B8"/>
    <w:rsid w:val="00112380"/>
    <w:rsid w:val="00123A2F"/>
    <w:rsid w:val="0013297D"/>
    <w:rsid w:val="00135E10"/>
    <w:rsid w:val="001565C3"/>
    <w:rsid w:val="001A475F"/>
    <w:rsid w:val="001B079C"/>
    <w:rsid w:val="001C781A"/>
    <w:rsid w:val="001E5D98"/>
    <w:rsid w:val="00233E4D"/>
    <w:rsid w:val="00264D75"/>
    <w:rsid w:val="002926D4"/>
    <w:rsid w:val="00315BA6"/>
    <w:rsid w:val="003328CF"/>
    <w:rsid w:val="0035522D"/>
    <w:rsid w:val="00362BBE"/>
    <w:rsid w:val="00385E9E"/>
    <w:rsid w:val="00393CA7"/>
    <w:rsid w:val="003D5CD2"/>
    <w:rsid w:val="003E0FF6"/>
    <w:rsid w:val="00454DEF"/>
    <w:rsid w:val="00477B02"/>
    <w:rsid w:val="00577DBC"/>
    <w:rsid w:val="00584980"/>
    <w:rsid w:val="00584E14"/>
    <w:rsid w:val="00676B41"/>
    <w:rsid w:val="006A580C"/>
    <w:rsid w:val="006B3BF6"/>
    <w:rsid w:val="006B49C4"/>
    <w:rsid w:val="006E647C"/>
    <w:rsid w:val="006F3A27"/>
    <w:rsid w:val="00731D6E"/>
    <w:rsid w:val="007F5CA9"/>
    <w:rsid w:val="00857981"/>
    <w:rsid w:val="008A1133"/>
    <w:rsid w:val="008C246A"/>
    <w:rsid w:val="008F1A3B"/>
    <w:rsid w:val="009039DC"/>
    <w:rsid w:val="009052A4"/>
    <w:rsid w:val="00910CC1"/>
    <w:rsid w:val="00913454"/>
    <w:rsid w:val="00926BD9"/>
    <w:rsid w:val="00933DB7"/>
    <w:rsid w:val="009F14B2"/>
    <w:rsid w:val="00A07E8F"/>
    <w:rsid w:val="00B80063"/>
    <w:rsid w:val="00C116A5"/>
    <w:rsid w:val="00C12618"/>
    <w:rsid w:val="00C7372E"/>
    <w:rsid w:val="00CA1E90"/>
    <w:rsid w:val="00D21791"/>
    <w:rsid w:val="00D4628D"/>
    <w:rsid w:val="00D5067F"/>
    <w:rsid w:val="00E11ABE"/>
    <w:rsid w:val="00E25AAD"/>
    <w:rsid w:val="00E42705"/>
    <w:rsid w:val="00E535FC"/>
    <w:rsid w:val="00EB5DC1"/>
    <w:rsid w:val="00F42A60"/>
    <w:rsid w:val="00F5030A"/>
    <w:rsid w:val="00F766C5"/>
    <w:rsid w:val="00FB1762"/>
    <w:rsid w:val="00FF3390"/>
    <w:rsid w:val="04B870D4"/>
    <w:rsid w:val="05192118"/>
    <w:rsid w:val="05A836A4"/>
    <w:rsid w:val="0B7D1178"/>
    <w:rsid w:val="0D18116C"/>
    <w:rsid w:val="0D5535E9"/>
    <w:rsid w:val="0D5A11BB"/>
    <w:rsid w:val="0EBB0AFB"/>
    <w:rsid w:val="1036278B"/>
    <w:rsid w:val="11933F23"/>
    <w:rsid w:val="11993C2A"/>
    <w:rsid w:val="138E54B6"/>
    <w:rsid w:val="13EBFA1C"/>
    <w:rsid w:val="16A259BF"/>
    <w:rsid w:val="17763F72"/>
    <w:rsid w:val="19FE78A3"/>
    <w:rsid w:val="1A5F3FA6"/>
    <w:rsid w:val="1AAF0D20"/>
    <w:rsid w:val="1DA21EAE"/>
    <w:rsid w:val="203C2119"/>
    <w:rsid w:val="22674D73"/>
    <w:rsid w:val="22E21CC0"/>
    <w:rsid w:val="23953019"/>
    <w:rsid w:val="24BF6A58"/>
    <w:rsid w:val="24E17797"/>
    <w:rsid w:val="25D00131"/>
    <w:rsid w:val="264A5E69"/>
    <w:rsid w:val="268279BE"/>
    <w:rsid w:val="272B6B1C"/>
    <w:rsid w:val="2937037F"/>
    <w:rsid w:val="2A75746B"/>
    <w:rsid w:val="2B9356D1"/>
    <w:rsid w:val="2CFC248B"/>
    <w:rsid w:val="2DCB5901"/>
    <w:rsid w:val="335473B3"/>
    <w:rsid w:val="33B02259"/>
    <w:rsid w:val="371E19BF"/>
    <w:rsid w:val="38F20473"/>
    <w:rsid w:val="392C672B"/>
    <w:rsid w:val="39BC24D5"/>
    <w:rsid w:val="3AE61404"/>
    <w:rsid w:val="3AF7EB5F"/>
    <w:rsid w:val="3B33DF30"/>
    <w:rsid w:val="3B524C2B"/>
    <w:rsid w:val="3BA01390"/>
    <w:rsid w:val="3BC97ADF"/>
    <w:rsid w:val="3D120C57"/>
    <w:rsid w:val="3DDD1479"/>
    <w:rsid w:val="3F033C0C"/>
    <w:rsid w:val="43713BB4"/>
    <w:rsid w:val="43B9736F"/>
    <w:rsid w:val="455D7228"/>
    <w:rsid w:val="456A6B72"/>
    <w:rsid w:val="46FD1A1C"/>
    <w:rsid w:val="474F7CEF"/>
    <w:rsid w:val="49BA524B"/>
    <w:rsid w:val="4B5538CD"/>
    <w:rsid w:val="4EFB68A3"/>
    <w:rsid w:val="57995095"/>
    <w:rsid w:val="58FE5108"/>
    <w:rsid w:val="59837902"/>
    <w:rsid w:val="59D7286A"/>
    <w:rsid w:val="5A175670"/>
    <w:rsid w:val="5AAA7FDA"/>
    <w:rsid w:val="5AF67E93"/>
    <w:rsid w:val="5BAE1355"/>
    <w:rsid w:val="5D2D5EE1"/>
    <w:rsid w:val="5D9516C4"/>
    <w:rsid w:val="5DA94ECA"/>
    <w:rsid w:val="5DE40F0F"/>
    <w:rsid w:val="5EE66EF0"/>
    <w:rsid w:val="617127CE"/>
    <w:rsid w:val="63DE7589"/>
    <w:rsid w:val="65775884"/>
    <w:rsid w:val="65AB3F23"/>
    <w:rsid w:val="66142A34"/>
    <w:rsid w:val="66996E60"/>
    <w:rsid w:val="67A46B42"/>
    <w:rsid w:val="69237047"/>
    <w:rsid w:val="693C41B9"/>
    <w:rsid w:val="6AE05A58"/>
    <w:rsid w:val="6BF7CFE5"/>
    <w:rsid w:val="6C47100D"/>
    <w:rsid w:val="6CF00FC4"/>
    <w:rsid w:val="6E404457"/>
    <w:rsid w:val="6E5F4381"/>
    <w:rsid w:val="71BA67A8"/>
    <w:rsid w:val="71D94842"/>
    <w:rsid w:val="727C16A5"/>
    <w:rsid w:val="73FE5E95"/>
    <w:rsid w:val="742561E0"/>
    <w:rsid w:val="74BFD80E"/>
    <w:rsid w:val="753B4E8A"/>
    <w:rsid w:val="75CD5FC1"/>
    <w:rsid w:val="768A7DD5"/>
    <w:rsid w:val="77BB45FB"/>
    <w:rsid w:val="785D4CF2"/>
    <w:rsid w:val="7B7F4429"/>
    <w:rsid w:val="7BCF5482"/>
    <w:rsid w:val="7DBB038C"/>
    <w:rsid w:val="7E7707EC"/>
    <w:rsid w:val="7E946485"/>
    <w:rsid w:val="7EFFB07B"/>
    <w:rsid w:val="7F3B6A24"/>
    <w:rsid w:val="7F3F298B"/>
    <w:rsid w:val="9FFFCB8C"/>
    <w:rsid w:val="B37F70CE"/>
    <w:rsid w:val="B7FF80BC"/>
    <w:rsid w:val="BDED73B6"/>
    <w:rsid w:val="BFD72C0E"/>
    <w:rsid w:val="CFEF64A8"/>
    <w:rsid w:val="DB66D65F"/>
    <w:rsid w:val="EECF6A3C"/>
    <w:rsid w:val="F3D73456"/>
    <w:rsid w:val="FAF7C1E3"/>
    <w:rsid w:val="FBF652C9"/>
    <w:rsid w:val="FFD36A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styleId="4">
    <w:name w:val="annotation text"/>
    <w:basedOn w:val="1"/>
    <w:link w:val="22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rFonts w:eastAsia="文星仿宋"/>
      <w:sz w:val="32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黑体" w:cs="Times New Roman"/>
      <w:b/>
      <w:bCs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4"/>
    <w:next w:val="4"/>
    <w:link w:val="23"/>
    <w:qFormat/>
    <w:uiPriority w:val="0"/>
    <w:rPr>
      <w:b/>
      <w:bCs/>
    </w:rPr>
  </w:style>
  <w:style w:type="paragraph" w:styleId="12">
    <w:name w:val="Body Text First Indent"/>
    <w:basedOn w:val="5"/>
    <w:qFormat/>
    <w:uiPriority w:val="0"/>
    <w:pPr>
      <w:spacing w:line="590" w:lineRule="exact"/>
      <w:ind w:firstLine="420" w:firstLineChars="100"/>
    </w:pPr>
    <w:rPr>
      <w:rFonts w:ascii="仿宋_GB2312" w:eastAsia="仿宋_GB2312"/>
      <w:spacing w:val="-3"/>
      <w:kern w:val="21"/>
      <w:sz w:val="32"/>
      <w:szCs w:val="20"/>
    </w:r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</w:style>
  <w:style w:type="paragraph" w:customStyle="1" w:styleId="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批注框文本 Char"/>
    <w:basedOn w:val="14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页眉 Char"/>
    <w:basedOn w:val="14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批注文字 Char"/>
    <w:basedOn w:val="14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批注主题 Char"/>
    <w:basedOn w:val="22"/>
    <w:link w:val="1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2330</Words>
  <Characters>2448</Characters>
  <Lines>48</Lines>
  <Paragraphs>13</Paragraphs>
  <TotalTime>0</TotalTime>
  <ScaleCrop>false</ScaleCrop>
  <LinksUpToDate>false</LinksUpToDate>
  <CharactersWithSpaces>2454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2022-08-12T10:54:00Z</dcterms:created>
  <dc:creator>Administrator</dc:creator>
  <cp:lastModifiedBy>微信用户</cp:lastModifiedBy>
  <cp:lastPrinted>2025-10-22T16:47:00Z</cp:lastPrinted>
  <dcterms:modified xsi:type="dcterms:W3CDTF">2025-11-04T06:52:03Z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7B4E29B599A74651885873CBF655AF82</vt:lpwstr>
  </property>
  <property fmtid="{D5CDD505-2E9C-101B-9397-08002B2CF9AE}" pid="4" name="KSOTemplateDocerSaveRecord">
    <vt:lpwstr>eyJoZGlkIjoiY2VmNzRhMDEyNGJlNzM1MDdkYjM4YTMwNmRkMjI5MmMiLCJ1c2VySWQiOiIxMjQxNDYxNTA3In0=</vt:lpwstr>
  </property>
</Properties>
</file>