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spacing w:line="560" w:lineRule="exact"/>
        <w:ind w:firstLine="0" w:firstLineChars="0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南山区商务局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——</w:t>
      </w:r>
    </w:p>
    <w:p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加快高端品牌首店引进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项目操作规程</w:t>
      </w:r>
    </w:p>
    <w:p>
      <w:pPr>
        <w:tabs>
          <w:tab w:val="left" w:pos="5505"/>
        </w:tabs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加快高端品牌首店引进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同时规范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南山区促进产业高质量发展专项资金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的使用和管理，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据《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南山区促进产业高质量发展专项资金管理办法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等文件规定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制定本操作规程。</w:t>
      </w:r>
    </w:p>
    <w:p>
      <w:pPr>
        <w:widowControl/>
        <w:spacing w:line="560" w:lineRule="exact"/>
        <w:ind w:firstLine="537" w:firstLineChars="168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高端品牌首店引进。支持国际知名品牌企业、本土自主知名品牌企业及授权代理商在南山区开设中国（内地）首店、华南首店、深圳首店。对上两年开设上述首店并纳入南山区零售业“四上”统计库的零售企业，根据首店类型分档给予企业最高100万元的一次性奖励。对南山区商圈的商业物业运营商上一年度引入国际知名品牌中国（内地）首店、华南首店、深圳首店给予奖励，每个零售品牌门店奖励50万元，每家运营商每年最高奖励300万元。</w:t>
      </w:r>
    </w:p>
    <w:p>
      <w:pPr>
        <w:widowControl/>
        <w:spacing w:line="560" w:lineRule="exact"/>
        <w:ind w:firstLine="537" w:firstLineChars="168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widowControl/>
        <w:spacing w:line="560" w:lineRule="exact"/>
        <w:ind w:firstLine="537" w:firstLine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本项资助属于核准类项目，资助资金的安排使用坚持公平、公开、公正的原则，实行自愿申报、科学决策和绩效评估的管理制度，采取无偿资助方式和事后补贴制，受资助项目无需验收。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本项资助受年度资金预算控制，区商务局视申报情况和预算安排，可以对资助金额、支持比例和拨付进度等进行统一调整，申报主体应无条件同意调整结果。</w:t>
      </w:r>
    </w:p>
    <w:p>
      <w:pPr>
        <w:widowControl/>
        <w:spacing w:line="56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支持国际知名品牌企业、本土自主知名品牌企业及授权代理商在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南山区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开设中国（内地）首店、华南首店、深圳首店。对上两年开设上述首店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（含旗舰店、新业态和概念店，专柜不计入首店范围）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并纳入南山区零售业“四上”统计库的零售企业，根据首店类型分档给予企业最高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TW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0万元的一次性奖励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。具体分档如下：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对国际知名品牌在南山区开设的中国（内地）首店、华南首店或本土自主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品牌企业在南山区开设的中国（内地）首店，奖励100万元；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对国际知名品牌在南山区开设的深圳首店或本土自主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品牌企业在南山区开设的华南首店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奖励60万元；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本土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自主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品牌企业在南山区开设的深圳首店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奖励30万元。</w:t>
      </w:r>
    </w:p>
    <w:p>
      <w:pPr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南山区商圈的商业物业运营商上一年度引入国际知名品牌中国（内地）首店、华南首店、深圳首店（首店含旗舰店、新业态和概念店，专柜不计入首店范围）给予奖励，每家运营商每引进一个零售品牌奖励50万元，每年最高奖励300万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国际知名品牌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须入选以下榜单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之一：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世界品牌实验室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最新发布的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《世界品牌500强》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.世界奢侈品协会与中国贸促会最新发布的《全球奢侈品牌100强》；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德勤最新发布的《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全球奢侈品力量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》；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德勤最新发布的《全球零售力量》。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本土自主知名品牌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须入选以下榜单之一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：</w:t>
      </w:r>
    </w:p>
    <w:p>
      <w:pPr>
        <w:pStyle w:val="3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世界品牌实验室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最新发布的《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中国500最具价值品牌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》；</w:t>
      </w:r>
    </w:p>
    <w:p>
      <w:pPr>
        <w:pStyle w:val="3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品牌联盟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最新发布的《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中国品牌500强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》；</w:t>
      </w:r>
    </w:p>
    <w:p>
      <w:pPr>
        <w:pStyle w:val="3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毕马威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最新发布的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《中国消费50企业》；</w:t>
      </w:r>
    </w:p>
    <w:p>
      <w:pPr>
        <w:pStyle w:val="3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中国连锁经营协会最新发布的《中国连锁Top100》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；</w:t>
      </w:r>
    </w:p>
    <w:p>
      <w:pPr>
        <w:pStyle w:val="3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中国连锁经营协会最新发布的《CCFA中国时尚零售与时尚消费TOP100》；</w:t>
      </w:r>
    </w:p>
    <w:p>
      <w:pPr>
        <w:pStyle w:val="3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6.商务部等5部门发布的《中华老字号名单》内且未被移除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537" w:firstLineChars="168"/>
        <w:rPr>
          <w:rFonts w:hint="eastAsia"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四、资助条件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（一）申请本项资金资助的机构应符合以下基本条件：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在南山区依法从事实际经营，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具有独立法人资格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履行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数据申报义务、守法经营、诚实守信、有规范的财务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应积极配合区委、区政府相关工作；</w:t>
      </w:r>
    </w:p>
    <w:p>
      <w:pPr>
        <w:pStyle w:val="11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本项目不得与前海合作区制定的同类性质扶持政策重复申报。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（二）有下列情况之一的，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资金不予资助：</w:t>
      </w:r>
    </w:p>
    <w:p>
      <w:pPr>
        <w:pStyle w:val="11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1.被依法依规纳入严重失信主体名单或失信惩戒措施清单的；</w:t>
      </w:r>
    </w:p>
    <w:p>
      <w:pPr>
        <w:pStyle w:val="11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.提出资助申请后，申申报主体项目实施地或数据申报地发生变化，不再符合申报条件的。</w:t>
      </w:r>
    </w:p>
    <w:p>
      <w:pPr>
        <w:widowControl/>
        <w:spacing w:line="56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 xml:space="preserve">    五、办理流程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登陆“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i南山企业服务综合平台”（https://www.inanshan.org.cn/），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在线填写《南山区促进产业高质量发展专项资金——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区商务局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-加快高端品牌首店引进项目申请书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申报材料；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区企业发展服务中心受理申请，对申报材料进行形式性审核，区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 xml:space="preserve">局复审申报材料； 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局拟定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项目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资助计划；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区相关部门对申报主体的有关经营资质情况进行核查；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区企业发展服务中心将拟资助项目向社会公示5个工作日，对公示期满，无有效投诉的项目资助计划，区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局按照相应审核程序提交审议；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经审议后，由区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局行文下达资金计划；</w:t>
      </w:r>
    </w:p>
    <w:p>
      <w:pPr>
        <w:spacing w:line="560" w:lineRule="exact"/>
        <w:ind w:firstLine="640" w:firstLineChars="200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（七）申报主体线上提交加盖单位财务专用章的收据；</w:t>
      </w:r>
    </w:p>
    <w:p>
      <w:pPr>
        <w:spacing w:line="560" w:lineRule="exact"/>
        <w:ind w:firstLine="640" w:firstLineChars="200"/>
        <w:rPr>
          <w:rFonts w:hint="eastAsia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区财政部门及时安排资金，区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对受理项目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办理资金拨付手续。</w:t>
      </w:r>
    </w:p>
    <w:p>
      <w:pPr>
        <w:widowControl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六、所需材料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（一）《项目申请书》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i南山企业服务综合平台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https://www.inanshan.org.cn/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在线填写，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签字并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单位公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章后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原件彩色扫描成PDF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统一社会信用代码证书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（原件彩色扫描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成PDF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（三）法定代表人身份证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[原件（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复印件加盖单位公章）彩色扫描成PDF文件上传]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）申报单位由税务部门开具的单位上年度纳税证明（上传税务系统下载带有税务机关红色印章的电子版，事业单位除外)；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加快高端品牌首店引进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门店门头照片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（显示实际经营地所在大厦、楼层、经营场地实景等）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门店的物业租赁合同或不动产证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Hans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上一年度的调查单位基本情况表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统计联网直报平台下载电子版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国家知识产权局商标局开具的《商标注册证》（拥有商标使用权的企业提供商标使用许可证明）（原件彩色扫描成PDF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上传）；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区域首店证明材料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（包括开业照片、门店开业时媒体对首店级别报道照片或网页截图、品牌方出具的区域首店证明材料等）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在相关榜单内的情况说明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）申请“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加快高端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品牌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首店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各品牌</w:t>
      </w:r>
      <w:r>
        <w:rPr>
          <w:rFonts w:hint="eastAsia" w:ascii="仿宋_GB2312" w:hAnsi="仿宋_GB2312" w:eastAsia="仿宋_GB2312" w:cs="仿宋_GB2312"/>
          <w:sz w:val="32"/>
          <w:szCs w:val="32"/>
        </w:rPr>
        <w:t>门店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在商业综合体内的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门头照片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（显示实际经营地所在大厦、楼层、经营场地实景等）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Hans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运营商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品牌方签署的入驻协议（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.运营商</w:t>
      </w:r>
      <w:r>
        <w:rPr>
          <w:rFonts w:hint="eastAsia" w:ascii="仿宋_GB2312" w:hAnsi="仿宋_GB2312" w:eastAsia="仿宋_GB2312" w:cs="仿宋_GB2312"/>
          <w:sz w:val="32"/>
          <w:szCs w:val="32"/>
        </w:rPr>
        <w:t>上一年度的调查单位基本情况表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统计联网直报平台下载电子版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.各品牌的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区域首店证明材料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（包括开业照片、门店开业时媒体对首店级别报道照片或网页截图、品牌方出具的区域首店证明材料等）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在相关榜单内的情况说明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申请奖励的各品牌门店明细表，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其中须包括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店铺名称、行业类型、营业执照号、开业时间、营业地址等（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打印件加盖单位公章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11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11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11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九、附则</w:t>
      </w:r>
    </w:p>
    <w:p>
      <w:pPr>
        <w:pStyle w:val="11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规程由南山区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局负责解释，自发布之日起施行。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12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5E95"/>
    <w:rsid w:val="000A590B"/>
    <w:rsid w:val="000A7A92"/>
    <w:rsid w:val="000D43A3"/>
    <w:rsid w:val="000F4DB9"/>
    <w:rsid w:val="001008B8"/>
    <w:rsid w:val="00112380"/>
    <w:rsid w:val="00123A2F"/>
    <w:rsid w:val="0013297D"/>
    <w:rsid w:val="00135E10"/>
    <w:rsid w:val="001565C3"/>
    <w:rsid w:val="001A475F"/>
    <w:rsid w:val="001B079C"/>
    <w:rsid w:val="001C781A"/>
    <w:rsid w:val="001E5D98"/>
    <w:rsid w:val="00233E4D"/>
    <w:rsid w:val="00264D75"/>
    <w:rsid w:val="002926D4"/>
    <w:rsid w:val="00315BA6"/>
    <w:rsid w:val="003328CF"/>
    <w:rsid w:val="0035522D"/>
    <w:rsid w:val="00362BBE"/>
    <w:rsid w:val="00385E9E"/>
    <w:rsid w:val="00393CA7"/>
    <w:rsid w:val="003D5CD2"/>
    <w:rsid w:val="003E0FF6"/>
    <w:rsid w:val="00454DEF"/>
    <w:rsid w:val="00477B02"/>
    <w:rsid w:val="00577DBC"/>
    <w:rsid w:val="00584980"/>
    <w:rsid w:val="00584E14"/>
    <w:rsid w:val="00676B41"/>
    <w:rsid w:val="006A580C"/>
    <w:rsid w:val="006B3BF6"/>
    <w:rsid w:val="006B49C4"/>
    <w:rsid w:val="006E647C"/>
    <w:rsid w:val="006F3A27"/>
    <w:rsid w:val="00731D6E"/>
    <w:rsid w:val="007F5CA9"/>
    <w:rsid w:val="00857981"/>
    <w:rsid w:val="008A1133"/>
    <w:rsid w:val="008C246A"/>
    <w:rsid w:val="008F1A3B"/>
    <w:rsid w:val="009039DC"/>
    <w:rsid w:val="009052A4"/>
    <w:rsid w:val="00910CC1"/>
    <w:rsid w:val="00913454"/>
    <w:rsid w:val="00926BD9"/>
    <w:rsid w:val="00933DB7"/>
    <w:rsid w:val="009F14B2"/>
    <w:rsid w:val="00A07E8F"/>
    <w:rsid w:val="00B80063"/>
    <w:rsid w:val="00C116A5"/>
    <w:rsid w:val="00C12618"/>
    <w:rsid w:val="00C7372E"/>
    <w:rsid w:val="00CA1E90"/>
    <w:rsid w:val="00D21791"/>
    <w:rsid w:val="00D4628D"/>
    <w:rsid w:val="00D5067F"/>
    <w:rsid w:val="00E11ABE"/>
    <w:rsid w:val="00E25AAD"/>
    <w:rsid w:val="00E42705"/>
    <w:rsid w:val="00E535FC"/>
    <w:rsid w:val="00EB5DC1"/>
    <w:rsid w:val="00F42A60"/>
    <w:rsid w:val="00F5030A"/>
    <w:rsid w:val="00F766C5"/>
    <w:rsid w:val="00FB1762"/>
    <w:rsid w:val="00FF3390"/>
    <w:rsid w:val="02DF39F5"/>
    <w:rsid w:val="03AB2112"/>
    <w:rsid w:val="04570228"/>
    <w:rsid w:val="05A836A4"/>
    <w:rsid w:val="074B2FEE"/>
    <w:rsid w:val="077F1302"/>
    <w:rsid w:val="0932527B"/>
    <w:rsid w:val="09424A96"/>
    <w:rsid w:val="0A08607C"/>
    <w:rsid w:val="0B7D1178"/>
    <w:rsid w:val="0D18116C"/>
    <w:rsid w:val="0D5535E9"/>
    <w:rsid w:val="0D5A11BB"/>
    <w:rsid w:val="0D687DFE"/>
    <w:rsid w:val="0D786BCC"/>
    <w:rsid w:val="0EBB0AFB"/>
    <w:rsid w:val="10300912"/>
    <w:rsid w:val="1036278B"/>
    <w:rsid w:val="11933F23"/>
    <w:rsid w:val="14725EED"/>
    <w:rsid w:val="15AF717F"/>
    <w:rsid w:val="165B7E92"/>
    <w:rsid w:val="17FF7F75"/>
    <w:rsid w:val="1A5F3FA6"/>
    <w:rsid w:val="1AAF0D20"/>
    <w:rsid w:val="21265D76"/>
    <w:rsid w:val="22E21CC0"/>
    <w:rsid w:val="2403647D"/>
    <w:rsid w:val="25D00131"/>
    <w:rsid w:val="272B6B1C"/>
    <w:rsid w:val="2F4B2025"/>
    <w:rsid w:val="30EC054C"/>
    <w:rsid w:val="323C1C6D"/>
    <w:rsid w:val="335473B3"/>
    <w:rsid w:val="371E19BF"/>
    <w:rsid w:val="392C672B"/>
    <w:rsid w:val="39AD0F9C"/>
    <w:rsid w:val="3B524C2B"/>
    <w:rsid w:val="3BC97ADF"/>
    <w:rsid w:val="3D120C57"/>
    <w:rsid w:val="3ECD6888"/>
    <w:rsid w:val="3F033C0C"/>
    <w:rsid w:val="3FDC4E48"/>
    <w:rsid w:val="46DF533E"/>
    <w:rsid w:val="46FD1A1C"/>
    <w:rsid w:val="474F7CEF"/>
    <w:rsid w:val="48302B1F"/>
    <w:rsid w:val="48391553"/>
    <w:rsid w:val="49BA524B"/>
    <w:rsid w:val="4B5538CD"/>
    <w:rsid w:val="4D334BCF"/>
    <w:rsid w:val="52DC3021"/>
    <w:rsid w:val="53344621"/>
    <w:rsid w:val="568850AA"/>
    <w:rsid w:val="581B7BDB"/>
    <w:rsid w:val="5A175670"/>
    <w:rsid w:val="5A41193A"/>
    <w:rsid w:val="5A555AB8"/>
    <w:rsid w:val="5A7B7938"/>
    <w:rsid w:val="5AAA7FDA"/>
    <w:rsid w:val="5AF67E93"/>
    <w:rsid w:val="5D2D5EE1"/>
    <w:rsid w:val="5DE40F0F"/>
    <w:rsid w:val="5EE66EF0"/>
    <w:rsid w:val="5EFE9993"/>
    <w:rsid w:val="5F8F42FA"/>
    <w:rsid w:val="5FD50835"/>
    <w:rsid w:val="5FEE102C"/>
    <w:rsid w:val="65495027"/>
    <w:rsid w:val="65AB3F23"/>
    <w:rsid w:val="660A08F7"/>
    <w:rsid w:val="67A46B42"/>
    <w:rsid w:val="693C41B9"/>
    <w:rsid w:val="698626AB"/>
    <w:rsid w:val="6B914947"/>
    <w:rsid w:val="6C47100D"/>
    <w:rsid w:val="6CF00FC4"/>
    <w:rsid w:val="6E032F1F"/>
    <w:rsid w:val="6E5F4381"/>
    <w:rsid w:val="71BF2594"/>
    <w:rsid w:val="71D94842"/>
    <w:rsid w:val="73FE5E95"/>
    <w:rsid w:val="742561E0"/>
    <w:rsid w:val="753B4E8A"/>
    <w:rsid w:val="75CD5FC1"/>
    <w:rsid w:val="768A7DD5"/>
    <w:rsid w:val="77BB45FB"/>
    <w:rsid w:val="7B3D6AC1"/>
    <w:rsid w:val="7BCF5482"/>
    <w:rsid w:val="7D8AE117"/>
    <w:rsid w:val="7DB7EF96"/>
    <w:rsid w:val="7DBB038C"/>
    <w:rsid w:val="7E946485"/>
    <w:rsid w:val="7F3B6A24"/>
    <w:rsid w:val="7FDF6909"/>
    <w:rsid w:val="8BFF40C5"/>
    <w:rsid w:val="9EDF4694"/>
    <w:rsid w:val="AE7FD0DB"/>
    <w:rsid w:val="AF1EB369"/>
    <w:rsid w:val="DE9DDEAA"/>
    <w:rsid w:val="DEFE56A4"/>
    <w:rsid w:val="DFF74588"/>
    <w:rsid w:val="E6D2A232"/>
    <w:rsid w:val="EBEFCE52"/>
    <w:rsid w:val="EE5F6D19"/>
    <w:rsid w:val="F6D6C014"/>
    <w:rsid w:val="FBFFDCAF"/>
    <w:rsid w:val="FDFCF840"/>
    <w:rsid w:val="FF7D5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eastAsia="文星仿宋"/>
      <w:sz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4"/>
    <w:next w:val="4"/>
    <w:link w:val="24"/>
    <w:qFormat/>
    <w:uiPriority w:val="0"/>
    <w:rPr>
      <w:b/>
      <w:bCs/>
    </w:rPr>
  </w:style>
  <w:style w:type="paragraph" w:styleId="13">
    <w:name w:val="Body Text First Indent"/>
    <w:basedOn w:val="5"/>
    <w:qFormat/>
    <w:uiPriority w:val="0"/>
    <w:pPr>
      <w:spacing w:line="590" w:lineRule="exact"/>
      <w:ind w:firstLine="420" w:firstLineChars="100"/>
    </w:pPr>
    <w:rPr>
      <w:rFonts w:ascii="仿宋_GB2312" w:eastAsia="仿宋_GB2312"/>
      <w:spacing w:val="-3"/>
      <w:kern w:val="21"/>
      <w:sz w:val="32"/>
      <w:szCs w:val="20"/>
    </w:r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批注框文本 Char"/>
    <w:basedOn w:val="15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眉 Char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批注文字 Char"/>
    <w:basedOn w:val="15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Char"/>
    <w:basedOn w:val="23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1026</Words>
  <Characters>5853</Characters>
  <Lines>48</Lines>
  <Paragraphs>13</Paragraphs>
  <TotalTime>20</TotalTime>
  <ScaleCrop>false</ScaleCrop>
  <LinksUpToDate>false</LinksUpToDate>
  <CharactersWithSpaces>6866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2022-08-12T18:54:00Z</dcterms:created>
  <dc:creator>Administrator</dc:creator>
  <cp:lastModifiedBy>kylin</cp:lastModifiedBy>
  <cp:lastPrinted>2019-11-08T23:58:00Z</cp:lastPrinted>
  <dcterms:modified xsi:type="dcterms:W3CDTF">2025-10-30T12:25:34Z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3E08550C4DC445A88749BAD967CE7644</vt:lpwstr>
  </property>
</Properties>
</file>