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eastAsia="zh-CN"/>
        </w:rPr>
        <w:t>南山区促进产业高质量发展专项资金——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  <w:t>区发展改革局（区金融发展服务中心）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ascii="方正小标宋_GBK" w:hAnsi="宋体" w:eastAsia="方正小标宋_GBK"/>
          <w:color w:val="auto"/>
          <w:sz w:val="44"/>
          <w:szCs w:val="44"/>
          <w:highlight w:val="none"/>
          <w:lang w:eastAsia="zh-CN"/>
        </w:rPr>
        <w:t>分项资金</w:t>
      </w:r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  <w:t>-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 w:bidi="ar-SA"/>
        </w:rPr>
        <w:t>支持绿色融资</w:t>
      </w:r>
      <w:r>
        <w:rPr>
          <w:rFonts w:hint="eastAsia" w:ascii="方正小标宋简体" w:hAnsi="方正小标宋简体" w:eastAsia="方正小标宋简体" w:cs="方正小标宋_GBK"/>
          <w:color w:val="auto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操作规程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eastAsia="黑体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根据《南山区促进产业高质量发展专项资金管理办法》及《南山区促进金融业发展专项扶持措施》制定本操作规程。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一、政策内容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对符合条件的企业通过抵押排污权、碳配额、国家核证自愿减排量（CCER）获得融资的，最高按实际支付融资费用的50%给予资助，每家企业每年最高资助100万元，资助期限不超过3年。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eastAsia="黑体"/>
          <w:color w:val="auto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二、资助方式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本项资助属于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核准</w:t>
      </w:r>
      <w:r>
        <w:rPr>
          <w:rFonts w:hint="eastAsia" w:eastAsia="仿宋_GB2312"/>
          <w:color w:val="auto"/>
          <w:sz w:val="32"/>
          <w:szCs w:val="32"/>
          <w:highlight w:val="none"/>
        </w:rPr>
        <w:t>类项目，资助资金的安排使用坚持公平、公开、公正的原则，实行自愿申报、科学决策和绩效评估的管理制度，采取无偿资助方式和事后补贴制，受资助项目无需验收。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ascii="仿宋_GB2312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三、资助标准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按照实际融资成本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0%的比例给予资助。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注：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本项目补贴的利息按照不含税金额核算，需核减增值税专用发票、增值税普通发票税额。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9"/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本项资助受年度资金预算控制，区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金融发展服务中心</w:t>
      </w:r>
      <w:r>
        <w:rPr>
          <w:rFonts w:hint="eastAsia" w:eastAsia="仿宋_GB2312"/>
          <w:color w:val="auto"/>
          <w:sz w:val="32"/>
          <w:szCs w:val="32"/>
          <w:highlight w:val="none"/>
        </w:rPr>
        <w:t>视申报情况和预算安排，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eastAsia" w:eastAsia="仿宋_GB2312"/>
          <w:color w:val="auto"/>
          <w:sz w:val="32"/>
          <w:szCs w:val="32"/>
          <w:highlight w:val="none"/>
        </w:rPr>
        <w:t>以对资助金额、支持比例和拨付进度等进行统一调整，申报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hint="eastAsia" w:eastAsia="仿宋_GB2312"/>
          <w:color w:val="auto"/>
          <w:sz w:val="32"/>
          <w:szCs w:val="32"/>
          <w:highlight w:val="none"/>
        </w:rPr>
        <w:t>应无条件同意调整结果。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Ansi="黑体" w:eastAsia="黑体"/>
          <w:color w:val="auto"/>
          <w:sz w:val="32"/>
          <w:szCs w:val="32"/>
          <w:highlight w:val="none"/>
        </w:rPr>
      </w:pPr>
      <w:r>
        <w:rPr>
          <w:rFonts w:hint="eastAsia" w:hAnsi="黑体" w:eastAsia="黑体"/>
          <w:color w:val="auto"/>
          <w:sz w:val="32"/>
          <w:szCs w:val="32"/>
          <w:highlight w:val="none"/>
        </w:rPr>
        <w:t>四、申请条件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eastAsia="楷体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eastAsia="楷体_GB2312"/>
          <w:color w:val="auto"/>
          <w:sz w:val="32"/>
          <w:szCs w:val="32"/>
          <w:highlight w:val="none"/>
        </w:rPr>
        <w:t>申请本项资金资助的机构应符合以下基本条件：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1.在南山区依法从事实际经营，并具有独立法人资格的企业。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2.在2024年度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抵押排污权、碳配额、国家核证自愿减排量（CCER）获得融资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，且提交材料时项目或贷款已结清（已申报项目不得重复申报）；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3.履行相关数据申报义务、守法经营、诚实守信、有规范的财务管理制度；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7" w:firstLineChars="196"/>
        <w:jc w:val="both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积极配合区委、区政府相关工作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楷体_GB2312"/>
          <w:color w:val="auto"/>
          <w:sz w:val="32"/>
          <w:szCs w:val="32"/>
          <w:highlight w:val="none"/>
        </w:rPr>
      </w:pPr>
      <w:r>
        <w:rPr>
          <w:rFonts w:eastAsia="楷体_GB2312"/>
          <w:color w:val="auto"/>
          <w:sz w:val="32"/>
          <w:szCs w:val="32"/>
          <w:highlight w:val="none"/>
        </w:rPr>
        <w:t>（二）有下列情况之一的，</w:t>
      </w:r>
      <w:r>
        <w:rPr>
          <w:rFonts w:hint="eastAsia" w:eastAsia="楷体_GB2312"/>
          <w:color w:val="auto"/>
          <w:sz w:val="32"/>
          <w:szCs w:val="32"/>
          <w:highlight w:val="none"/>
          <w:lang w:eastAsia="zh-CN"/>
        </w:rPr>
        <w:t>本</w:t>
      </w:r>
      <w:r>
        <w:rPr>
          <w:rFonts w:eastAsia="楷体_GB2312"/>
          <w:color w:val="auto"/>
          <w:sz w:val="32"/>
          <w:szCs w:val="32"/>
          <w:highlight w:val="none"/>
        </w:rPr>
        <w:t>项</w:t>
      </w:r>
      <w:r>
        <w:rPr>
          <w:rFonts w:hint="eastAsia" w:eastAsia="楷体_GB2312"/>
          <w:color w:val="auto"/>
          <w:sz w:val="32"/>
          <w:szCs w:val="32"/>
          <w:highlight w:val="none"/>
          <w:lang w:eastAsia="zh-CN"/>
        </w:rPr>
        <w:t>目</w:t>
      </w:r>
      <w:r>
        <w:rPr>
          <w:rFonts w:eastAsia="楷体_GB2312"/>
          <w:color w:val="auto"/>
          <w:sz w:val="32"/>
          <w:szCs w:val="32"/>
          <w:highlight w:val="none"/>
        </w:rPr>
        <w:t>资金不予资助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</w:rPr>
        <w:t>被依法依规纳入严重失信主体名单或失信惩戒措施清单的；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提出资助申请后，申报主体项目实施地或数据申报地发生变化，不再符合申报条件的。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i南山企业服务综合平台”（https://www.inanshan.org.c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n/），在线填写《南山区促进产业高质量发展专项资金——区发展改革局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区金融发展服务中心）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分项资金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-支持绿色融资项目申请书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》相关申报材料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区企业发展服务中心受理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区金融发展服务中心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复审申报材料；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区金融发展服务中心拟定项目资助计划；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区相关部门对申报主体的有关经营资质情况进行核查；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对公示期满，无有效投诉的项目资助计划，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区金融发展服务中心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按照相应审核程序提交审议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（六）经审议后，由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区金融发展服务中心行文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（七）申报主体线上提交加盖单位财务专用章的收据；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（八）区财政部门及时安排资金，区金融发展服务中心对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受理项目办理资金拨付手续。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Hans" w:bidi="ar-SA"/>
        </w:rPr>
        <w:t>（一）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《项目申请书》（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登录“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i南山企业服务综合平台”https://www.inanshan.org.c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n/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在线填写，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法定代表人签字并加盖单位公章后，原件彩色扫描成PDF文件上传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统一社会信用代码证书（原件彩色扫描成PDF文件上传）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（三）法定代表人身份证[原件（或复印件加盖单位公章）彩色扫描成PDF文件上传]；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（四）与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借款单位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签订的借款相关合同（包括借款合同、担保合同等）、借款借据、费用支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出凭证（利息、本金、担保费）及相关费用（利息、担保费）发票等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</w:rPr>
        <w:t>原件彩色扫描成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PDF</w:t>
      </w:r>
      <w:r>
        <w:rPr>
          <w:rFonts w:hint="eastAsia" w:eastAsia="仿宋_GB2312"/>
          <w:color w:val="auto"/>
          <w:sz w:val="32"/>
          <w:szCs w:val="32"/>
          <w:highlight w:val="none"/>
        </w:rPr>
        <w:t>文件上传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借款单位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出具的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相关贷款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结清证明（模板见附件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原件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加盖单位公章后</w:t>
      </w:r>
      <w:r>
        <w:rPr>
          <w:rFonts w:hint="eastAsia" w:eastAsia="仿宋_GB2312"/>
          <w:color w:val="auto"/>
          <w:sz w:val="32"/>
          <w:szCs w:val="32"/>
          <w:highlight w:val="none"/>
        </w:rPr>
        <w:t>彩色扫描成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PDF</w:t>
      </w:r>
      <w:r>
        <w:rPr>
          <w:rFonts w:hint="eastAsia" w:eastAsia="仿宋_GB2312"/>
          <w:color w:val="auto"/>
          <w:sz w:val="32"/>
          <w:szCs w:val="32"/>
          <w:highlight w:val="none"/>
        </w:rPr>
        <w:t>文件上传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cs="宋体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深圳市生态环境局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官网发布的碳排放配额质押的公告截图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（需包括公告网址、质押当事人、质押的配额名称及数量、质押的时间期限、发布日期、落款等要素）（原件加盖</w:t>
      </w:r>
      <w:r>
        <w:rPr>
          <w:rFonts w:hint="eastAsia" w:ascii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单位公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章后彩色扫描成PDF文件上传）；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（七）审核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部门认为需要提供的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其他材料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彩色扫描成PDF文件上传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七、时限要求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（一）区发展改革局（区金融发展服务中心）视申请情况安排集中受理企业申请，具体受理时间以发布的申报通知为准；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（二）申报主体须按照区发展改革局（区金融发展服务中心）相关通知要求及时提交资金拨付所需材料，逾期不办理者视为自动放弃。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八、其他事项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项目所依据的政策内容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申请本项目资助的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应保证其申报材料的完整性、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真实性、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准确性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及合法性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并承担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因其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提交的项目申报材料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产生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的相关法律责任，如有虚假或侵权等行为，该项目申请无效，如事后发现存在以上行为，本资金主管部门将保留依法追究其法律责任的权利。</w:t>
      </w:r>
    </w:p>
    <w:p>
      <w:pPr>
        <w:pStyle w:val="7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color w:val="auto"/>
          <w:kern w:val="2"/>
          <w:sz w:val="32"/>
          <w:szCs w:val="32"/>
          <w:highlight w:val="none"/>
        </w:rPr>
        <w:t>九、附则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本项目责任部门为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区发展改革局（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区金融发展服务中心）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，本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操作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规程由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区发展改革局（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区金融发展服务中心）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负责解释，自发布之日起施行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br w:type="page"/>
      </w:r>
    </w:p>
    <w:p>
      <w:pPr>
        <w:spacing w:line="52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color w:val="auto"/>
          <w:sz w:val="44"/>
          <w:szCs w:val="44"/>
          <w:highlight w:val="none"/>
        </w:rPr>
        <w:t>贷款结清证明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南山区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金融发展服务中心：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textAlignment w:val="auto"/>
        <w:rPr>
          <w:rFonts w:ascii="仿宋" w:hAnsi="仿宋" w:eastAsia="仿宋"/>
          <w:color w:val="auto"/>
          <w:szCs w:val="21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借款人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 （全称）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在与我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司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签署的编号为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的《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合同》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于借款期限内未出现逾期、欠（罚）息的情况，还本付息正常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/存在逾期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天，罚（欠）息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元的情况，该合同项下贷款已全部结清。具体还本付息清单如下：</w:t>
      </w:r>
    </w:p>
    <w:tbl>
      <w:tblPr>
        <w:tblStyle w:val="8"/>
        <w:tblW w:w="8953" w:type="dxa"/>
        <w:tblInd w:w="-3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39"/>
        <w:gridCol w:w="859"/>
        <w:gridCol w:w="1404"/>
        <w:gridCol w:w="290"/>
        <w:gridCol w:w="1108"/>
        <w:gridCol w:w="446"/>
        <w:gridCol w:w="958"/>
        <w:gridCol w:w="1398"/>
        <w:gridCol w:w="10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Style w:val="12"/>
                <w:rFonts w:hint="default" w:ascii="仿宋" w:hAnsi="仿宋" w:eastAsia="仿宋"/>
                <w:color w:val="auto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highlight w:val="none"/>
                <w:u w:val="single"/>
              </w:rPr>
              <w:t>（全称）</w:t>
            </w:r>
            <w:r>
              <w:rPr>
                <w:rStyle w:val="13"/>
                <w:rFonts w:hint="default" w:ascii="仿宋" w:hAnsi="仿宋" w:eastAsia="仿宋"/>
                <w:color w:val="auto"/>
                <w:highlight w:val="none"/>
              </w:rPr>
              <w:t>还本付息清单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借款合同编号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借款合同对应放款金额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放款日期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结清日期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利率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担保费率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0"/>
                <w:highlight w:val="none"/>
                <w:lang w:val="en-US" w:eastAsia="zh-CN"/>
              </w:rPr>
              <w:t>质押的配额名称及数量</w:t>
            </w:r>
          </w:p>
        </w:tc>
        <w:tc>
          <w:tcPr>
            <w:tcW w:w="74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交易日期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逾期天数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归还本金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归还利息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罚（欠）息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担保费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ascii="仿宋" w:hAnsi="仿宋" w:eastAsia="仿宋" w:cs="Arial"/>
          <w:color w:val="auto"/>
          <w:kern w:val="0"/>
          <w:sz w:val="32"/>
          <w:szCs w:val="32"/>
          <w:highlight w:val="none"/>
        </w:rPr>
        <w:t xml:space="preserve">     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  <w:lang w:eastAsia="zh-CN"/>
        </w:rPr>
        <w:t>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highlight w:val="none"/>
        </w:rPr>
        <w:t>（业务专用章或公章）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right"/>
        <w:textAlignment w:val="auto"/>
        <w:rPr>
          <w:rFonts w:ascii="仿宋_GB2312" w:hAnsi="仿宋" w:eastAsia="仿宋_GB2312" w:cs="宋体"/>
          <w:color w:val="auto"/>
          <w:spacing w:val="15"/>
          <w:kern w:val="0"/>
          <w:sz w:val="32"/>
          <w:szCs w:val="32"/>
          <w:highlight w:val="none"/>
        </w:rPr>
      </w:pPr>
      <w:r>
        <w:rPr>
          <w:rFonts w:ascii="仿宋" w:hAnsi="仿宋" w:eastAsia="仿宋" w:cs="Arial"/>
          <w:color w:val="auto"/>
          <w:kern w:val="0"/>
          <w:sz w:val="32"/>
          <w:szCs w:val="32"/>
          <w:highlight w:val="none"/>
        </w:rPr>
        <w:t xml:space="preserve"> 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right"/>
        <w:textAlignment w:val="auto"/>
        <w:rPr>
          <w:rFonts w:hint="eastAsia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333A2"/>
    <w:rsid w:val="1AEF21F2"/>
    <w:rsid w:val="31BE9808"/>
    <w:rsid w:val="392B54CE"/>
    <w:rsid w:val="3EBF77C1"/>
    <w:rsid w:val="5EED0326"/>
    <w:rsid w:val="64F14174"/>
    <w:rsid w:val="7D7333A2"/>
    <w:rsid w:val="7F6E7616"/>
    <w:rsid w:val="7FBE4FB6"/>
    <w:rsid w:val="7FDBDE0E"/>
    <w:rsid w:val="BDFF332E"/>
    <w:rsid w:val="F96F3287"/>
    <w:rsid w:val="FBFD9EFE"/>
    <w:rsid w:val="FEB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character" w:customStyle="1" w:styleId="12">
    <w:name w:val="font0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2232</Words>
  <Characters>2329</Characters>
  <Lines>0</Lines>
  <Paragraphs>0</Paragraphs>
  <TotalTime>10</TotalTime>
  <ScaleCrop>false</ScaleCrop>
  <LinksUpToDate>false</LinksUpToDate>
  <CharactersWithSpaces>2372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2025-08-08T23:44:00Z</dcterms:created>
  <dc:creator>苏奕璇</dc:creator>
  <cp:lastModifiedBy>苏奕璇</cp:lastModifiedBy>
  <dcterms:modified xsi:type="dcterms:W3CDTF">2025-09-11T09:00:27Z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D7C84CC83C0E41E19D6DEF1761899DD5_11</vt:lpwstr>
  </property>
  <property fmtid="{D5CDD505-2E9C-101B-9397-08002B2CF9AE}" pid="4" name="KSOTemplateDocerSaveRecord">
    <vt:lpwstr>eyJoZGlkIjoiZTk4Y2VlODA0MjQ4MmYwZTg0NTlhNjc1MWUwN2JiMzkiLCJ1c2VySWQiOiI1OTM3NTIwODkifQ==</vt:lpwstr>
  </property>
</Properties>
</file>