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88BE2"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南山区促进产业高质量发展专项资金——</w:t>
      </w:r>
    </w:p>
    <w:p w14:paraId="31214F80">
      <w:pPr>
        <w:adjustRightInd w:val="0"/>
        <w:snapToGrid w:val="0"/>
        <w:spacing w:line="560" w:lineRule="exact"/>
        <w:contextualSpacing w:val="0"/>
        <w:jc w:val="center"/>
        <w:rPr>
          <w:rFonts w:hint="eastAsia" w:ascii="黑体" w:hAnsi="黑体" w:eastAsia="黑体" w:cs="黑体"/>
          <w:color w:val="000000" w:themeColor="text1"/>
          <w:spacing w:val="-1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区文化广电旅游体育局分项资金</w:t>
      </w:r>
    </w:p>
    <w:p w14:paraId="76563589">
      <w:pPr>
        <w:adjustRightInd w:val="0"/>
        <w:snapToGrid w:val="0"/>
        <w:spacing w:line="560" w:lineRule="exact"/>
        <w:contextualSpacing w:val="0"/>
        <w:jc w:val="center"/>
        <w:rPr>
          <w:rFonts w:hint="eastAsia" w:ascii="黑体" w:hAnsi="黑体" w:eastAsia="黑体" w:cs="黑体"/>
          <w:color w:val="000000" w:themeColor="text1"/>
          <w:spacing w:val="-14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支持举办电竞赛事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-14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操作规程</w:t>
      </w:r>
    </w:p>
    <w:p w14:paraId="562A9555">
      <w:pPr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黑体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年）</w:t>
      </w:r>
    </w:p>
    <w:p w14:paraId="65B33255">
      <w:pPr>
        <w:adjustRightInd w:val="0"/>
        <w:snapToGrid w:val="0"/>
        <w:spacing w:line="560" w:lineRule="exact"/>
        <w:rPr>
          <w:rFonts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5827166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支持承办政府主办的重大电竞赛事，支持举办重点电竞职业联赛，鼓励举办高校电竞赛、粤港澳大湾区电竞赛等特色赛事，增强区域合作和协同发展，扩大南山区电竞产业影响力，根据《南山区促进现代产业高质量发展专项资金管理办法》和《南山区促进电竞产业发展专项扶持措施》，制定本操作规程。</w:t>
      </w:r>
    </w:p>
    <w:p w14:paraId="1CFEB1B0">
      <w:pPr>
        <w:widowControl/>
        <w:adjustRightInd w:val="0"/>
        <w:snapToGrid w:val="0"/>
        <w:spacing w:line="560" w:lineRule="exact"/>
        <w:ind w:firstLine="640" w:firstLineChars="200"/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一、政策内容</w:t>
      </w:r>
    </w:p>
    <w:p w14:paraId="2FD03C45"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（一）承办政府主办的重大电竞赛事。支持行业协会、专业机构、企业承办南山区政府组织举办的重大电竞赛事，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个赛事给予最高不超过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万元资助。</w:t>
      </w:r>
    </w:p>
    <w:p w14:paraId="40869D78"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（二）举办职业赛和特色电竞赛事。支持行业协会、专业机构、企业举办国际性/全国顶级职业杯赛/联赛电竞赛事，或高校类、区域类、联盟主场赛事等特色电竞赛事，每个赛事按照不超过实际发生费用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50%的比例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给予最高不超过500万元资助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每家单位每年资助金额最高不超过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1000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</w:t>
      </w:r>
    </w:p>
    <w:p w14:paraId="1C5C7A90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二、资助标准</w:t>
      </w:r>
    </w:p>
    <w:p w14:paraId="5BE75750">
      <w:pPr>
        <w:widowControl/>
        <w:adjustRightInd/>
        <w:snapToGrid/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承办政府主办的重大电竞赛事，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给予承办方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个赛事给予最高不超过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万元资助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举办职业赛和特色电竞赛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行业协会、专业机构、企业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给予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每个赛事不超过实际发生费用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50%的比例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最高不超过500万元资助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每家单位每年资助金额最高不超过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1000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</w:t>
      </w:r>
    </w:p>
    <w:p w14:paraId="5743AB87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设定依据</w:t>
      </w:r>
    </w:p>
    <w:p w14:paraId="75BCA9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南山区促进产业高质量发展专项资金管理办法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B73E6D2"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《南山区促进电竞产业发展专项扶持措施》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FF466D">
      <w:pPr>
        <w:widowControl/>
        <w:adjustRightInd w:val="0"/>
        <w:snapToGrid w:val="0"/>
        <w:spacing w:line="560" w:lineRule="exact"/>
        <w:ind w:firstLine="640" w:firstLineChars="200"/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、申请条件</w:t>
      </w:r>
    </w:p>
    <w:p w14:paraId="134BD5CA"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（一）基本条件：</w:t>
      </w:r>
    </w:p>
    <w:p w14:paraId="1C919F6C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在南山辖区依法实际从事经营、具有独立法人资格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承办政府主办的重大电竞赛事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项目的，不受此项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限制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52CAF7F6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履行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数据申报义务、守法经营、诚实守信、有规范健全的财务制度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承办政府主办的重大电竞赛事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项目的，不受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履行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数据申报义务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”限制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0EF11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其他除外情形的，由资金主管部门在产业扶持政策措施或其操作规程中另行作出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明确规定。</w:t>
      </w:r>
    </w:p>
    <w:p w14:paraId="6E5CB66D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（二）有下列情况之一的，本项资金不予资助：</w:t>
      </w:r>
    </w:p>
    <w:p w14:paraId="757CBF0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被依法依规纳入严重失信主体名单或失信惩戒措施清单的；</w:t>
      </w:r>
    </w:p>
    <w:p w14:paraId="62AA2B45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提出资助申请后，申报主体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实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施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地或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数据申报地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发生变化，不再符合申报条件的。</w:t>
      </w:r>
    </w:p>
    <w:p w14:paraId="2E94D173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申报类别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48FCDE4E">
      <w:pPr>
        <w:pStyle w:val="18"/>
        <w:tabs>
          <w:tab w:val="left" w:pos="0"/>
        </w:tabs>
        <w:spacing w:line="560" w:lineRule="exact"/>
        <w:ind w:firstLine="640"/>
        <w:rPr>
          <w:rFonts w:ascii="仿宋" w:hAnsi="仿宋" w:eastAsia="仿宋" w:cs="Times New Roman"/>
          <w:color w:val="00B0F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承办政府主办的重大电竞赛事。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支持行业协会、专业机构、企业承办南山区政府组织主办的重大电竞赛事，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个赛事给予最高不超过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万元资助。</w:t>
      </w:r>
    </w:p>
    <w:p w14:paraId="41726386">
      <w:pPr>
        <w:adjustRightInd w:val="0"/>
        <w:snapToGrid w:val="0"/>
        <w:spacing w:line="560" w:lineRule="exact"/>
        <w:ind w:firstLine="640" w:firstLineChars="200"/>
        <w:rPr>
          <w:rFonts w:ascii="楷体_GB2312" w:hAnsi="楷体_GB2312" w:eastAsia="楷体_GB2312" w:cs="楷体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申报条件及说明：</w:t>
      </w:r>
    </w:p>
    <w:p w14:paraId="1A1BE39E">
      <w:pPr>
        <w:pStyle w:val="18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1）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重大电竞赛事的标准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：由南山区政府主办的国际性/全国性/区域性/主题性的重大电竞赛事，最终解释权归南山区政府。</w:t>
      </w:r>
    </w:p>
    <w:p w14:paraId="078A3EF9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2）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个赛事给予最高不超过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万元的事前资助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。</w:t>
      </w:r>
    </w:p>
    <w:p w14:paraId="11DD7AEA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资助范围为本年度举办的重大电竞赛事。</w:t>
      </w:r>
    </w:p>
    <w:p w14:paraId="17AF7391">
      <w:pPr>
        <w:pStyle w:val="18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）重大电竞赛事，需由南山区政府批准，由南山区文化广电旅游体育局组织，由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行业协会、专业机构、企业承办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。</w:t>
      </w:r>
    </w:p>
    <w:p w14:paraId="6D7A8CAC">
      <w:pPr>
        <w:widowControl/>
        <w:spacing w:line="560" w:lineRule="exact"/>
        <w:ind w:firstLine="643" w:firstLineChars="200"/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举办职业电竞赛事和特色电竞赛事。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支持行业协会、专业机构、企业举办国际性/全国性顶级职业电竞赛事，或高校类、区域类、联盟主场赛事等特色电竞赛事，每个赛事按照不超过实际发生费用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50%的比例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给予最高不超过500万元资助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每家单位每年资助金额最高不超过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1000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</w:t>
      </w:r>
    </w:p>
    <w:p w14:paraId="44B461C6">
      <w:pPr>
        <w:pStyle w:val="18"/>
        <w:tabs>
          <w:tab w:val="left" w:pos="0"/>
        </w:tabs>
        <w:spacing w:line="560" w:lineRule="exact"/>
        <w:ind w:firstLine="640"/>
        <w:rPr>
          <w:rFonts w:ascii="楷体_GB2312" w:hAnsi="楷体_GB2312" w:eastAsia="楷体_GB2312" w:cs="楷体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申报条件及说明：</w:t>
      </w:r>
    </w:p>
    <w:p w14:paraId="738505E8">
      <w:pPr>
        <w:widowControl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1）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举办职业电竞赛事和特色电竞赛事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资助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标准：</w:t>
      </w:r>
      <w:bookmarkStart w:id="0" w:name="_Hlk109896820"/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举办国际性顶级职业赛事，给予每个赛事最高不超过500万元资助，每家单位每年资助总额不超过1000万元；举办全国性顶级职业赛事，给予每个赛事最高不超过300万元资助，每家单位每年资助总额不超过600万元；举办特色电竞赛事，给予每个赛事最高不超过100万元资助，每家单位每年资助总额不超过200万元</w:t>
      </w:r>
      <w:bookmarkEnd w:id="0"/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。上述赛事，每个赛事按照不超过实际发生费用50%比例的给予资助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每家单位每年资助金额最高不超过1000万元。</w:t>
      </w:r>
    </w:p>
    <w:p w14:paraId="56011375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2）职业电竞赛事的标准：获得游戏版权官方授权，国际性赛事的总奖金不低于100万美元或600万元人民币，全国性赛事的总奖金不低于300万元人民币。</w:t>
      </w:r>
    </w:p>
    <w:p w14:paraId="73706772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）特色电竞赛事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分以下类别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：</w:t>
      </w:r>
    </w:p>
    <w:p w14:paraId="44D1FA64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高校电竞赛，要求有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10所以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上高校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参与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2000名以上选手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参加比赛；</w:t>
      </w:r>
    </w:p>
    <w:p w14:paraId="78F8C5CE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区域类电竞赛，要求须含深圳在内的不少于10个地市级以上城市代表队、总选手人数不少于1000人参加比赛，或须含香港、澳门和深圳在内的地级市不少于5个以上城市代表队、总选手人数不少于500人参加的粤港澳大湾区电竞赛事；</w:t>
      </w:r>
    </w:p>
    <w:p w14:paraId="4E13EE36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经备案的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主场落户南山区的电竞俱乐部，在南山区举办的联盟主场赛事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；</w:t>
      </w:r>
    </w:p>
    <w:p w14:paraId="1B4762FB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机器人格斗、虚拟无人机等电子体育赛事，要求总选手人数不少于200人；</w:t>
      </w:r>
    </w:p>
    <w:p w14:paraId="181FF93C">
      <w:pPr>
        <w:pStyle w:val="18"/>
        <w:tabs>
          <w:tab w:val="left" w:pos="0"/>
        </w:tabs>
        <w:spacing w:line="560" w:lineRule="exact"/>
        <w:ind w:firstLine="640"/>
        <w:rPr>
          <w:rFonts w:hint="default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符合南山区电竞产业发展需求和发展方向其他特色电竞赛事。</w:t>
      </w:r>
    </w:p>
    <w:p w14:paraId="348D33CD">
      <w:pPr>
        <w:pStyle w:val="18"/>
        <w:tabs>
          <w:tab w:val="left" w:pos="0"/>
        </w:tabs>
        <w:spacing w:line="560" w:lineRule="exact"/>
        <w:ind w:firstLine="64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4）实际发生费用包括场地费、搭建费、直转播费、设备租赁费、网络费、宣传推广费、安保费、其他临时人员劳务费等费用，不包括电竞赛事奖金。场地费用限定在南山区。</w:t>
      </w:r>
    </w:p>
    <w:p w14:paraId="2AE6D039">
      <w:pPr>
        <w:pStyle w:val="18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资助范围为上年度举办的电竞赛事。</w:t>
      </w:r>
    </w:p>
    <w:p w14:paraId="2FD6CC2F">
      <w:pPr>
        <w:pStyle w:val="18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）职业电竞赛事和特色电竞赛事，需先报南山区文化广电旅游体育局备案。</w:t>
      </w:r>
    </w:p>
    <w:p w14:paraId="4C9166D3">
      <w:pPr>
        <w:widowControl/>
        <w:adjustRightInd w:val="0"/>
        <w:snapToGrid w:val="0"/>
        <w:spacing w:line="560" w:lineRule="exact"/>
        <w:ind w:firstLine="537" w:firstLineChars="168"/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、资助方式</w:t>
      </w:r>
    </w:p>
    <w:p w14:paraId="03A42C8A">
      <w:pPr>
        <w:widowControl/>
        <w:adjustRightInd w:val="0"/>
        <w:snapToGrid w:val="0"/>
        <w:spacing w:line="560" w:lineRule="exact"/>
        <w:ind w:firstLine="537" w:firstLineChars="168"/>
        <w:rPr>
          <w:rFonts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本资助计划属核准类，实行单位申报、材料审核、社会公示、政府决策的原则，采取无偿资助方式，受资助项目无需验收。</w:t>
      </w:r>
    </w:p>
    <w:p w14:paraId="1935275F"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  <w:highlight w:val="none"/>
        </w:rPr>
      </w:pPr>
      <w:r>
        <w:rPr>
          <w:rFonts w:hint="eastAsia" w:hAnsi="黑体" w:eastAsia="黑体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highlight w:val="none"/>
          <w:lang w:eastAsia="zh-CN" w:bidi="ar-SA"/>
        </w:rPr>
        <w:t>办理流程</w:t>
      </w:r>
    </w:p>
    <w:p w14:paraId="2C27D290"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highlight w:val="none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），网上提交项目申报材料；</w:t>
      </w:r>
    </w:p>
    <w:p w14:paraId="5A623835"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 xml:space="preserve">局复审项目申报材料； </w:t>
      </w:r>
    </w:p>
    <w:p w14:paraId="3E4A0C92"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局拟定资助计划；</w:t>
      </w:r>
    </w:p>
    <w:p w14:paraId="00C85727"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（四）区统计局对申报主体的数据申报情况进行核查，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主体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在地经营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</w:p>
    <w:p w14:paraId="16D833C1"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highlight w:val="none"/>
          <w:lang w:eastAsia="zh-Hans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highlight w:val="none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</w:p>
    <w:p w14:paraId="106D7DA7"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局直接行文下达资金计划；</w:t>
      </w:r>
    </w:p>
    <w:p w14:paraId="3C16CCCC"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36AA8D96">
      <w:pPr>
        <w:widowControl/>
        <w:adjustRightInd w:val="0"/>
        <w:snapToGrid w:val="0"/>
        <w:spacing w:line="560" w:lineRule="exact"/>
        <w:ind w:firstLine="640" w:firstLineChars="200"/>
        <w:rPr>
          <w:rFonts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、所需材料</w:t>
      </w:r>
    </w:p>
    <w:p w14:paraId="122DE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登录“i南山企业服务综合平台”（https://www.inanshan.org.cn/）在线填写《南山区促进产业高质量发展专项资金——区文化广电旅游体育局分项资金支持建设电竞场馆项目申请书》</w:t>
      </w: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法定代表人签字并加盖单位公章后，原件彩色扫描成PDF文件上传</w:t>
      </w: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）；</w:t>
      </w:r>
    </w:p>
    <w:p w14:paraId="304343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（二）统一社会信用代码证书（事业单位法人证书或社会组织登记证书）（原件彩色扫描成PDF文件上传）；</w:t>
      </w:r>
    </w:p>
    <w:p w14:paraId="2E9682C6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（三）法定代表人身份证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[原件（或复印件加盖</w:t>
      </w:r>
      <w:r>
        <w:rPr>
          <w:rFonts w:hint="eastAsia" w:ascii="仿宋_GB2312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公章）彩色扫描上传]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74EB7D60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（四）申报单位由税务部门开具的单位上年度纳税证明（</w:t>
      </w:r>
      <w:bookmarkStart w:id="1" w:name="_Hlk98161019"/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上传税务系统下载带有税务机关红色印章的电子版，</w:t>
      </w:r>
      <w:bookmarkEnd w:id="1"/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事业单位除外)；</w:t>
      </w:r>
    </w:p>
    <w:p w14:paraId="7A0A425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）除以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上资料，</w:t>
      </w:r>
      <w:r>
        <w:rPr>
          <w:rFonts w:hint="eastAsia" w:ascii="仿宋_GB2312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支持举办电竞赛事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目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按照其所属类别需提交以下资料：</w:t>
      </w:r>
    </w:p>
    <w:p w14:paraId="5E5B7A8B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1.属于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承办政府主办的重大电竞赛事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的，还须提供：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南山区委托行业协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会/专业机构/企业承办重大电竞赛事的证明材料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包括中标通知书等（原件彩色扫描成PDF文件上传）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78E7750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2.属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举办职业电竞赛事和特色电竞赛事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的，还须提供：</w:t>
      </w:r>
    </w:p>
    <w:p w14:paraId="12801A37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获得游戏版权官方授权的授权书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3683C05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实际发生费用相关合同及发票、付款凭证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0FF134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比赛举办场地照片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106BE16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在南山区文化广电旅游体育局备案的证明材料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0AE6023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根据赛事类型提供对应材料：举办国际职业赛事的，提供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比赛为国际性赛事且总奖金不少于100万美元或600万元人民币的证明材料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；举办国内职业赛事的，提供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比赛为全国性赛事且总奖金不少于300万元人民币的证明材料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比赛为高校赛的，提供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比赛有10个以上高校参与、2000名以上选手参加的证明材料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比赛为地区赛的，提供比赛有含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深圳在内的不少于10个地市级以上城市代表队、总选手人数不少于1000人参加比赛或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含香港、澳门和深圳在内的地级市不少于5个以上城市代表队、总选手人数不少于500人参加的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证明材料；比赛为主场赛的，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电竞俱乐部主场落户材料</w:t>
      </w:r>
      <w:bookmarkStart w:id="2" w:name="_GoBack"/>
      <w:bookmarkEnd w:id="2"/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；比赛为电子体育赛事的，提供比赛有200名以上选手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参加的证明材料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1631DCC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）审核部门认为需要提供的其</w:t>
      </w:r>
      <w:r>
        <w:rPr>
          <w:rFonts w:hint="eastAsia" w:ascii="仿宋_GB2312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_GB2312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原件彩色扫描成PDF文件上传</w:t>
      </w:r>
      <w:r>
        <w:rPr>
          <w:rFonts w:hint="eastAsia" w:ascii="仿宋_GB2312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165273F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Times New Roman" w:hAnsi="黑体" w:eastAsia="黑体" w:cs="Times New Roman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黑体" w:eastAsia="黑体" w:cs="Times New Roman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八、申报时间和办理要求</w:t>
      </w:r>
    </w:p>
    <w:p w14:paraId="020ABFEC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每年安排1-2次集中受理单位申请，具体受理时间以发布的申报通知为准。</w:t>
      </w:r>
    </w:p>
    <w:p w14:paraId="3D00524B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申报主体需按照</w:t>
      </w:r>
      <w:r>
        <w:rPr>
          <w:rFonts w:hint="eastAsia" w:ascii="仿宋_GB2312" w:hAnsi="仿宋" w:eastAsia="仿宋_GB2312" w:cs="Times New Roman"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区文化广电旅游体育局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相关通知要求办理资金拨付手续。</w:t>
      </w:r>
    </w:p>
    <w:p w14:paraId="7925595E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黑体" w:eastAsia="黑体" w:cs="Times New Roman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Times New Roman" w:hAnsi="黑体" w:eastAsia="黑体" w:cs="Times New Roman"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、附则</w:t>
      </w:r>
    </w:p>
    <w:p w14:paraId="006A67FF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eastAsia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本规程由南山区文化广电旅游体育局负责解释，自发布之日起施行。</w:t>
      </w:r>
    </w:p>
    <w:p w14:paraId="1BB69167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rPr>
          <w:rFonts w:ascii="仿宋_GB2312" w:eastAsia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800002BF" w:usb1="184F6CF8" w:usb2="00000012" w:usb3="00000000" w:csb0="0002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9097515"/>
      <w:docPartObj>
        <w:docPartGallery w:val="autotext"/>
      </w:docPartObj>
    </w:sdtPr>
    <w:sdtContent>
      <w:p w14:paraId="05426558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A7DE83E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iOTU0NTc3ZTM1ZTYyZGY3YzYzMmZkODc4MjgyZWMifQ=="/>
  </w:docVars>
  <w:rsids>
    <w:rsidRoot w:val="1E9B000F"/>
    <w:rsid w:val="00007F6F"/>
    <w:rsid w:val="00011867"/>
    <w:rsid w:val="00024D3C"/>
    <w:rsid w:val="00031E90"/>
    <w:rsid w:val="000965F4"/>
    <w:rsid w:val="000B0273"/>
    <w:rsid w:val="00115BCC"/>
    <w:rsid w:val="001421E0"/>
    <w:rsid w:val="00143A36"/>
    <w:rsid w:val="0015404E"/>
    <w:rsid w:val="001B0C22"/>
    <w:rsid w:val="0020003E"/>
    <w:rsid w:val="0026218E"/>
    <w:rsid w:val="003513BD"/>
    <w:rsid w:val="003E1EB4"/>
    <w:rsid w:val="003F33E9"/>
    <w:rsid w:val="0040362C"/>
    <w:rsid w:val="004329C4"/>
    <w:rsid w:val="00434791"/>
    <w:rsid w:val="00456C09"/>
    <w:rsid w:val="00475747"/>
    <w:rsid w:val="00484F4E"/>
    <w:rsid w:val="004B052D"/>
    <w:rsid w:val="004C22D8"/>
    <w:rsid w:val="00595A1F"/>
    <w:rsid w:val="005A622A"/>
    <w:rsid w:val="005C1AD0"/>
    <w:rsid w:val="005D529D"/>
    <w:rsid w:val="006255F8"/>
    <w:rsid w:val="00651611"/>
    <w:rsid w:val="00676E19"/>
    <w:rsid w:val="00705AFF"/>
    <w:rsid w:val="007067EE"/>
    <w:rsid w:val="00765457"/>
    <w:rsid w:val="007A67CC"/>
    <w:rsid w:val="007D0365"/>
    <w:rsid w:val="007E2AAA"/>
    <w:rsid w:val="007E59AE"/>
    <w:rsid w:val="008058F8"/>
    <w:rsid w:val="00886129"/>
    <w:rsid w:val="00896F3C"/>
    <w:rsid w:val="008A06B8"/>
    <w:rsid w:val="008B0EB5"/>
    <w:rsid w:val="008C75B3"/>
    <w:rsid w:val="008D3C58"/>
    <w:rsid w:val="00920AE3"/>
    <w:rsid w:val="00966922"/>
    <w:rsid w:val="009944AF"/>
    <w:rsid w:val="009B0D2F"/>
    <w:rsid w:val="009B3AE0"/>
    <w:rsid w:val="009E2DAA"/>
    <w:rsid w:val="009F4297"/>
    <w:rsid w:val="00A33646"/>
    <w:rsid w:val="00A65275"/>
    <w:rsid w:val="00A82793"/>
    <w:rsid w:val="00AD6040"/>
    <w:rsid w:val="00AE260C"/>
    <w:rsid w:val="00B101C1"/>
    <w:rsid w:val="00B17BF3"/>
    <w:rsid w:val="00B77C53"/>
    <w:rsid w:val="00B803E6"/>
    <w:rsid w:val="00B91CA9"/>
    <w:rsid w:val="00BA5F30"/>
    <w:rsid w:val="00BC06DD"/>
    <w:rsid w:val="00BD6E4F"/>
    <w:rsid w:val="00BE7C30"/>
    <w:rsid w:val="00C97D94"/>
    <w:rsid w:val="00CA4770"/>
    <w:rsid w:val="00CD6F9A"/>
    <w:rsid w:val="00CE00CC"/>
    <w:rsid w:val="00CE1FF7"/>
    <w:rsid w:val="00CE6F5B"/>
    <w:rsid w:val="00D13618"/>
    <w:rsid w:val="00D818FD"/>
    <w:rsid w:val="00DF10BB"/>
    <w:rsid w:val="00E040F9"/>
    <w:rsid w:val="00E102DA"/>
    <w:rsid w:val="00E1265B"/>
    <w:rsid w:val="00E23039"/>
    <w:rsid w:val="00E4544B"/>
    <w:rsid w:val="00EA5699"/>
    <w:rsid w:val="00EC4977"/>
    <w:rsid w:val="00F0380B"/>
    <w:rsid w:val="00F07B9B"/>
    <w:rsid w:val="00F07CA9"/>
    <w:rsid w:val="00F2135A"/>
    <w:rsid w:val="00F254EF"/>
    <w:rsid w:val="00F2602B"/>
    <w:rsid w:val="00F3450B"/>
    <w:rsid w:val="00F85813"/>
    <w:rsid w:val="00F95C5E"/>
    <w:rsid w:val="00FB6C39"/>
    <w:rsid w:val="00FD76D6"/>
    <w:rsid w:val="024E06A7"/>
    <w:rsid w:val="0381433E"/>
    <w:rsid w:val="06046AA2"/>
    <w:rsid w:val="07414C7E"/>
    <w:rsid w:val="095C7285"/>
    <w:rsid w:val="0A5B0FE9"/>
    <w:rsid w:val="0F5657D4"/>
    <w:rsid w:val="0F970CAC"/>
    <w:rsid w:val="104D08F5"/>
    <w:rsid w:val="10572E1C"/>
    <w:rsid w:val="10914778"/>
    <w:rsid w:val="10F13271"/>
    <w:rsid w:val="119C505E"/>
    <w:rsid w:val="168B0344"/>
    <w:rsid w:val="17341286"/>
    <w:rsid w:val="1B650303"/>
    <w:rsid w:val="1C9D4474"/>
    <w:rsid w:val="1DE65B7D"/>
    <w:rsid w:val="1E395720"/>
    <w:rsid w:val="1E9B000F"/>
    <w:rsid w:val="1EE349E1"/>
    <w:rsid w:val="1F701E6B"/>
    <w:rsid w:val="1FAD4DE8"/>
    <w:rsid w:val="1FE8393C"/>
    <w:rsid w:val="21D26611"/>
    <w:rsid w:val="22A03ECE"/>
    <w:rsid w:val="25442DA4"/>
    <w:rsid w:val="268838F2"/>
    <w:rsid w:val="27341108"/>
    <w:rsid w:val="279B588D"/>
    <w:rsid w:val="2A0E4549"/>
    <w:rsid w:val="2ABE797D"/>
    <w:rsid w:val="2CB93B54"/>
    <w:rsid w:val="2D1C3032"/>
    <w:rsid w:val="2D2D342B"/>
    <w:rsid w:val="2D4D13D7"/>
    <w:rsid w:val="2E0C1292"/>
    <w:rsid w:val="2E6B7739"/>
    <w:rsid w:val="3106646D"/>
    <w:rsid w:val="359F1AE5"/>
    <w:rsid w:val="365F39E8"/>
    <w:rsid w:val="37B104F6"/>
    <w:rsid w:val="38F36362"/>
    <w:rsid w:val="3A322081"/>
    <w:rsid w:val="3C9A0A26"/>
    <w:rsid w:val="3D2008B6"/>
    <w:rsid w:val="3DBA0E43"/>
    <w:rsid w:val="3DFBEEAF"/>
    <w:rsid w:val="3E9962A9"/>
    <w:rsid w:val="3EB43064"/>
    <w:rsid w:val="3FFD6D8A"/>
    <w:rsid w:val="410E52C5"/>
    <w:rsid w:val="42D91274"/>
    <w:rsid w:val="431D4C7D"/>
    <w:rsid w:val="43252FDE"/>
    <w:rsid w:val="432C2634"/>
    <w:rsid w:val="43306312"/>
    <w:rsid w:val="463F7CE5"/>
    <w:rsid w:val="46DC3AA0"/>
    <w:rsid w:val="489D2DBB"/>
    <w:rsid w:val="492055D3"/>
    <w:rsid w:val="49A40981"/>
    <w:rsid w:val="49BE66BD"/>
    <w:rsid w:val="4A6807A1"/>
    <w:rsid w:val="4B1D648B"/>
    <w:rsid w:val="4DB13E66"/>
    <w:rsid w:val="4DBC0187"/>
    <w:rsid w:val="4E92280E"/>
    <w:rsid w:val="50842471"/>
    <w:rsid w:val="51422751"/>
    <w:rsid w:val="53F76790"/>
    <w:rsid w:val="550F4A91"/>
    <w:rsid w:val="55905B88"/>
    <w:rsid w:val="562D687E"/>
    <w:rsid w:val="56B440F1"/>
    <w:rsid w:val="5AC10649"/>
    <w:rsid w:val="5B150ED7"/>
    <w:rsid w:val="5C8D0087"/>
    <w:rsid w:val="5CD110EF"/>
    <w:rsid w:val="5DB22A0D"/>
    <w:rsid w:val="5FB8487A"/>
    <w:rsid w:val="60EA0710"/>
    <w:rsid w:val="61646714"/>
    <w:rsid w:val="61C6117D"/>
    <w:rsid w:val="63894210"/>
    <w:rsid w:val="64561B9C"/>
    <w:rsid w:val="649F7246"/>
    <w:rsid w:val="65CE2733"/>
    <w:rsid w:val="65E816C2"/>
    <w:rsid w:val="682008BB"/>
    <w:rsid w:val="69024E95"/>
    <w:rsid w:val="6A7B0C2A"/>
    <w:rsid w:val="6D3414FD"/>
    <w:rsid w:val="6FCC3E02"/>
    <w:rsid w:val="738369EE"/>
    <w:rsid w:val="758F53A8"/>
    <w:rsid w:val="77425CD3"/>
    <w:rsid w:val="77AA0DE3"/>
    <w:rsid w:val="7A7B45E1"/>
    <w:rsid w:val="7C8A1257"/>
    <w:rsid w:val="7D9C7CC2"/>
    <w:rsid w:val="7DDE5B98"/>
    <w:rsid w:val="9FFEA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eastAsia="仿宋_GB2312"/>
      <w:sz w:val="32"/>
      <w:szCs w:val="24"/>
    </w:rPr>
  </w:style>
  <w:style w:type="paragraph" w:styleId="3">
    <w:name w:val="Body Text"/>
    <w:basedOn w:val="1"/>
    <w:qFormat/>
    <w:uiPriority w:val="0"/>
    <w:pPr>
      <w:jc w:val="center"/>
    </w:pPr>
    <w:rPr>
      <w:rFonts w:eastAsia="华文中宋"/>
      <w:sz w:val="44"/>
    </w:rPr>
  </w:style>
  <w:style w:type="paragraph" w:styleId="5">
    <w:name w:val="annotation text"/>
    <w:basedOn w:val="1"/>
    <w:link w:val="19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7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paragraph" w:customStyle="1" w:styleId="15">
    <w:name w:val="Heading4"/>
    <w:next w:val="1"/>
    <w:qFormat/>
    <w:uiPriority w:val="0"/>
    <w:pPr>
      <w:keepNext/>
      <w:keepLines/>
      <w:widowControl w:val="0"/>
      <w:spacing w:before="280" w:after="290" w:line="376" w:lineRule="auto"/>
      <w:jc w:val="both"/>
      <w:textAlignment w:val="baseline"/>
    </w:pPr>
    <w:rPr>
      <w:rFonts w:ascii="Cambria" w:hAnsi="Cambria" w:eastAsia="宋体" w:cs="Times New Roman"/>
      <w:b/>
      <w:bCs/>
      <w:kern w:val="2"/>
      <w:sz w:val="28"/>
      <w:szCs w:val="28"/>
      <w:lang w:val="en-US" w:eastAsia="zh-CN" w:bidi="ar-SA"/>
    </w:rPr>
  </w:style>
  <w:style w:type="character" w:customStyle="1" w:styleId="16">
    <w:name w:val="font51"/>
    <w:basedOn w:val="1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页眉 字符"/>
    <w:basedOn w:val="13"/>
    <w:link w:val="8"/>
    <w:qFormat/>
    <w:uiPriority w:val="0"/>
    <w:rPr>
      <w:kern w:val="2"/>
      <w:sz w:val="18"/>
      <w:szCs w:val="18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  <w:style w:type="character" w:customStyle="1" w:styleId="19">
    <w:name w:val="批注文字 字符"/>
    <w:basedOn w:val="13"/>
    <w:link w:val="5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basedOn w:val="19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1">
    <w:name w:val="页脚 字符"/>
    <w:basedOn w:val="13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3108</Words>
  <Characters>3268</Characters>
  <Lines>20</Lines>
  <Paragraphs>5</Paragraphs>
  <TotalTime>8</TotalTime>
  <ScaleCrop>false</ScaleCrop>
  <LinksUpToDate>false</LinksUpToDate>
  <CharactersWithSpaces>3269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2022-07-23T18:39:00Z</dcterms:created>
  <dc:creator>王榕</dc:creator>
  <cp:lastModifiedBy>hjx</cp:lastModifiedBy>
  <cp:lastPrinted>2024-07-10T16:54:00Z</cp:lastPrinted>
  <dcterms:modified xsi:type="dcterms:W3CDTF">2025-07-10T11:20:38Z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AC069A648FF7451DAD7D99FB60DA189C</vt:lpwstr>
  </property>
  <property fmtid="{D5CDD505-2E9C-101B-9397-08002B2CF9AE}" pid="4" name="KSOTemplateDocerSaveRecord">
    <vt:lpwstr>eyJoZGlkIjoiNzliOTU0NTc3ZTM1ZTYyZGY3YzYzMmZkODc4MjgyZWMiLCJ1c2VySWQiOiIzMjk0MTYzNTUifQ==</vt:lpwstr>
  </property>
</Properties>
</file>