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jc w:val="both"/>
        <w:textAlignment w:val="auto"/>
        <w:rPr>
          <w:rFonts w:hint="eastAsia" w:ascii="CESI黑体-GB2312" w:hAnsi="CESI黑体-GB2312" w:eastAsia="CESI黑体-GB2312" w:cs="CESI黑体-GB2312"/>
          <w:bCs/>
          <w:color w:val="auto"/>
          <w:sz w:val="32"/>
          <w:szCs w:val="32"/>
          <w:lang w:eastAsia="zh-CN"/>
        </w:rPr>
      </w:pPr>
      <w:r>
        <w:rPr>
          <w:rFonts w:hint="eastAsia" w:ascii="CESI黑体-GB2312" w:hAnsi="CESI黑体-GB2312" w:eastAsia="CESI黑体-GB2312" w:cs="CESI黑体-GB2312"/>
          <w:bCs/>
          <w:color w:val="auto"/>
          <w:sz w:val="32"/>
          <w:szCs w:val="32"/>
        </w:rPr>
        <w:t>附件</w:t>
      </w:r>
      <w:r>
        <w:rPr>
          <w:rFonts w:hint="eastAsia" w:ascii="CESI黑体-GB2312" w:hAnsi="CESI黑体-GB2312" w:eastAsia="CESI黑体-GB2312" w:cs="CESI黑体-GB2312"/>
          <w:bCs/>
          <w:color w:val="auto"/>
          <w:sz w:val="32"/>
          <w:szCs w:val="32"/>
          <w:lang w:val="en-US" w:eastAsia="zh-CN"/>
        </w:rPr>
        <w:t>3</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-实训人才</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落户生活</w:t>
      </w:r>
      <w:r>
        <w:rPr>
          <w:rFonts w:hint="default" w:ascii="方正小标宋_GBK" w:hAnsi="方正小标宋_GBK" w:eastAsia="方正小标宋_GBK" w:cs="方正小标宋_GBK"/>
          <w:bCs/>
          <w:color w:val="auto"/>
          <w:sz w:val="44"/>
          <w:szCs w:val="44"/>
          <w:lang w:eastAsia="zh-CN"/>
        </w:rPr>
        <w:t>补贴项目</w:t>
      </w:r>
      <w:r>
        <w:rPr>
          <w:rFonts w:hint="eastAsia" w:ascii="方正小标宋_GBK" w:hAnsi="方正小标宋_GBK" w:eastAsia="方正小标宋_GBK" w:cs="方正小标宋_GBK"/>
          <w:bCs/>
          <w:color w:val="auto"/>
          <w:w w:val="95"/>
          <w:sz w:val="44"/>
          <w:szCs w:val="44"/>
        </w:rPr>
        <w:t>操作</w:t>
      </w:r>
      <w:r>
        <w:rPr>
          <w:rFonts w:hint="eastAsia" w:ascii="方正小标宋_GBK" w:hAnsi="方正小标宋_GBK" w:eastAsia="方正小标宋_GBK" w:cs="方正小标宋_GBK"/>
          <w:bCs/>
          <w:color w:val="auto"/>
          <w:w w:val="95"/>
          <w:sz w:val="44"/>
          <w:szCs w:val="44"/>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资助内容</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eastAsia="仿宋_GB2312"/>
          <w:color w:val="auto"/>
          <w:sz w:val="32"/>
          <w:szCs w:val="32"/>
          <w:lang w:eastAsia="zh-CN"/>
        </w:rPr>
      </w:pPr>
      <w:r>
        <w:rPr>
          <w:rFonts w:hint="eastAsia" w:ascii="仿宋_GB2312" w:hAnsi="Times New Roman" w:eastAsia="仿宋_GB2312" w:cs="Calibri"/>
          <w:sz w:val="32"/>
          <w:szCs w:val="32"/>
          <w:lang w:eastAsia="zh-CN"/>
        </w:rPr>
        <w:t>　　对进入南山区高层次创新型人才实训基地实习后获得该单位录用，并</w:t>
      </w:r>
      <w:r>
        <w:rPr>
          <w:rFonts w:hint="eastAsia" w:ascii="仿宋_GB2312" w:hAnsi="Times New Roman" w:eastAsia="仿宋_GB2312" w:cs="Calibri"/>
          <w:kern w:val="2"/>
          <w:sz w:val="32"/>
          <w:szCs w:val="32"/>
          <w:lang w:val="en-US" w:eastAsia="zh-CN" w:bidi="ar-SA"/>
        </w:rPr>
        <w:t>连续工作满一年且办理引进入户深圳的实训人才，按照其学历层次给予一次性生活补贴。</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政策依据</w:t>
      </w:r>
    </w:p>
    <w:p>
      <w:pPr>
        <w:pStyle w:val="12"/>
        <w:keepNext w:val="0"/>
        <w:keepLines w:val="0"/>
        <w:pageBreakBefore w:val="0"/>
        <w:numPr>
          <w:ilvl w:val="-1"/>
          <w:numId w:val="0"/>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仿宋_GB2312" w:hAnsi="仿宋_GB2312" w:eastAsia="仿宋_GB2312" w:cs="仿宋_GB2312"/>
          <w:b w:val="0"/>
          <w:bCs w:val="0"/>
          <w:kern w:val="2"/>
          <w:sz w:val="32"/>
          <w:szCs w:val="40"/>
          <w:lang w:val="en-US" w:eastAsia="zh-CN" w:bidi="ar-SA"/>
        </w:rPr>
        <w:t>根据</w:t>
      </w:r>
      <w:r>
        <w:rPr>
          <w:rFonts w:hint="eastAsia" w:ascii="仿宋_GB2312" w:hAnsi="仿宋_GB2312" w:eastAsia="仿宋_GB2312" w:cs="仿宋_GB2312"/>
          <w:color w:val="auto"/>
          <w:kern w:val="2"/>
          <w:sz w:val="32"/>
          <w:szCs w:val="32"/>
          <w:lang w:eastAsia="zh-CN" w:bidi="ar-SA"/>
        </w:rPr>
        <w:t>《南山区促进产业高质量发展专项资金管理办法》（深南府规</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2024</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2号</w:t>
      </w:r>
      <w:r>
        <w:rPr>
          <w:rFonts w:hint="eastAsia" w:ascii="仿宋_GB2312" w:hAnsi="仿宋_GB2312" w:eastAsia="仿宋_GB2312" w:cs="仿宋_GB2312"/>
          <w:color w:val="auto"/>
          <w:kern w:val="2"/>
          <w:sz w:val="32"/>
          <w:szCs w:val="32"/>
          <w:lang w:eastAsia="zh-CN" w:bidi="ar-SA"/>
        </w:rPr>
        <w:t>）、《南山区高层次创新型人才实训基地管理办法》（深南人规〔2024〕1号）制定。</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资助标准及方式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kern w:val="2"/>
          <w:sz w:val="32"/>
          <w:szCs w:val="32"/>
          <w:lang w:val="en-US" w:eastAsia="zh-CN" w:bidi="ar-SA"/>
        </w:rPr>
      </w:pPr>
      <w:r>
        <w:rPr>
          <w:rFonts w:hint="eastAsia" w:ascii="仿宋_GB2312" w:hAnsi="Times New Roman" w:eastAsia="仿宋_GB2312" w:cs="Calibri"/>
          <w:kern w:val="2"/>
          <w:sz w:val="32"/>
          <w:szCs w:val="32"/>
          <w:lang w:val="en-US" w:eastAsia="zh-CN" w:bidi="ar-SA"/>
        </w:rPr>
        <w:t>对符合条件的实训人才，按照其学历层次给予生活补贴。补贴标准为：</w:t>
      </w:r>
      <w:r>
        <w:rPr>
          <w:rFonts w:hint="eastAsia" w:ascii="仿宋_GB2312" w:hAnsi="Times New Roman" w:eastAsia="仿宋_GB2312" w:cs="Calibri"/>
          <w:color w:val="auto"/>
          <w:kern w:val="2"/>
          <w:sz w:val="32"/>
          <w:szCs w:val="32"/>
          <w:lang w:val="en-US" w:eastAsia="zh-CN" w:bidi="ar-SA"/>
        </w:rPr>
        <w:t>本科生2万元、硕士研究生3万元、博士研究生10万元。此补贴获得者不得同时享受市区级新引进人才落户同类补贴政策。</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lang w:eastAsia="zh-CN"/>
        </w:rPr>
      </w:pPr>
      <w:r>
        <w:rPr>
          <w:rFonts w:hint="default" w:ascii="仿宋_GB2312" w:hAnsi="仿宋_GB2312" w:eastAsia="仿宋_GB2312" w:cs="仿宋_GB2312"/>
          <w:sz w:val="32"/>
          <w:szCs w:val="32"/>
          <w:vertAlign w:val="baseline"/>
          <w:lang w:eastAsia="zh-CN"/>
        </w:rPr>
        <w:t>本项资助属于核准类，采取无偿资助方式</w:t>
      </w:r>
      <w:r>
        <w:rPr>
          <w:rFonts w:hint="eastAsia" w:ascii="仿宋_GB2312" w:hAnsi="仿宋_GB2312" w:eastAsia="仿宋_GB2312" w:cs="仿宋_GB2312"/>
          <w:sz w:val="32"/>
          <w:szCs w:val="32"/>
          <w:vertAlign w:val="baseline"/>
          <w:lang w:eastAsia="zh-CN"/>
        </w:rPr>
        <w:t>。</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四、申请条件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w w:val="100"/>
          <w:sz w:val="32"/>
          <w:szCs w:val="32"/>
          <w:highlight w:val="none"/>
          <w:lang w:val="en-US" w:eastAsia="zh-CN"/>
        </w:rPr>
      </w:pPr>
      <w:r>
        <w:rPr>
          <w:rFonts w:hint="eastAsia" w:ascii="仿宋_GB2312" w:hAnsi="Times New Roman" w:eastAsia="仿宋_GB2312" w:cs="Calibri"/>
          <w:color w:val="auto"/>
          <w:sz w:val="32"/>
          <w:szCs w:val="32"/>
          <w:highlight w:val="none"/>
          <w:lang w:eastAsia="zh-CN"/>
        </w:rPr>
        <w:t>（一）申报的实训人才已向区人力资源局完成个人信息报备</w:t>
      </w:r>
      <w:r>
        <w:rPr>
          <w:rFonts w:hint="eastAsia" w:ascii="仿宋_GB2312" w:hAnsi="Times New Roman" w:eastAsia="仿宋_GB2312" w:cs="Calibri"/>
          <w:color w:val="auto"/>
          <w:w w:val="100"/>
          <w:sz w:val="32"/>
          <w:szCs w:val="32"/>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Calibri"/>
          <w:color w:val="auto"/>
          <w:kern w:val="2"/>
          <w:sz w:val="32"/>
          <w:szCs w:val="32"/>
          <w:highlight w:val="none"/>
          <w:lang w:val="en-US" w:eastAsia="zh-CN" w:bidi="ar-SA"/>
        </w:rPr>
      </w:pPr>
      <w:r>
        <w:rPr>
          <w:rFonts w:hint="eastAsia" w:ascii="仿宋_GB2312" w:hAnsi="Times New Roman" w:eastAsia="仿宋_GB2312" w:cs="Calibri"/>
          <w:color w:val="auto"/>
          <w:kern w:val="2"/>
          <w:sz w:val="32"/>
          <w:szCs w:val="32"/>
          <w:highlight w:val="none"/>
          <w:lang w:eastAsia="zh-CN" w:bidi="ar-SA"/>
        </w:rPr>
        <w:t>（二）经实训基地</w:t>
      </w:r>
      <w:r>
        <w:rPr>
          <w:rFonts w:hint="eastAsia" w:ascii="仿宋_GB2312" w:eastAsia="仿宋_GB2312"/>
          <w:color w:val="auto"/>
          <w:sz w:val="32"/>
          <w:szCs w:val="32"/>
          <w:lang w:val="en-US" w:eastAsia="zh-CN"/>
        </w:rPr>
        <w:t>（含其在南山区的控股企业）</w:t>
      </w:r>
      <w:r>
        <w:rPr>
          <w:rFonts w:hint="eastAsia" w:ascii="仿宋_GB2312" w:hAnsi="Times New Roman" w:eastAsia="仿宋_GB2312" w:cs="Calibri"/>
          <w:color w:val="auto"/>
          <w:kern w:val="2"/>
          <w:sz w:val="32"/>
          <w:szCs w:val="32"/>
          <w:highlight w:val="none"/>
          <w:lang w:val="en-US" w:eastAsia="zh-CN" w:bidi="ar-SA"/>
        </w:rPr>
        <w:t>录用</w:t>
      </w:r>
      <w:r>
        <w:rPr>
          <w:rFonts w:hint="eastAsia" w:ascii="仿宋_GB2312" w:hAnsi="Times New Roman" w:eastAsia="仿宋_GB2312" w:cs="Calibri"/>
          <w:color w:val="auto"/>
          <w:kern w:val="2"/>
          <w:sz w:val="32"/>
          <w:szCs w:val="32"/>
          <w:highlight w:val="none"/>
          <w:lang w:eastAsia="zh-CN" w:bidi="ar-SA"/>
        </w:rPr>
        <w:t>后的实训人才，须毕业后</w:t>
      </w:r>
      <w:r>
        <w:rPr>
          <w:rFonts w:hint="eastAsia" w:ascii="仿宋_GB2312" w:hAnsi="Times New Roman" w:eastAsia="仿宋_GB2312" w:cs="Calibri"/>
          <w:color w:val="auto"/>
          <w:kern w:val="2"/>
          <w:sz w:val="32"/>
          <w:szCs w:val="32"/>
          <w:highlight w:val="none"/>
          <w:lang w:val="en-US" w:eastAsia="zh-CN" w:bidi="ar-SA"/>
        </w:rPr>
        <w:t>在该</w:t>
      </w:r>
      <w:r>
        <w:rPr>
          <w:rFonts w:hint="eastAsia" w:ascii="仿宋_GB2312" w:hAnsi="Times New Roman" w:eastAsia="仿宋_GB2312" w:cs="Calibri"/>
          <w:color w:val="auto"/>
          <w:kern w:val="2"/>
          <w:sz w:val="32"/>
          <w:szCs w:val="32"/>
          <w:highlight w:val="none"/>
          <w:lang w:eastAsia="zh-CN" w:bidi="ar-SA"/>
        </w:rPr>
        <w:t>单位</w:t>
      </w:r>
      <w:r>
        <w:rPr>
          <w:rFonts w:hint="eastAsia" w:ascii="仿宋_GB2312" w:hAnsi="Times New Roman" w:eastAsia="仿宋_GB2312" w:cs="Calibri"/>
          <w:color w:val="auto"/>
          <w:kern w:val="2"/>
          <w:sz w:val="32"/>
          <w:szCs w:val="32"/>
          <w:highlight w:val="none"/>
          <w:lang w:val="en-US" w:eastAsia="zh-CN" w:bidi="ar-SA"/>
        </w:rPr>
        <w:t>连续工作满一年且办理引进入户深圳，申请时仍在该</w:t>
      </w:r>
      <w:r>
        <w:rPr>
          <w:rFonts w:hint="eastAsia" w:ascii="仿宋_GB2312" w:hAnsi="Times New Roman" w:eastAsia="仿宋_GB2312" w:cs="Calibri"/>
          <w:color w:val="auto"/>
          <w:kern w:val="2"/>
          <w:sz w:val="32"/>
          <w:szCs w:val="32"/>
          <w:highlight w:val="none"/>
          <w:lang w:eastAsia="zh-CN" w:bidi="ar-SA"/>
        </w:rPr>
        <w:t>实训基地</w:t>
      </w:r>
      <w:r>
        <w:rPr>
          <w:rFonts w:hint="eastAsia" w:ascii="仿宋_GB2312" w:hAnsi="Times New Roman" w:eastAsia="仿宋_GB2312" w:cs="Calibri"/>
          <w:color w:val="auto"/>
          <w:kern w:val="2"/>
          <w:sz w:val="32"/>
          <w:szCs w:val="32"/>
          <w:highlight w:val="none"/>
          <w:lang w:val="en-US" w:eastAsia="zh-CN" w:bidi="ar-SA"/>
        </w:rPr>
        <w:t>工作；</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Calibri"/>
          <w:color w:val="auto"/>
          <w:kern w:val="2"/>
          <w:sz w:val="32"/>
          <w:szCs w:val="32"/>
          <w:highlight w:val="none"/>
          <w:u w:val="none"/>
          <w:vertAlign w:val="baseline"/>
          <w:lang w:val="en-US" w:eastAsia="zh-CN" w:bidi="ar-SA"/>
        </w:rPr>
      </w:pPr>
      <w:r>
        <w:rPr>
          <w:rFonts w:hint="eastAsia" w:ascii="仿宋_GB2312" w:hAnsi="Times New Roman" w:eastAsia="仿宋_GB2312" w:cs="Calibri"/>
          <w:color w:val="auto"/>
          <w:w w:val="100"/>
          <w:kern w:val="2"/>
          <w:sz w:val="32"/>
          <w:szCs w:val="32"/>
          <w:highlight w:val="none"/>
          <w:lang w:eastAsia="zh-CN" w:bidi="ar-SA"/>
        </w:rPr>
        <w:t>（三）</w:t>
      </w:r>
      <w:r>
        <w:rPr>
          <w:rFonts w:hint="eastAsia" w:ascii="仿宋_GB2312" w:hAnsi="Times New Roman" w:eastAsia="仿宋_GB2312" w:cs="Calibri"/>
          <w:color w:val="auto"/>
          <w:kern w:val="2"/>
          <w:sz w:val="32"/>
          <w:szCs w:val="32"/>
          <w:highlight w:val="none"/>
          <w:lang w:eastAsia="zh-CN" w:bidi="ar-SA"/>
        </w:rPr>
        <w:t>申报人须</w:t>
      </w:r>
      <w:r>
        <w:rPr>
          <w:rFonts w:hint="eastAsia" w:ascii="仿宋_GB2312" w:hAnsi="Times New Roman" w:eastAsia="仿宋_GB2312" w:cs="Calibri"/>
          <w:color w:val="auto"/>
          <w:kern w:val="2"/>
          <w:sz w:val="32"/>
          <w:szCs w:val="32"/>
          <w:highlight w:val="none"/>
          <w:u w:val="none"/>
          <w:vertAlign w:val="baseline"/>
          <w:lang w:val="en-US" w:eastAsia="zh-CN" w:bidi="ar-SA"/>
        </w:rPr>
        <w:t>在人才引进之日起24个月内由所在实训基地单位</w:t>
      </w:r>
      <w:r>
        <w:rPr>
          <w:rFonts w:hint="eastAsia" w:ascii="仿宋_GB2312" w:hAnsi="Times New Roman" w:eastAsia="仿宋_GB2312" w:cs="Calibri"/>
          <w:color w:val="auto"/>
          <w:kern w:val="2"/>
          <w:sz w:val="32"/>
          <w:szCs w:val="32"/>
          <w:highlight w:val="none"/>
          <w:u w:val="none"/>
          <w:vertAlign w:val="baseline"/>
          <w:lang w:eastAsia="zh-CN" w:bidi="ar-SA"/>
        </w:rPr>
        <w:t>为其</w:t>
      </w:r>
      <w:r>
        <w:rPr>
          <w:rFonts w:hint="eastAsia" w:ascii="仿宋_GB2312" w:hAnsi="Times New Roman" w:eastAsia="仿宋_GB2312" w:cs="Calibri"/>
          <w:color w:val="auto"/>
          <w:kern w:val="2"/>
          <w:sz w:val="32"/>
          <w:szCs w:val="32"/>
          <w:highlight w:val="none"/>
          <w:u w:val="none"/>
          <w:vertAlign w:val="baseline"/>
          <w:lang w:val="en-US" w:eastAsia="zh-CN" w:bidi="ar-SA"/>
        </w:rPr>
        <w:t>提出申请。人才引进时间须为2022年11月29日及之后（以人才引进审批文件签发日期为准）；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申请人所在实训基地</w:t>
      </w:r>
      <w:r>
        <w:rPr>
          <w:rFonts w:hint="eastAsia" w:ascii="仿宋_GB2312" w:hAnsi="仿宋_GB2312" w:eastAsia="仿宋_GB2312" w:cs="仿宋_GB2312"/>
          <w:color w:val="auto"/>
          <w:sz w:val="32"/>
          <w:szCs w:val="32"/>
        </w:rPr>
        <w:t>有下列情况之一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本项</w:t>
      </w:r>
      <w:r>
        <w:rPr>
          <w:rFonts w:hint="eastAsia" w:ascii="仿宋_GB2312" w:hAnsi="仿宋_GB2312" w:eastAsia="仿宋_GB2312" w:cs="仿宋_GB2312"/>
          <w:color w:val="auto"/>
          <w:sz w:val="32"/>
          <w:szCs w:val="32"/>
        </w:rPr>
        <w:t>资金不</w:t>
      </w:r>
      <w:r>
        <w:rPr>
          <w:rFonts w:hint="eastAsia" w:ascii="仿宋_GB2312" w:hAnsi="仿宋_GB2312" w:eastAsia="仿宋_GB2312" w:cs="仿宋_GB2312"/>
          <w:sz w:val="32"/>
          <w:szCs w:val="32"/>
        </w:rPr>
        <w:t>予资助：</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1、被依法依规纳入严重失信主体名单或失信惩戒措施清单的；</w:t>
      </w:r>
    </w:p>
    <w:p>
      <w:pPr>
        <w:pStyle w:val="12"/>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宋体" w:eastAsia="仿宋_GB2312" w:cs="宋体"/>
          <w:kern w:val="0"/>
          <w:sz w:val="32"/>
          <w:szCs w:val="32"/>
          <w:lang w:val="en-US" w:eastAsia="zh-CN" w:bidi="ar-SA"/>
        </w:rPr>
        <w:t>2、提出资助申请后，申报主体实际经营地或数据申报关系发生变化，不再符合申报条件的。</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五、申请材料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s="宋体"/>
          <w:kern w:val="0"/>
          <w:sz w:val="32"/>
          <w:szCs w:val="32"/>
          <w:lang w:val="en-US" w:eastAsia="zh-CN" w:bidi="ar-SA"/>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eastAsia" w:ascii="仿宋_GB2312" w:hAnsi="宋体" w:eastAsia="仿宋_GB2312" w:cs="宋体"/>
          <w:kern w:val="0"/>
          <w:sz w:val="32"/>
          <w:szCs w:val="32"/>
          <w:lang w:val="en-US" w:eastAsia="zh-CN" w:bidi="ar-SA"/>
        </w:rPr>
        <w:t>）</w:t>
      </w:r>
      <w:r>
        <w:rPr>
          <w:rFonts w:hint="eastAsia" w:ascii="仿宋_GB2312" w:hAnsi="Times New Roman" w:eastAsia="仿宋_GB2312" w:cs="Calibri"/>
          <w:color w:val="auto"/>
          <w:kern w:val="2"/>
          <w:sz w:val="32"/>
          <w:szCs w:val="32"/>
          <w:u w:val="none"/>
          <w:lang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（二）</w:t>
      </w:r>
      <w:r>
        <w:rPr>
          <w:rFonts w:hint="eastAsia" w:ascii="仿宋_GB2312" w:hAnsi="Times New Roman" w:eastAsia="仿宋_GB2312" w:cs="Calibri"/>
          <w:color w:val="auto"/>
          <w:kern w:val="2"/>
          <w:sz w:val="32"/>
          <w:szCs w:val="32"/>
          <w:u w:val="none"/>
          <w:lang w:val="en-US" w:eastAsia="zh-CN" w:bidi="ar-SA"/>
        </w:rPr>
        <w:t>个人材料包括：</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１.人才实训协议、实训人才信息登记表；</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２.个人身份证件复印件、户口本复印件；</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３.</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４.人才引进审批文件（指人力资源部门出具的高等院校毕业生介绍信、归国留学人员的留学人员行政介绍信、在职人才的招调通知等</w:t>
      </w:r>
      <w:r>
        <w:rPr>
          <w:rFonts w:hint="default" w:ascii="仿宋_GB2312" w:hAnsi="Times New Roman" w:eastAsia="仿宋_GB2312" w:cs="Calibri"/>
          <w:color w:val="auto"/>
          <w:kern w:val="2"/>
          <w:sz w:val="32"/>
          <w:szCs w:val="32"/>
          <w:u w:val="none"/>
          <w:lang w:val="en-US" w:eastAsia="zh-CN" w:bidi="ar-SA"/>
        </w:rPr>
        <w:t>）</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５.实习期开始至申报日上月的个人所得税纳税清单（深圳）（若依据法律法规无需缴纳个税的，实训基地须提供相应佐证材料）；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６.</w:t>
      </w:r>
      <w:r>
        <w:rPr>
          <w:rFonts w:hint="default" w:ascii="仿宋_GB2312" w:hAnsi="Times New Roman" w:eastAsia="仿宋_GB2312" w:cs="Calibri"/>
          <w:color w:val="auto"/>
          <w:kern w:val="2"/>
          <w:sz w:val="32"/>
          <w:szCs w:val="32"/>
          <w:u w:val="none"/>
          <w:lang w:val="en-US" w:eastAsia="zh-CN" w:bidi="ar-SA"/>
        </w:rPr>
        <w:t>个人参保缴费明细表</w:t>
      </w:r>
      <w:r>
        <w:rPr>
          <w:rFonts w:hint="eastAsia" w:ascii="仿宋_GB2312" w:hAnsi="Times New Roman" w:eastAsia="仿宋_GB2312" w:cs="Calibri"/>
          <w:color w:val="auto"/>
          <w:kern w:val="2"/>
          <w:sz w:val="32"/>
          <w:szCs w:val="32"/>
          <w:u w:val="none"/>
          <w:lang w:val="en-US" w:eastAsia="zh-CN" w:bidi="ar-SA"/>
        </w:rPr>
        <w:t>（在深所有社保记录）；</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（三）承诺书；</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（四）其他补充材料。</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kern w:val="0"/>
          <w:sz w:val="32"/>
          <w:szCs w:val="32"/>
          <w:lang w:val="en-US" w:eastAsia="zh-CN" w:bidi="ar-SA"/>
        </w:rPr>
      </w:pPr>
      <w:r>
        <w:rPr>
          <w:rFonts w:hint="eastAsia" w:ascii="CESI楷体-GB2312" w:hAnsi="CESI楷体-GB2312" w:eastAsia="CESI楷体-GB2312" w:cs="CESI楷体-GB2312"/>
          <w:kern w:val="0"/>
          <w:sz w:val="32"/>
          <w:szCs w:val="32"/>
          <w:lang w:val="en-US" w:eastAsia="zh-CN" w:bidi="ar-SA"/>
        </w:rPr>
        <w:t>（所有材料加盖单位公章，彩色扫描上传，无需提交纸质材料）</w:t>
      </w:r>
    </w:p>
    <w:p>
      <w:pPr>
        <w:pStyle w:val="16"/>
        <w:keepNext w:val="0"/>
        <w:keepLines w:val="0"/>
        <w:pageBreakBefore w:val="0"/>
        <w:kinsoku/>
        <w:wordWrap/>
        <w:overflowPunct/>
        <w:topLinePunct w:val="0"/>
        <w:autoSpaceDE/>
        <w:autoSpaceDN/>
        <w:bidi w:val="0"/>
        <w:spacing w:line="560" w:lineRule="exact"/>
        <w:ind w:firstLine="707" w:firstLineChars="221"/>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六、审核流程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w:t>
      </w:r>
      <w:r>
        <w:rPr>
          <w:rFonts w:hint="eastAsia" w:ascii="仿宋_GB2312" w:hAnsi="仿宋_GB2312" w:eastAsia="仿宋_GB2312" w:cs="仿宋_GB2312"/>
          <w:color w:val="auto"/>
          <w:sz w:val="32"/>
          <w:szCs w:val="32"/>
          <w:highlight w:val="none"/>
          <w:lang w:eastAsia="zh-CN"/>
        </w:rPr>
        <w:t>申报实训基地数据申报情况</w:t>
      </w:r>
      <w:r>
        <w:rPr>
          <w:rFonts w:hint="eastAsia" w:ascii="仿宋_GB2312" w:hAnsi="仿宋_GB2312" w:eastAsia="仿宋_GB2312" w:cs="仿宋_GB2312"/>
          <w:color w:val="auto"/>
          <w:sz w:val="32"/>
          <w:szCs w:val="32"/>
          <w:highlight w:val="none"/>
        </w:rPr>
        <w:t>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实际经营</w:t>
      </w:r>
      <w:r>
        <w:rPr>
          <w:rFonts w:hint="eastAsia" w:ascii="仿宋_GB2312" w:hAnsi="仿宋_GB2312" w:eastAsia="仿宋_GB2312" w:cs="仿宋_GB2312"/>
          <w:color w:val="auto"/>
          <w:sz w:val="32"/>
          <w:szCs w:val="32"/>
          <w:highlight w:val="none"/>
        </w:rPr>
        <w:t>、不良信用记录等情况进行核查</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仿宋_GB2312" w:hAnsi="宋体" w:eastAsia="仿宋_GB2312" w:cs="宋体"/>
          <w:color w:val="auto"/>
          <w:kern w:val="0"/>
          <w:sz w:val="32"/>
          <w:szCs w:val="32"/>
          <w:highlight w:val="none"/>
          <w:u w:val="none"/>
          <w:lang w:val="en-US" w:eastAsia="zh-CN" w:bidi="ar-SA"/>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到申报主体单位账户</w:t>
      </w:r>
      <w:r>
        <w:rPr>
          <w:rFonts w:hint="eastAsia" w:ascii="仿宋_GB2312" w:hAnsi="宋体" w:eastAsia="仿宋_GB2312" w:cs="宋体"/>
          <w:color w:val="auto"/>
          <w:kern w:val="0"/>
          <w:sz w:val="32"/>
          <w:szCs w:val="32"/>
          <w:highlight w:val="none"/>
          <w:u w:val="none"/>
          <w:lang w:val="en-US" w:eastAsia="zh-CN" w:bidi="ar-SA"/>
        </w:rPr>
        <w:t>，再由</w:t>
      </w:r>
      <w:r>
        <w:rPr>
          <w:rFonts w:hint="eastAsia" w:ascii="仿宋_GB2312" w:eastAsia="仿宋_GB2312" w:cs="宋体"/>
          <w:color w:val="auto"/>
          <w:kern w:val="0"/>
          <w:sz w:val="32"/>
          <w:szCs w:val="32"/>
          <w:highlight w:val="none"/>
          <w:u w:val="none"/>
          <w:lang w:val="en-US" w:eastAsia="zh-CN" w:bidi="ar-SA"/>
        </w:rPr>
        <w:t>申报主体将资金</w:t>
      </w:r>
      <w:r>
        <w:rPr>
          <w:rFonts w:hint="eastAsia" w:ascii="仿宋_GB2312" w:hAnsi="宋体" w:eastAsia="仿宋_GB2312" w:cs="宋体"/>
          <w:color w:val="auto"/>
          <w:kern w:val="0"/>
          <w:sz w:val="32"/>
          <w:szCs w:val="32"/>
          <w:highlight w:val="none"/>
          <w:u w:val="none"/>
          <w:lang w:val="en-US" w:eastAsia="zh-CN" w:bidi="ar-SA"/>
        </w:rPr>
        <w:t>拨付到</w:t>
      </w:r>
      <w:r>
        <w:rPr>
          <w:rFonts w:hint="eastAsia" w:ascii="仿宋_GB2312" w:eastAsia="仿宋_GB2312" w:cs="宋体"/>
          <w:color w:val="auto"/>
          <w:kern w:val="0"/>
          <w:sz w:val="32"/>
          <w:szCs w:val="32"/>
          <w:highlight w:val="none"/>
          <w:u w:val="none"/>
          <w:lang w:val="en-US" w:eastAsia="zh-CN" w:bidi="ar-SA"/>
        </w:rPr>
        <w:t>申请人</w:t>
      </w:r>
      <w:r>
        <w:rPr>
          <w:rFonts w:hint="eastAsia" w:ascii="仿宋_GB2312" w:hAnsi="宋体" w:eastAsia="仿宋_GB2312" w:cs="宋体"/>
          <w:color w:val="auto"/>
          <w:kern w:val="0"/>
          <w:sz w:val="32"/>
          <w:szCs w:val="32"/>
          <w:highlight w:val="none"/>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七、附则</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highlight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lang w:eastAsia="zh-CN" w:bidi="ar-SA"/>
        </w:rPr>
        <w:t>；</w:t>
      </w:r>
      <w:r>
        <w:rPr>
          <w:rFonts w:hint="eastAsia" w:ascii="仿宋_GB2312" w:hAnsi="宋体" w:eastAsia="仿宋_GB2312" w:cs="宋体"/>
          <w:color w:val="auto"/>
          <w:kern w:val="0"/>
          <w:sz w:val="32"/>
          <w:szCs w:val="32"/>
          <w:highlight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lang w:eastAsia="zh-CN" w:bidi="ar-SA"/>
        </w:rPr>
        <w:t>补贴资金</w:t>
      </w:r>
      <w:r>
        <w:rPr>
          <w:rFonts w:hint="eastAsia" w:ascii="仿宋_GB2312" w:hAnsi="宋体" w:eastAsia="仿宋_GB2312" w:cs="宋体"/>
          <w:color w:val="auto"/>
          <w:kern w:val="0"/>
          <w:sz w:val="32"/>
          <w:szCs w:val="32"/>
          <w:highlight w:val="none"/>
          <w:lang w:val="en-US" w:eastAsia="zh-CN" w:bidi="ar-SA"/>
        </w:rPr>
        <w:t>。</w:t>
      </w:r>
      <w:r>
        <w:rPr>
          <w:rFonts w:hint="default" w:ascii="仿宋_GB2312" w:hAnsi="宋体" w:eastAsia="仿宋_GB2312" w:cs="宋体"/>
          <w:color w:val="auto"/>
          <w:kern w:val="0"/>
          <w:sz w:val="32"/>
          <w:szCs w:val="32"/>
          <w:lang w:val="en-US" w:eastAsia="zh-CN" w:bidi="ar-SA"/>
        </w:rPr>
        <w:t xml:space="preserve">         </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r>
        <w:rPr>
          <w:rFonts w:hint="default" w:ascii="仿宋_GB2312" w:hAnsi="宋体" w:eastAsia="仿宋_GB2312" w:cs="宋体"/>
          <w:color w:val="auto"/>
          <w:kern w:val="0"/>
          <w:sz w:val="32"/>
          <w:szCs w:val="32"/>
          <w:lang w:eastAsia="zh-CN" w:bidi="ar-SA"/>
        </w:rPr>
        <w:t>二</w:t>
      </w:r>
      <w:r>
        <w:rPr>
          <w:rFonts w:hint="eastAsia" w:ascii="仿宋_GB2312" w:hAnsi="宋体" w:eastAsia="仿宋_GB2312" w:cs="宋体"/>
          <w:color w:val="auto"/>
          <w:kern w:val="0"/>
          <w:sz w:val="32"/>
          <w:szCs w:val="32"/>
          <w:lang w:val="en-US" w:eastAsia="zh-CN" w:bidi="ar-SA"/>
        </w:rPr>
        <w:t>）本操作规程由深圳市南山区人力资源局负责解释，自发布之日起实施。</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en-US" w:eastAsia="zh-CN"/>
      </w:rPr>
      <w:t>3</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5AF15"/>
    <w:multiLevelType w:val="singleLevel"/>
    <w:tmpl w:val="BBF5AF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C1D6B85"/>
    <w:rsid w:val="1C3B5CE8"/>
    <w:rsid w:val="1DC93E54"/>
    <w:rsid w:val="1E1177C8"/>
    <w:rsid w:val="1E845724"/>
    <w:rsid w:val="1EA15048"/>
    <w:rsid w:val="1ED67395"/>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3EF6A96"/>
    <w:rsid w:val="34375947"/>
    <w:rsid w:val="367D2D2D"/>
    <w:rsid w:val="38DE1A7D"/>
    <w:rsid w:val="39153324"/>
    <w:rsid w:val="39237C0D"/>
    <w:rsid w:val="3A652D3F"/>
    <w:rsid w:val="3A771B40"/>
    <w:rsid w:val="3B004432"/>
    <w:rsid w:val="3D232419"/>
    <w:rsid w:val="3DF074D2"/>
    <w:rsid w:val="3E246996"/>
    <w:rsid w:val="3F72A500"/>
    <w:rsid w:val="3FAF16E4"/>
    <w:rsid w:val="3FBAEC25"/>
    <w:rsid w:val="3FFA792F"/>
    <w:rsid w:val="3FFB7F49"/>
    <w:rsid w:val="411D5F6E"/>
    <w:rsid w:val="412A2EAC"/>
    <w:rsid w:val="41523417"/>
    <w:rsid w:val="421831B4"/>
    <w:rsid w:val="43A57BB0"/>
    <w:rsid w:val="44FE4775"/>
    <w:rsid w:val="45236B69"/>
    <w:rsid w:val="45DFACD6"/>
    <w:rsid w:val="463001A3"/>
    <w:rsid w:val="46E80157"/>
    <w:rsid w:val="483B7215"/>
    <w:rsid w:val="485A5BD3"/>
    <w:rsid w:val="48C648D1"/>
    <w:rsid w:val="48D524B9"/>
    <w:rsid w:val="4B3922DC"/>
    <w:rsid w:val="4BE67F84"/>
    <w:rsid w:val="4C1579F7"/>
    <w:rsid w:val="4D7E4FA3"/>
    <w:rsid w:val="4DD65C12"/>
    <w:rsid w:val="4E7D2A28"/>
    <w:rsid w:val="4E86488E"/>
    <w:rsid w:val="4FEB2629"/>
    <w:rsid w:val="4FF1208A"/>
    <w:rsid w:val="50E45E8B"/>
    <w:rsid w:val="5191194B"/>
    <w:rsid w:val="527D7D48"/>
    <w:rsid w:val="53833A7F"/>
    <w:rsid w:val="53B129C8"/>
    <w:rsid w:val="544227BA"/>
    <w:rsid w:val="57097EE8"/>
    <w:rsid w:val="57DD4332"/>
    <w:rsid w:val="58C5FCEC"/>
    <w:rsid w:val="5A345056"/>
    <w:rsid w:val="5B6023D9"/>
    <w:rsid w:val="5B646C09"/>
    <w:rsid w:val="5BEE14DC"/>
    <w:rsid w:val="5C8848AC"/>
    <w:rsid w:val="5EDE9402"/>
    <w:rsid w:val="5F162638"/>
    <w:rsid w:val="63950E07"/>
    <w:rsid w:val="6449025C"/>
    <w:rsid w:val="66995DD1"/>
    <w:rsid w:val="67117B78"/>
    <w:rsid w:val="67FFAAE7"/>
    <w:rsid w:val="6991208C"/>
    <w:rsid w:val="6AB26B63"/>
    <w:rsid w:val="6B94227E"/>
    <w:rsid w:val="6BFF1E17"/>
    <w:rsid w:val="6D070D66"/>
    <w:rsid w:val="6D7F28B0"/>
    <w:rsid w:val="6D95E258"/>
    <w:rsid w:val="6DCE3B8F"/>
    <w:rsid w:val="6E3E1DC7"/>
    <w:rsid w:val="6EC10D09"/>
    <w:rsid w:val="6EEFB1A1"/>
    <w:rsid w:val="6FFE2675"/>
    <w:rsid w:val="70497201"/>
    <w:rsid w:val="7309087D"/>
    <w:rsid w:val="7519660F"/>
    <w:rsid w:val="75375335"/>
    <w:rsid w:val="756A281D"/>
    <w:rsid w:val="76393DFA"/>
    <w:rsid w:val="769E535E"/>
    <w:rsid w:val="76E680CA"/>
    <w:rsid w:val="777F64D6"/>
    <w:rsid w:val="77DD2ECF"/>
    <w:rsid w:val="78E911CA"/>
    <w:rsid w:val="78FB5FAF"/>
    <w:rsid w:val="79364ACA"/>
    <w:rsid w:val="79BF5D20"/>
    <w:rsid w:val="79CD6AA4"/>
    <w:rsid w:val="7ADC2A9D"/>
    <w:rsid w:val="7B3F345E"/>
    <w:rsid w:val="7B8FD768"/>
    <w:rsid w:val="7BD40A4E"/>
    <w:rsid w:val="7D60499B"/>
    <w:rsid w:val="7DBE9CAC"/>
    <w:rsid w:val="7DD4397F"/>
    <w:rsid w:val="7E338B4F"/>
    <w:rsid w:val="7E9F94AD"/>
    <w:rsid w:val="7EFB5872"/>
    <w:rsid w:val="7F7B75DA"/>
    <w:rsid w:val="7F7DC2F5"/>
    <w:rsid w:val="7FF33507"/>
    <w:rsid w:val="7FF363FF"/>
    <w:rsid w:val="87FFD24D"/>
    <w:rsid w:val="8A5F12A9"/>
    <w:rsid w:val="977F71E0"/>
    <w:rsid w:val="9DEFCE35"/>
    <w:rsid w:val="A97FDE68"/>
    <w:rsid w:val="B59F03F8"/>
    <w:rsid w:val="B76690B0"/>
    <w:rsid w:val="BDD75BB8"/>
    <w:rsid w:val="BF22F8D3"/>
    <w:rsid w:val="BF7B22E8"/>
    <w:rsid w:val="BF9B219E"/>
    <w:rsid w:val="BFD67B01"/>
    <w:rsid w:val="BFFFF59D"/>
    <w:rsid w:val="CAFDD48C"/>
    <w:rsid w:val="D5F97B60"/>
    <w:rsid w:val="DA779A69"/>
    <w:rsid w:val="DBFEE5BD"/>
    <w:rsid w:val="DDDF0F0A"/>
    <w:rsid w:val="DDFBDEE2"/>
    <w:rsid w:val="DF3ABDC1"/>
    <w:rsid w:val="DFBD6784"/>
    <w:rsid w:val="DFEF8760"/>
    <w:rsid w:val="ECE7975C"/>
    <w:rsid w:val="EFFD86B1"/>
    <w:rsid w:val="EFFEBF9A"/>
    <w:rsid w:val="EFFEE2CC"/>
    <w:rsid w:val="F17E6180"/>
    <w:rsid w:val="F2677539"/>
    <w:rsid w:val="F5FE0A40"/>
    <w:rsid w:val="F6768349"/>
    <w:rsid w:val="F6BAB2D1"/>
    <w:rsid w:val="F6F94079"/>
    <w:rsid w:val="F7AE4172"/>
    <w:rsid w:val="F95D01FE"/>
    <w:rsid w:val="FB57046C"/>
    <w:rsid w:val="FBF535D6"/>
    <w:rsid w:val="FBFFD5F0"/>
    <w:rsid w:val="FDFDE8D0"/>
    <w:rsid w:val="FEBD0925"/>
    <w:rsid w:val="FF1FAE46"/>
    <w:rsid w:val="FFCDCEAB"/>
    <w:rsid w:val="FFFD88A9"/>
    <w:rsid w:val="FFFF5B11"/>
    <w:rsid w:val="FFFFB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footer"/>
    <w:basedOn w:val="1"/>
    <w:link w:val="11"/>
    <w:qFormat/>
    <w:uiPriority w:val="0"/>
    <w:pPr>
      <w:tabs>
        <w:tab w:val="center" w:pos="4153"/>
        <w:tab w:val="right" w:pos="8306"/>
      </w:tabs>
    </w:pPr>
    <w:rPr>
      <w:sz w:val="18"/>
      <w:szCs w:val="18"/>
    </w:rPr>
  </w:style>
  <w:style w:type="paragraph" w:styleId="6">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customStyle="1" w:styleId="10">
    <w:name w:val="页眉 Char"/>
    <w:basedOn w:val="9"/>
    <w:link w:val="6"/>
    <w:qFormat/>
    <w:uiPriority w:val="99"/>
    <w:rPr>
      <w:rFonts w:ascii="Tahoma" w:hAnsi="Tahoma"/>
      <w:sz w:val="18"/>
      <w:szCs w:val="18"/>
    </w:rPr>
  </w:style>
  <w:style w:type="character" w:customStyle="1" w:styleId="11">
    <w:name w:val="页脚 Char"/>
    <w:basedOn w:val="9"/>
    <w:link w:val="5"/>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7"/>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en-US"/>
    </w:rPr>
  </w:style>
  <w:style w:type="paragraph" w:customStyle="1" w:styleId="1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8">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12</TotalTime>
  <ScaleCrop>false</ScaleCrop>
  <LinksUpToDate>false</LinksUpToDate>
  <CharactersWithSpaces>1167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2022-04-01T18:13:00Z</dcterms:created>
  <dc:creator>Administrator</dc:creator>
  <cp:lastModifiedBy>宋琼</cp:lastModifiedBy>
  <cp:lastPrinted>2025-01-16T23:06:00Z</cp:lastPrinted>
  <dcterms:modified xsi:type="dcterms:W3CDTF">2025-01-17T14:33:30Z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581b4e1e75d74d3881f4c3d05e82f440</vt:lpwstr>
  </property>
</Properties>
</file>