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bookmarkStart w:id="0" w:name="_GoBack"/>
      <w:bookmarkEnd w:id="0"/>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南山区促进产业高质量发展专项资金——</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区工业化信息化局分项资金智能制造能力成熟度等级</w:t>
      </w:r>
      <w:r>
        <w:rPr>
          <w:rFonts w:hint="eastAsia" w:ascii="方正小标宋_GBK" w:hAnsi="方正小标宋_GBK" w:eastAsia="方正小标宋_GBK" w:cs="方正小标宋_GBK"/>
          <w:sz w:val="44"/>
          <w:szCs w:val="44"/>
          <w:lang w:eastAsia="zh-CN"/>
        </w:rPr>
        <w:t>认定</w:t>
      </w:r>
      <w:r>
        <w:rPr>
          <w:rFonts w:hint="eastAsia" w:ascii="方正小标宋_GBK" w:hAnsi="方正小标宋_GBK" w:eastAsia="方正小标宋_GBK" w:cs="方正小标宋_GBK"/>
          <w:sz w:val="44"/>
          <w:szCs w:val="44"/>
        </w:rPr>
        <w:t>操作规程</w:t>
      </w:r>
    </w:p>
    <w:p>
      <w:pPr>
        <w:pStyle w:val="2"/>
        <w:ind w:firstLine="0" w:firstLineChars="0"/>
        <w:jc w:val="center"/>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2024年度</w:t>
      </w:r>
      <w:r>
        <w:rPr>
          <w:rFonts w:hint="eastAsia" w:ascii="楷体_GB2312" w:hAnsi="楷体_GB2312" w:eastAsia="楷体_GB2312" w:cs="楷体_GB2312"/>
          <w:sz w:val="36"/>
          <w:szCs w:val="36"/>
          <w:lang w:eastAsia="zh-CN"/>
        </w:rPr>
        <w:t>）</w:t>
      </w:r>
    </w:p>
    <w:p>
      <w:pPr>
        <w:spacing w:line="560" w:lineRule="exact"/>
        <w:rPr>
          <w:rFonts w:hint="eastAsia"/>
        </w:rPr>
      </w:pPr>
    </w:p>
    <w:p>
      <w:pPr>
        <w:spacing w:line="560" w:lineRule="exact"/>
        <w:ind w:firstLine="640" w:firstLineChars="200"/>
        <w:rPr>
          <w:rFonts w:hint="eastAsia"/>
        </w:rPr>
      </w:pPr>
      <w:r>
        <w:rPr>
          <w:rFonts w:hint="eastAsia" w:ascii="方正黑体_GBK" w:hAnsi="方正黑体_GBK" w:eastAsia="方正黑体_GBK" w:cs="方正黑体_GBK"/>
          <w:sz w:val="32"/>
          <w:szCs w:val="32"/>
        </w:rPr>
        <w:t>一、政策内容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lang w:eastAsia="zh-CN"/>
        </w:rPr>
      </w:pPr>
      <w:r>
        <w:rPr>
          <w:rFonts w:hint="eastAsia" w:ascii="仿宋_GB2312" w:hAnsi="仿宋" w:eastAsia="仿宋_GB2312" w:cs="Times New Roman"/>
          <w:color w:val="auto"/>
          <w:kern w:val="0"/>
          <w:sz w:val="32"/>
          <w:szCs w:val="32"/>
          <w:highlight w:val="none"/>
          <w:lang w:eastAsia="zh-CN" w:bidi="en-US"/>
        </w:rPr>
        <w:t>对通过国家智能制造成熟度等级认定达到五级(引领级)、四级(优化级)、三级(集成级)的规上工业企业，分别给予 50万元、30 万元、15 万元一次性奖励。对获得奖励后获得更高级别认定的，可按新认定级别再次申请奖励。</w:t>
      </w:r>
    </w:p>
    <w:p>
      <w:pPr>
        <w:numPr>
          <w:ilvl w:val="0"/>
          <w:numId w:val="0"/>
        </w:numPr>
        <w:spacing w:line="56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二、资助标准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s="Times New Roman"/>
          <w:color w:val="auto"/>
          <w:kern w:val="0"/>
          <w:sz w:val="32"/>
          <w:szCs w:val="32"/>
          <w:highlight w:val="none"/>
          <w:lang w:eastAsia="zh-CN" w:bidi="en-US"/>
        </w:rPr>
      </w:pPr>
      <w:r>
        <w:rPr>
          <w:rFonts w:hint="eastAsia" w:ascii="仿宋_GB2312" w:hAnsi="仿宋" w:eastAsia="仿宋_GB2312" w:cs="Times New Roman"/>
          <w:color w:val="auto"/>
          <w:kern w:val="0"/>
          <w:sz w:val="32"/>
          <w:szCs w:val="32"/>
          <w:highlight w:val="none"/>
          <w:lang w:eastAsia="zh-CN" w:bidi="en-US"/>
        </w:rPr>
        <w:t>（一）对 2023年度通过智能制造能力成熟度评估，达到国家标准GB/T 39116-2020《智能制造能力成熟度模型》五级(引领级)、四级(优化级)、三级(集成级)的规上工业企业，分别给予50 万元、30 万元、15 万元一次性奖励，企业申报须取得相应智能制造能力成熟度标准符合性证书，且在国家智能制造评估评价公共服务平台（http://c3mep.cn）查询有效，认定时间以证书时间为准。</w:t>
      </w:r>
    </w:p>
    <w:p>
      <w:pPr>
        <w:keepNext w:val="0"/>
        <w:keepLines w:val="0"/>
        <w:widowControl w:val="0"/>
        <w:suppressLineNumbers w:val="0"/>
        <w:spacing w:before="0" w:beforeAutospacing="0" w:after="0" w:afterAutospacing="0" w:line="560" w:lineRule="exact"/>
        <w:ind w:left="0" w:right="0" w:firstLine="640" w:firstLineChars="200"/>
        <w:jc w:val="left"/>
        <w:rPr>
          <w:rFonts w:hint="default" w:ascii="仿宋_GB2312" w:eastAsia="仿宋_GB2312" w:cs="仿宋_GB2312"/>
          <w:bCs/>
          <w:kern w:val="2"/>
          <w:sz w:val="32"/>
          <w:szCs w:val="32"/>
        </w:rPr>
      </w:pPr>
      <w:r>
        <w:rPr>
          <w:rFonts w:hint="default" w:ascii="仿宋_GB2312" w:hAnsi="Times New Roman" w:eastAsia="仿宋_GB2312" w:cs="仿宋_GB2312"/>
          <w:bCs/>
          <w:kern w:val="2"/>
          <w:sz w:val="32"/>
          <w:szCs w:val="32"/>
          <w:lang w:val="en-US" w:eastAsia="zh-CN" w:bidi="ar"/>
        </w:rPr>
        <w:t>（二）同一申报主体按照从高不重复原则予以支持。</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三、设定依据</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1.《南山区促进产业高质量发展专项资金管理办法》；</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eastAsia"/>
          <w:lang w:eastAsia="zh-CN"/>
        </w:rPr>
      </w:pPr>
      <w:r>
        <w:rPr>
          <w:rFonts w:hint="eastAsia" w:ascii="仿宋_GB2312" w:eastAsia="仿宋_GB2312"/>
          <w:color w:val="auto"/>
          <w:sz w:val="32"/>
          <w:szCs w:val="32"/>
          <w:highlight w:val="none"/>
          <w:lang w:eastAsia="zh-CN"/>
        </w:rPr>
        <w:t>2.《南山区促进高端制造业发展专项扶持措施》。</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四、申报对象和条件</w:t>
      </w:r>
    </w:p>
    <w:p>
      <w:pPr>
        <w:pageBreakBefore w:val="0"/>
        <w:widowControl/>
        <w:kinsoku/>
        <w:wordWrap/>
        <w:overflowPunct/>
        <w:topLinePunct w:val="0"/>
        <w:autoSpaceDE/>
        <w:autoSpaceDN/>
        <w:bidi w:val="0"/>
        <w:spacing w:line="560" w:lineRule="exact"/>
        <w:ind w:firstLine="537" w:firstLineChars="168"/>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lang w:eastAsia="zh-CN"/>
        </w:rPr>
        <w:t>（一）</w:t>
      </w:r>
      <w:r>
        <w:rPr>
          <w:rFonts w:hint="eastAsia" w:ascii="楷体_GB2312" w:hAnsi="楷体_GB2312" w:eastAsia="楷体_GB2312" w:cs="楷体_GB2312"/>
          <w:bCs/>
          <w:color w:val="000000"/>
          <w:sz w:val="32"/>
          <w:szCs w:val="32"/>
        </w:rPr>
        <w:t>申请本项资金资助的机构应符合以下基本条件：</w:t>
      </w:r>
    </w:p>
    <w:p>
      <w:pPr>
        <w:pageBreakBefore w:val="0"/>
        <w:widowControl/>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default" w:ascii="仿宋_GB2312" w:eastAsia="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南山区规上工业企业</w:t>
      </w:r>
      <w:r>
        <w:rPr>
          <w:rFonts w:hint="eastAsia" w:ascii="仿宋_GB2312" w:eastAsia="仿宋_GB2312"/>
          <w:sz w:val="32"/>
          <w:szCs w:val="32"/>
          <w:lang w:eastAsia="zh-CN"/>
        </w:rPr>
        <w:t>（</w:t>
      </w:r>
      <w:r>
        <w:rPr>
          <w:rFonts w:hint="eastAsia" w:ascii="仿宋_GB2312" w:eastAsia="仿宋_GB2312"/>
          <w:color w:val="000000"/>
          <w:sz w:val="32"/>
          <w:szCs w:val="32"/>
          <w:lang w:eastAsia="zh-CN"/>
        </w:rPr>
        <w:t>市内跨区域分成企业有部分产值纳入统计的，视为符合此条件</w:t>
      </w:r>
      <w:r>
        <w:rPr>
          <w:rFonts w:hint="eastAsia" w:ascii="仿宋_GB2312" w:eastAsia="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sz w:val="32"/>
          <w:szCs w:val="32"/>
        </w:rPr>
        <w:t>履行统计数据申报义务、</w:t>
      </w:r>
      <w:r>
        <w:rPr>
          <w:rFonts w:hint="eastAsia" w:ascii="仿宋_GB2312" w:hAnsi="仿宋_GB2312" w:eastAsia="仿宋_GB2312" w:cs="仿宋_GB2312"/>
          <w:color w:val="000000"/>
          <w:sz w:val="32"/>
          <w:szCs w:val="32"/>
        </w:rPr>
        <w:t>守法经营、诚实守信、有规范的财务管理制度</w:t>
      </w:r>
      <w:r>
        <w:rPr>
          <w:rFonts w:hint="eastAsia" w:ascii="仿宋_GB2312" w:hAnsi="仿宋_GB2312" w:eastAsia="仿宋_GB2312" w:cs="仿宋_GB2312"/>
          <w:color w:val="000000"/>
          <w:sz w:val="32"/>
          <w:szCs w:val="32"/>
          <w:lang w:eastAsia="zh-CN"/>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应积极配合区委、区政府相关工作。</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.企业获得国家标准GB/T 39116-2020《智能制造能力成熟度模型》三级及以上认定，且申报时证书处于有效期内。</w:t>
      </w:r>
    </w:p>
    <w:p>
      <w:pPr>
        <w:pStyle w:val="2"/>
        <w:keepNext w:val="0"/>
        <w:keepLines w:val="0"/>
        <w:pageBreakBefore w:val="0"/>
        <w:kinsoku/>
        <w:wordWrap/>
        <w:overflowPunct/>
        <w:topLinePunct w:val="0"/>
        <w:autoSpaceDE/>
        <w:autoSpaceDN/>
        <w:bidi w:val="0"/>
        <w:spacing w:after="0"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（二）有下列情况之一的，本</w:t>
      </w:r>
      <w:r>
        <w:rPr>
          <w:rFonts w:hint="eastAsia" w:ascii="楷体_GB2312" w:hAnsi="楷体_GB2312" w:eastAsia="楷体_GB2312" w:cs="楷体_GB2312"/>
          <w:sz w:val="32"/>
          <w:szCs w:val="32"/>
          <w:highlight w:val="none"/>
          <w:lang w:eastAsia="zh-CN"/>
        </w:rPr>
        <w:t>项目</w:t>
      </w:r>
      <w:r>
        <w:rPr>
          <w:rFonts w:hint="eastAsia" w:ascii="楷体_GB2312" w:hAnsi="楷体_GB2312" w:eastAsia="楷体_GB2312" w:cs="楷体_GB2312"/>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1.被依法依规纳入严重失信主体名单或失信惩戒措施清单的</w:t>
      </w:r>
      <w:r>
        <w:rPr>
          <w:rFonts w:hint="eastAsia" w:ascii="仿宋_GB2312" w:hAnsi="宋体" w:eastAsia="仿宋_GB2312"/>
          <w:sz w:val="32"/>
          <w:szCs w:val="32"/>
          <w:highlight w:val="none"/>
          <w:lang w:eastAsia="zh-CN"/>
        </w:rPr>
        <w:t>；</w:t>
      </w:r>
    </w:p>
    <w:p>
      <w:pPr>
        <w:pageBreakBefore w:val="0"/>
        <w:kinsoku/>
        <w:wordWrap/>
        <w:overflowPunct/>
        <w:topLinePunct w:val="0"/>
        <w:autoSpaceDE/>
        <w:autoSpaceDN/>
        <w:bidi w:val="0"/>
        <w:adjustRightInd w:val="0"/>
        <w:snapToGrid w:val="0"/>
        <w:spacing w:line="560" w:lineRule="exact"/>
        <w:ind w:firstLine="640" w:firstLineChars="200"/>
        <w:outlineLvl w:val="9"/>
        <w:rPr>
          <w:rFonts w:ascii="Times New Roman" w:hAnsi="Times New Roman" w:eastAsia="仿宋_GB2312" w:cs="Times New Roman"/>
          <w:sz w:val="32"/>
          <w:szCs w:val="32"/>
        </w:rPr>
      </w:pPr>
      <w:r>
        <w:rPr>
          <w:rFonts w:hint="eastAsia" w:ascii="仿宋_GB2312" w:hAnsi="宋体" w:eastAsia="仿宋_GB2312"/>
          <w:sz w:val="32"/>
          <w:szCs w:val="32"/>
          <w:highlight w:val="none"/>
          <w:lang w:val="en-US" w:eastAsia="zh-CN"/>
        </w:rPr>
        <w:t>2.提出资助申请后，申报主体在地统计关系发生变化，不再符合申报条件的。</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五、资助方式</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仿宋_GB2312" w:eastAsia="仿宋_GB2312"/>
          <w:color w:val="auto"/>
          <w:sz w:val="32"/>
          <w:szCs w:val="32"/>
          <w:highlight w:val="none"/>
          <w:lang w:eastAsia="zh-CN"/>
        </w:rPr>
        <w:t>本项资助属于核准类项目，金额受年度预算总额控制。资助资金的安排使用坚持公平、公开、公正的原则，实行自愿申报、科学决策和绩效评估的管理制度，采取无偿资助方式和事后补贴制，受资助项目无需验收。</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0"/>
        <w:rPr>
          <w:lang w:eastAsia="zh-CN"/>
        </w:rPr>
      </w:pPr>
      <w:r>
        <w:rPr>
          <w:rFonts w:hint="eastAsia" w:ascii="黑体" w:hAnsi="黑体" w:eastAsia="黑体" w:cs="黑体"/>
          <w:bCs/>
          <w:color w:val="auto"/>
          <w:kern w:val="2"/>
          <w:sz w:val="32"/>
          <w:szCs w:val="32"/>
          <w:highlight w:val="none"/>
          <w:lang w:eastAsia="zh-CN" w:bidi="ar-SA"/>
        </w:rPr>
        <w:t>六、办理流程</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（一）申报</w:t>
      </w:r>
      <w:r>
        <w:rPr>
          <w:rFonts w:hint="eastAsia" w:ascii="仿宋_GB2312" w:hAnsi="仿宋_GB2312" w:eastAsia="仿宋_GB2312" w:cs="仿宋_GB2312"/>
          <w:color w:val="auto"/>
          <w:sz w:val="32"/>
          <w:szCs w:val="32"/>
          <w:highlight w:val="none"/>
          <w:lang w:eastAsia="zh-CN"/>
        </w:rPr>
        <w:t>主体</w:t>
      </w:r>
      <w:r>
        <w:rPr>
          <w:rFonts w:hint="eastAsia" w:ascii="仿宋_GB2312" w:eastAsia="仿宋_GB2312"/>
          <w:color w:val="auto"/>
          <w:sz w:val="32"/>
          <w:szCs w:val="32"/>
          <w:highlight w:val="none"/>
          <w:lang w:eastAsia="zh-CN"/>
        </w:rPr>
        <w:t>登陆</w:t>
      </w:r>
      <w:r>
        <w:rPr>
          <w:rFonts w:ascii="仿宋_GB2312" w:eastAsia="仿宋_GB2312"/>
          <w:color w:val="auto"/>
          <w:sz w:val="32"/>
          <w:szCs w:val="32"/>
          <w:highlight w:val="none"/>
          <w:lang w:eastAsia="zh-CN"/>
        </w:rPr>
        <w:t>“</w:t>
      </w:r>
      <w:r>
        <w:rPr>
          <w:rFonts w:hint="eastAsia" w:ascii="仿宋_GB2312" w:eastAsia="仿宋_GB2312"/>
          <w:color w:val="auto"/>
          <w:sz w:val="32"/>
          <w:szCs w:val="32"/>
          <w:highlight w:val="none"/>
          <w:lang w:eastAsia="zh-CN"/>
        </w:rPr>
        <w:t>i南山企业服务综合平台</w:t>
      </w:r>
      <w:r>
        <w:rPr>
          <w:rFonts w:ascii="仿宋_GB2312" w:eastAsia="仿宋_GB2312"/>
          <w:color w:val="auto"/>
          <w:sz w:val="32"/>
          <w:szCs w:val="32"/>
          <w:highlight w:val="none"/>
          <w:lang w:eastAsia="zh-CN"/>
        </w:rPr>
        <w:t>”</w:t>
      </w:r>
      <w:r>
        <w:rPr>
          <w:rFonts w:hint="eastAsia" w:ascii="仿宋_GB2312" w:eastAsia="仿宋_GB2312"/>
          <w:color w:val="auto"/>
          <w:sz w:val="32"/>
          <w:szCs w:val="32"/>
          <w:highlight w:val="none"/>
          <w:lang w:eastAsia="zh-CN"/>
        </w:rPr>
        <w:t>（</w:t>
      </w:r>
      <w:r>
        <w:rPr>
          <w:rFonts w:hint="eastAsia" w:ascii="仿宋_GB2312" w:eastAsia="仿宋_GB2312"/>
          <w:color w:val="auto"/>
          <w:kern w:val="2"/>
          <w:sz w:val="32"/>
          <w:szCs w:val="32"/>
          <w:highlight w:val="none"/>
        </w:rPr>
        <w:t>https://www.inanshan.org.cn/</w:t>
      </w:r>
      <w:r>
        <w:rPr>
          <w:rFonts w:hint="eastAsia" w:ascii="仿宋_GB2312" w:eastAsia="仿宋_GB2312"/>
          <w:color w:val="auto"/>
          <w:sz w:val="32"/>
          <w:szCs w:val="32"/>
          <w:highlight w:val="none"/>
          <w:lang w:eastAsia="zh-CN"/>
        </w:rPr>
        <w:t>），网上提交项目申报材料；</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（二）区企业发展服务中心受理</w:t>
      </w:r>
      <w:r>
        <w:rPr>
          <w:rFonts w:hint="eastAsia" w:ascii="仿宋_GB2312" w:eastAsia="仿宋_GB2312"/>
          <w:color w:val="auto"/>
          <w:kern w:val="2"/>
          <w:sz w:val="32"/>
          <w:szCs w:val="32"/>
          <w:highlight w:val="none"/>
          <w:lang w:eastAsia="zh-CN"/>
        </w:rPr>
        <w:t>申请，对申报材料进行形式性审核</w:t>
      </w:r>
      <w:r>
        <w:rPr>
          <w:rFonts w:hint="eastAsia" w:ascii="仿宋_GB2312" w:eastAsia="仿宋_GB2312"/>
          <w:color w:val="auto"/>
          <w:sz w:val="32"/>
          <w:szCs w:val="32"/>
          <w:highlight w:val="none"/>
          <w:lang w:eastAsia="zh-CN"/>
        </w:rPr>
        <w:t>，区工业化信息化局复审项目申报材料；</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（三）区工业化信息化局拟定资助计划；</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（四）</w:t>
      </w:r>
      <w:r>
        <w:rPr>
          <w:rFonts w:ascii="仿宋_GB2312" w:eastAsia="仿宋_GB2312"/>
          <w:color w:val="auto"/>
          <w:sz w:val="32"/>
          <w:szCs w:val="32"/>
          <w:highlight w:val="none"/>
          <w:lang w:eastAsia="zh-CN"/>
        </w:rPr>
        <w:t>区企业发展服务中心组织对申报</w:t>
      </w:r>
      <w:r>
        <w:rPr>
          <w:rFonts w:hint="eastAsia" w:ascii="仿宋_GB2312" w:eastAsia="仿宋_GB2312"/>
          <w:color w:val="auto"/>
          <w:sz w:val="32"/>
          <w:szCs w:val="32"/>
          <w:highlight w:val="none"/>
          <w:lang w:eastAsia="zh-CN"/>
        </w:rPr>
        <w:t>主体</w:t>
      </w:r>
      <w:r>
        <w:rPr>
          <w:rFonts w:ascii="仿宋_GB2312" w:eastAsia="仿宋_GB2312"/>
          <w:color w:val="auto"/>
          <w:sz w:val="32"/>
          <w:szCs w:val="32"/>
          <w:highlight w:val="none"/>
          <w:lang w:eastAsia="zh-CN"/>
        </w:rPr>
        <w:t>的不良信用记录等情况进行核查</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textAlignment w:val="auto"/>
        <w:rPr>
          <w:rFonts w:ascii="仿宋_GB2312" w:eastAsia="仿宋_GB2312"/>
          <w:color w:val="auto"/>
          <w:sz w:val="32"/>
          <w:szCs w:val="32"/>
          <w:highlight w:val="none"/>
          <w:lang w:eastAsia="zh-Hans"/>
        </w:rPr>
      </w:pPr>
      <w:r>
        <w:rPr>
          <w:rFonts w:hint="eastAsia" w:ascii="仿宋_GB2312" w:eastAsia="仿宋_GB2312"/>
          <w:color w:val="auto"/>
          <w:sz w:val="32"/>
          <w:szCs w:val="32"/>
          <w:highlight w:val="none"/>
          <w:lang w:eastAsia="zh-Hans"/>
        </w:rPr>
        <w:t>（</w:t>
      </w:r>
      <w:r>
        <w:rPr>
          <w:rFonts w:hint="eastAsia" w:ascii="仿宋_GB2312" w:eastAsia="仿宋_GB2312"/>
          <w:color w:val="auto"/>
          <w:sz w:val="32"/>
          <w:szCs w:val="32"/>
          <w:highlight w:val="none"/>
          <w:lang w:eastAsia="zh-CN"/>
        </w:rPr>
        <w:t>五</w:t>
      </w:r>
      <w:r>
        <w:rPr>
          <w:rFonts w:hint="eastAsia" w:ascii="仿宋_GB2312" w:eastAsia="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CN"/>
        </w:rPr>
        <w:t>区企业</w:t>
      </w:r>
      <w:r>
        <w:rPr>
          <w:rFonts w:hint="eastAsia" w:ascii="仿宋_GB2312" w:eastAsia="仿宋_GB2312"/>
          <w:color w:val="auto"/>
          <w:sz w:val="32"/>
          <w:szCs w:val="32"/>
          <w:highlight w:val="none"/>
          <w:lang w:eastAsia="zh-CN"/>
        </w:rPr>
        <w:t>发展</w:t>
      </w:r>
      <w:r>
        <w:rPr>
          <w:rFonts w:hint="eastAsia" w:ascii="仿宋_GB2312" w:hAnsi="仿宋_GB2312" w:eastAsia="仿宋_GB2312" w:cs="仿宋_GB2312"/>
          <w:color w:val="auto"/>
          <w:sz w:val="32"/>
          <w:szCs w:val="32"/>
          <w:highlight w:val="none"/>
          <w:lang w:eastAsia="zh-CN"/>
        </w:rPr>
        <w:t>服务中心将拟资助项目向社会公示5个工作日，</w:t>
      </w:r>
      <w:r>
        <w:rPr>
          <w:rFonts w:hint="eastAsia" w:ascii="仿宋_GB2312" w:hAnsi="宋体" w:eastAsia="仿宋_GB2312"/>
          <w:color w:val="auto"/>
          <w:sz w:val="32"/>
          <w:szCs w:val="32"/>
          <w:highlight w:val="none"/>
          <w:lang w:eastAsia="zh-CN"/>
        </w:rPr>
        <w:t>对公示期满，无有效投诉的项目资助计划，由</w:t>
      </w:r>
      <w:r>
        <w:rPr>
          <w:rFonts w:hint="eastAsia" w:ascii="仿宋_GB2312" w:eastAsia="仿宋_GB2312"/>
          <w:color w:val="auto"/>
          <w:sz w:val="32"/>
          <w:szCs w:val="32"/>
          <w:highlight w:val="none"/>
          <w:lang w:eastAsia="zh-CN"/>
        </w:rPr>
        <w:t>区工业化信息化局</w:t>
      </w:r>
      <w:r>
        <w:rPr>
          <w:rFonts w:hint="eastAsia" w:ascii="仿宋_GB2312" w:hAnsi="宋体" w:eastAsia="仿宋_GB2312"/>
          <w:color w:val="auto"/>
          <w:sz w:val="32"/>
          <w:szCs w:val="32"/>
          <w:highlight w:val="none"/>
          <w:lang w:eastAsia="zh-CN"/>
        </w:rPr>
        <w:t>提交领导小组会议进行审议</w:t>
      </w:r>
      <w:r>
        <w:rPr>
          <w:rFonts w:hint="eastAsia" w:ascii="仿宋_GB2312" w:eastAsia="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eastAsia="仿宋_GB2312"/>
          <w:color w:val="auto"/>
          <w:sz w:val="32"/>
          <w:szCs w:val="32"/>
          <w:highlight w:val="none"/>
          <w:lang w:eastAsia="zh-CN"/>
        </w:rPr>
        <w:t>（六）经审议后，由区工业化信息化局直接行文下达资金计划；</w:t>
      </w:r>
    </w:p>
    <w:p>
      <w:pPr>
        <w:keepNext w:val="0"/>
        <w:keepLines w:val="0"/>
        <w:pageBreakBefore w:val="0"/>
        <w:kinsoku/>
        <w:wordWrap/>
        <w:overflowPunct/>
        <w:topLinePunct w:val="0"/>
        <w:autoSpaceDE/>
        <w:autoSpaceDN/>
        <w:bidi w:val="0"/>
        <w:spacing w:after="0" w:line="560" w:lineRule="exact"/>
        <w:ind w:firstLine="627" w:firstLineChars="196"/>
        <w:contextualSpacing/>
        <w:jc w:val="both"/>
        <w:textAlignment w:val="auto"/>
        <w:rPr>
          <w:rFonts w:ascii="仿宋_GB2312"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（七）区财政部门及时安排资金，</w:t>
      </w:r>
      <w:r>
        <w:rPr>
          <w:rFonts w:hint="eastAsia" w:ascii="仿宋_GB2312" w:eastAsia="仿宋_GB2312"/>
          <w:color w:val="auto"/>
          <w:sz w:val="32"/>
          <w:szCs w:val="32"/>
          <w:highlight w:val="none"/>
          <w:lang w:eastAsia="zh-CN"/>
        </w:rPr>
        <w:t>区工业化信息化局</w:t>
      </w:r>
      <w:r>
        <w:rPr>
          <w:rFonts w:hint="eastAsia" w:ascii="仿宋_GB2312" w:hAnsi="宋体" w:eastAsia="仿宋_GB2312"/>
          <w:color w:val="auto"/>
          <w:sz w:val="32"/>
          <w:szCs w:val="32"/>
          <w:highlight w:val="none"/>
          <w:lang w:eastAsia="zh-CN"/>
        </w:rPr>
        <w:t>办理资金拨付手续</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七、所需材料</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一）《南山区促进产业高质量发展专项资金——区工业化信息化局分项资金智能制造能力成熟度等级认定项目申请书》（登录i南山企业服务综合平台https://www.inanshan.org.cn/在线填写，法定代表人签字并加盖单位公章后，原件彩色扫描成PDF文件上传）；</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color w:val="auto"/>
          <w:highlight w:val="none"/>
        </w:rPr>
      </w:pPr>
      <w:r>
        <w:rPr>
          <w:rFonts w:hint="eastAsia"/>
          <w:color w:val="auto"/>
          <w:highlight w:val="none"/>
        </w:rPr>
        <w:t>（二）</w:t>
      </w:r>
      <w:r>
        <w:rPr>
          <w:rFonts w:hint="eastAsia" w:ascii="仿宋_GB2312" w:hAnsi="ˎ̥" w:cs="宋体"/>
          <w:color w:val="auto"/>
          <w:szCs w:val="32"/>
          <w:highlight w:val="none"/>
        </w:rPr>
        <w:t>智能制造能力成熟度认证证书（</w:t>
      </w:r>
      <w:r>
        <w:rPr>
          <w:rFonts w:hint="eastAsia" w:ascii="仿宋_GB2312"/>
          <w:color w:val="auto"/>
          <w:szCs w:val="32"/>
          <w:highlight w:val="none"/>
        </w:rPr>
        <w:t>原件彩色扫描成PDF文件上传）；</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hAnsi="宋体" w:eastAsia="仿宋_GB2312" w:cs="宋体"/>
          <w:color w:val="auto"/>
          <w:sz w:val="32"/>
          <w:szCs w:val="32"/>
          <w:highlight w:val="none"/>
          <w:lang w:eastAsia="zh-CN"/>
        </w:rPr>
        <w:t>（三）</w:t>
      </w:r>
      <w:r>
        <w:rPr>
          <w:rFonts w:hint="eastAsia" w:ascii="仿宋_GB2312" w:hAnsi="仿宋" w:eastAsia="仿宋_GB2312"/>
          <w:color w:val="auto"/>
          <w:sz w:val="32"/>
          <w:szCs w:val="32"/>
          <w:highlight w:val="none"/>
          <w:lang w:eastAsia="zh-CN"/>
        </w:rPr>
        <w:t>统一社会信用代码证书</w:t>
      </w:r>
      <w:r>
        <w:rPr>
          <w:rFonts w:hint="eastAsia" w:ascii="仿宋_GB2312" w:eastAsia="仿宋_GB2312"/>
          <w:color w:val="auto"/>
          <w:sz w:val="32"/>
          <w:szCs w:val="32"/>
          <w:highlight w:val="none"/>
          <w:lang w:eastAsia="zh-CN"/>
        </w:rPr>
        <w:t>（原件彩色扫描成PDF文件上传）；</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color w:val="auto"/>
          <w:sz w:val="32"/>
          <w:szCs w:val="32"/>
          <w:highlight w:val="none"/>
          <w:lang w:eastAsia="zh-CN"/>
        </w:rPr>
      </w:pPr>
      <w:r>
        <w:rPr>
          <w:rFonts w:hint="eastAsia" w:ascii="仿宋_GB2312" w:hAnsi="宋体" w:eastAsia="仿宋_GB2312" w:cs="宋体"/>
          <w:color w:val="auto"/>
          <w:sz w:val="32"/>
          <w:szCs w:val="32"/>
          <w:highlight w:val="none"/>
          <w:lang w:eastAsia="zh-CN"/>
        </w:rPr>
        <w:t>（四）法定代表人身份证[原件（或复印件加盖单位公章）彩色扫描</w:t>
      </w:r>
      <w:r>
        <w:rPr>
          <w:rFonts w:hint="eastAsia" w:ascii="仿宋_GB2312" w:eastAsia="仿宋_GB2312"/>
          <w:color w:val="auto"/>
          <w:sz w:val="32"/>
          <w:szCs w:val="32"/>
          <w:highlight w:val="none"/>
          <w:lang w:eastAsia="zh-CN"/>
        </w:rPr>
        <w:t>成PDF文件</w:t>
      </w:r>
      <w:r>
        <w:rPr>
          <w:rFonts w:hint="eastAsia" w:ascii="仿宋_GB2312" w:hAnsi="宋体" w:eastAsia="仿宋_GB2312" w:cs="宋体"/>
          <w:color w:val="auto"/>
          <w:sz w:val="32"/>
          <w:szCs w:val="32"/>
          <w:highlight w:val="none"/>
          <w:lang w:eastAsia="zh-CN"/>
        </w:rPr>
        <w:t>上传]</w:t>
      </w:r>
      <w:r>
        <w:rPr>
          <w:rFonts w:hint="eastAsia" w:ascii="仿宋_GB2312" w:eastAsia="仿宋_GB2312"/>
          <w:color w:val="auto"/>
          <w:sz w:val="32"/>
          <w:szCs w:val="32"/>
          <w:highlight w:val="none"/>
          <w:lang w:eastAsia="zh-CN"/>
        </w:rPr>
        <w:t>；</w:t>
      </w:r>
    </w:p>
    <w:p>
      <w:pPr>
        <w:pStyle w:val="2"/>
        <w:keepNext w:val="0"/>
        <w:keepLines w:val="0"/>
        <w:pageBreakBefore w:val="0"/>
        <w:kinsoku/>
        <w:wordWrap/>
        <w:overflowPunct/>
        <w:topLinePunct w:val="0"/>
        <w:autoSpaceDE/>
        <w:autoSpaceDN/>
        <w:bidi w:val="0"/>
        <w:spacing w:after="0" w:line="560" w:lineRule="exact"/>
        <w:ind w:firstLine="640" w:firstLineChars="200"/>
        <w:contextualSpacing/>
        <w:textAlignment w:val="auto"/>
        <w:rPr>
          <w:rFonts w:hint="eastAsia" w:ascii="仿宋_GB2312" w:hAnsi="仿宋_GB2312" w:eastAsia="仿宋_GB2312" w:cs="仿宋_GB2312"/>
          <w:lang w:eastAsia="zh-CN"/>
        </w:rPr>
      </w:pPr>
      <w:r>
        <w:rPr>
          <w:rFonts w:hint="eastAsia" w:ascii="仿宋_GB2312" w:hAnsi="仿宋_GB2312" w:cs="仿宋_GB2312"/>
          <w:color w:val="auto"/>
          <w:highlight w:val="none"/>
          <w:lang w:bidi="en-US"/>
        </w:rPr>
        <w:t>（</w:t>
      </w:r>
      <w:r>
        <w:rPr>
          <w:rFonts w:hint="eastAsia" w:ascii="仿宋_GB2312" w:hAnsi="仿宋_GB2312" w:cs="仿宋_GB2312"/>
          <w:color w:val="auto"/>
          <w:highlight w:val="none"/>
          <w:lang w:val="en-US" w:eastAsia="zh-CN" w:bidi="en-US"/>
        </w:rPr>
        <w:t>五</w:t>
      </w:r>
      <w:r>
        <w:rPr>
          <w:rFonts w:hint="eastAsia" w:ascii="仿宋_GB2312" w:hAnsi="仿宋_GB2312" w:cs="仿宋_GB2312"/>
          <w:color w:val="auto"/>
          <w:highlight w:val="none"/>
          <w:lang w:bidi="en-US"/>
        </w:rPr>
        <w:t>）2023年</w:t>
      </w:r>
      <w:r>
        <w:rPr>
          <w:rFonts w:hint="eastAsia" w:ascii="仿宋_GB2312" w:hAnsi="仿宋_GB2312" w:cs="仿宋_GB2312"/>
          <w:color w:val="auto"/>
          <w:highlight w:val="none"/>
          <w:lang w:val="en-US" w:eastAsia="zh-CN" w:bidi="en-US"/>
        </w:rPr>
        <w:t>12</w:t>
      </w:r>
      <w:r>
        <w:rPr>
          <w:rFonts w:hint="eastAsia" w:ascii="仿宋_GB2312" w:hAnsi="仿宋_GB2312" w:cs="仿宋_GB2312"/>
          <w:color w:val="auto"/>
          <w:highlight w:val="none"/>
          <w:lang w:bidi="en-US"/>
        </w:rPr>
        <w:t>月“工业产销总值及主要产品产量表（即204-1表）”</w:t>
      </w:r>
      <w:r>
        <w:rPr>
          <w:rFonts w:hint="eastAsia" w:ascii="仿宋_GB2312" w:hAnsi="仿宋_GB2312" w:cs="仿宋_GB2312"/>
          <w:color w:val="auto"/>
          <w:highlight w:val="none"/>
          <w:lang w:eastAsia="zh-CN" w:bidi="en-US"/>
        </w:rPr>
        <w:t>（原件彩色扫描上传“统计联网直报平台”下载的电子版）；</w:t>
      </w:r>
    </w:p>
    <w:p>
      <w:pPr>
        <w:pStyle w:val="2"/>
        <w:keepNext w:val="0"/>
        <w:keepLines w:val="0"/>
        <w:pageBreakBefore w:val="0"/>
        <w:kinsoku/>
        <w:wordWrap/>
        <w:overflowPunct/>
        <w:topLinePunct w:val="0"/>
        <w:autoSpaceDE/>
        <w:autoSpaceDN/>
        <w:bidi w:val="0"/>
        <w:spacing w:after="0" w:line="560" w:lineRule="exact"/>
        <w:ind w:firstLine="640" w:firstLineChars="200"/>
        <w:contextualSpacing/>
        <w:textAlignment w:val="auto"/>
        <w:rPr>
          <w:color w:val="auto"/>
          <w:highlight w:val="none"/>
          <w:lang w:bidi="en-US"/>
        </w:rPr>
      </w:pPr>
      <w:r>
        <w:rPr>
          <w:rFonts w:hint="eastAsia"/>
          <w:color w:val="auto"/>
          <w:highlight w:val="none"/>
          <w:lang w:bidi="en-US"/>
        </w:rPr>
        <w:t>（</w:t>
      </w:r>
      <w:r>
        <w:rPr>
          <w:rFonts w:hint="eastAsia"/>
          <w:color w:val="auto"/>
          <w:highlight w:val="none"/>
          <w:lang w:val="en-US" w:eastAsia="zh-CN" w:bidi="en-US"/>
        </w:rPr>
        <w:t>六</w:t>
      </w:r>
      <w:r>
        <w:rPr>
          <w:rFonts w:hint="eastAsia"/>
          <w:color w:val="auto"/>
          <w:highlight w:val="none"/>
          <w:lang w:bidi="en-US"/>
        </w:rPr>
        <w:t>）其他与</w:t>
      </w:r>
      <w:r>
        <w:rPr>
          <w:rFonts w:hint="eastAsia"/>
          <w:color w:val="auto"/>
          <w:highlight w:val="none"/>
          <w:lang w:eastAsia="zh-CN" w:bidi="en-US"/>
        </w:rPr>
        <w:t>本</w:t>
      </w:r>
      <w:r>
        <w:rPr>
          <w:rFonts w:hint="eastAsia"/>
          <w:color w:val="auto"/>
          <w:highlight w:val="none"/>
          <w:lang w:bidi="en-US"/>
        </w:rPr>
        <w:t>项目有关的说明材料。</w:t>
      </w:r>
    </w:p>
    <w:p>
      <w:pPr>
        <w:keepNext w:val="0"/>
        <w:keepLines w:val="0"/>
        <w:pageBreakBefore w:val="0"/>
        <w:kinsoku/>
        <w:wordWrap/>
        <w:overflowPunct/>
        <w:topLinePunct w:val="0"/>
        <w:autoSpaceDE/>
        <w:autoSpaceDN/>
        <w:bidi w:val="0"/>
        <w:spacing w:after="0" w:line="560" w:lineRule="exact"/>
        <w:ind w:firstLine="640" w:firstLineChars="200"/>
        <w:contextualSpacing/>
        <w:textAlignment w:val="auto"/>
        <w:rPr>
          <w:rFonts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八、时限要求</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区工业和信息化局每年安排1-2次集中受理企业申请（具体时间以发布的申报通知为准），资助计划下达1个月内受资助单位须办理资金拨付手续，逾期不办理者视为自动放弃。</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九、其他事项</w:t>
      </w:r>
    </w:p>
    <w:p>
      <w:pPr>
        <w:pStyle w:val="6"/>
        <w:shd w:val="clear" w:color="auto" w:fill="FFFFFF"/>
        <w:spacing w:before="0" w:beforeAutospacing="0" w:after="0" w:afterAutospacing="0" w:line="560" w:lineRule="exact"/>
        <w:ind w:firstLine="645"/>
        <w:jc w:val="both"/>
        <w:rPr>
          <w:lang w:eastAsia="zh-CN"/>
        </w:rPr>
      </w:pPr>
      <w:r>
        <w:rPr>
          <w:rFonts w:hint="eastAsia" w:ascii="Times New Roman" w:hAnsi="Times New Roman" w:eastAsia="仿宋_GB2312" w:cs="Times New Roman"/>
          <w:kern w:val="2"/>
          <w:sz w:val="32"/>
          <w:szCs w:val="32"/>
        </w:rPr>
        <w:t>申请本项目资助的企业应保证其申报材料的完整性、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并承担所提交的项目申报材料的相关法律责任，如有虚假或侵权等行为，该项目申请无效，如事后发现存在以上行为，本资金主管部门将保留依法追究其法律责任的权利。</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十、附则</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方正小标宋_GBK" w:hAnsi="宋体" w:eastAsia="方正小标宋_GBK" w:cs="宋体"/>
          <w:bCs/>
          <w:color w:val="auto"/>
          <w:sz w:val="44"/>
          <w:szCs w:val="44"/>
          <w:highlight w:val="none"/>
          <w:lang w:eastAsia="zh-CN" w:bidi="ar-SA"/>
        </w:rPr>
      </w:pPr>
      <w:r>
        <w:rPr>
          <w:rFonts w:hint="eastAsia" w:ascii="仿宋_GB2312" w:eastAsia="仿宋_GB2312"/>
          <w:color w:val="auto"/>
          <w:sz w:val="32"/>
          <w:szCs w:val="32"/>
          <w:lang w:eastAsia="zh-CN"/>
        </w:rPr>
        <w:t>本计划责任部门为南山区工业和信息化局，本操作规程由其负责解释，自发布之日起施行。</w:t>
      </w:r>
    </w:p>
    <w:p>
      <w:pPr>
        <w:bidi w:val="0"/>
        <w:spacing w:line="560" w:lineRule="exact"/>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5F9F8710"/>
    <w:rsid w:val="01DB502E"/>
    <w:rsid w:val="143B75BD"/>
    <w:rsid w:val="18D71473"/>
    <w:rsid w:val="24283AD9"/>
    <w:rsid w:val="2E732A21"/>
    <w:rsid w:val="314233CD"/>
    <w:rsid w:val="3DDF54B7"/>
    <w:rsid w:val="431542ED"/>
    <w:rsid w:val="474E5F67"/>
    <w:rsid w:val="4B753596"/>
    <w:rsid w:val="4FFA598E"/>
    <w:rsid w:val="55E4171D"/>
    <w:rsid w:val="5C241D7E"/>
    <w:rsid w:val="5D8AC01B"/>
    <w:rsid w:val="5DAB72FB"/>
    <w:rsid w:val="5F23B68A"/>
    <w:rsid w:val="5F36141C"/>
    <w:rsid w:val="5F9F8710"/>
    <w:rsid w:val="6D4D2752"/>
    <w:rsid w:val="70720F54"/>
    <w:rsid w:val="72A93F87"/>
    <w:rsid w:val="77ED5D50"/>
    <w:rsid w:val="7F3AE632"/>
    <w:rsid w:val="7FBF3BF0"/>
    <w:rsid w:val="AEF4C7CA"/>
    <w:rsid w:val="DFBFF46B"/>
    <w:rsid w:val="FBEE9B1F"/>
    <w:rsid w:val="FFF70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1652</Words>
  <Characters>1770</Characters>
  <Lines>0</Lines>
  <Paragraphs>0</Paragraphs>
  <TotalTime>7</TotalTime>
  <ScaleCrop>false</ScaleCrop>
  <LinksUpToDate>false</LinksUpToDate>
  <CharactersWithSpaces>1776</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2024-09-14T17:39:00Z</dcterms:created>
  <dc:creator>温国柱</dc:creator>
  <cp:lastModifiedBy>你还好吗</cp:lastModifiedBy>
  <dcterms:modified xsi:type="dcterms:W3CDTF">2024-11-08T11:54:12Z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6E35C61D623F7DB8648B2D67F35C6FF0</vt:lpwstr>
  </property>
</Properties>
</file>