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smallCaps/>
          <w:color w:val="000000"/>
          <w:kern w:val="0"/>
          <w:sz w:val="28"/>
          <w:szCs w:val="28"/>
          <w:highlight w:val="none"/>
          <w:lang w:val="en-US" w:eastAsia="zh-CN"/>
        </w:rPr>
      </w:pPr>
      <w:bookmarkStart w:id="4" w:name="_GoBack"/>
      <w:bookmarkEnd w:id="4"/>
      <w:r>
        <w:rPr>
          <w:rFonts w:hint="eastAsia" w:ascii="宋体" w:hAnsi="宋体"/>
          <w:smallCaps/>
          <w:color w:val="000000"/>
          <w:kern w:val="0"/>
          <w:sz w:val="28"/>
          <w:szCs w:val="28"/>
          <w:highlight w:val="none"/>
        </w:rPr>
        <w:t xml:space="preserve"> 附件</w:t>
      </w:r>
      <w:r>
        <w:rPr>
          <w:rFonts w:hint="eastAsia" w:ascii="宋体" w:hAnsi="宋体"/>
          <w:smallCaps/>
          <w:color w:val="000000"/>
          <w:kern w:val="0"/>
          <w:sz w:val="28"/>
          <w:szCs w:val="28"/>
          <w:highlight w:val="none"/>
          <w:lang w:val="en-US" w:eastAsia="zh-CN"/>
        </w:rPr>
        <w:t>1</w:t>
      </w:r>
    </w:p>
    <w:p>
      <w:pPr>
        <w:spacing w:line="360" w:lineRule="auto"/>
        <w:jc w:val="left"/>
        <w:rPr>
          <w:rFonts w:hint="eastAsia" w:ascii="宋体" w:hAnsi="宋体"/>
          <w:smallCaps/>
          <w:color w:val="000000"/>
          <w:kern w:val="0"/>
          <w:sz w:val="28"/>
          <w:szCs w:val="28"/>
          <w:highlight w:val="none"/>
        </w:rPr>
      </w:pPr>
    </w:p>
    <w:p>
      <w:pPr>
        <w:spacing w:line="360" w:lineRule="auto"/>
        <w:jc w:val="center"/>
        <w:rPr>
          <w:rFonts w:hint="eastAsia" w:ascii="宋体" w:hAnsi="宋体"/>
          <w:smallCaps/>
          <w:color w:val="000000"/>
          <w:kern w:val="0"/>
          <w:sz w:val="44"/>
          <w:szCs w:val="44"/>
          <w:highlight w:val="none"/>
        </w:rPr>
      </w:pPr>
      <w:r>
        <w:rPr>
          <w:rFonts w:hint="eastAsia" w:ascii="宋体" w:hAnsi="宋体"/>
          <w:smallCaps/>
          <w:color w:val="000000"/>
          <w:kern w:val="0"/>
          <w:sz w:val="44"/>
          <w:szCs w:val="44"/>
          <w:highlight w:val="none"/>
        </w:rPr>
        <w:t>南山区2019年度人才安居住房</w:t>
      </w:r>
    </w:p>
    <w:p>
      <w:pPr>
        <w:spacing w:line="360" w:lineRule="auto"/>
        <w:jc w:val="center"/>
        <w:rPr>
          <w:rFonts w:hint="eastAsia" w:ascii="宋体" w:hAnsi="宋体"/>
          <w:smallCaps/>
          <w:color w:val="000000"/>
          <w:kern w:val="0"/>
          <w:sz w:val="44"/>
          <w:szCs w:val="44"/>
          <w:highlight w:val="none"/>
        </w:rPr>
      </w:pPr>
      <w:r>
        <w:rPr>
          <w:rFonts w:hint="eastAsia" w:ascii="宋体" w:hAnsi="宋体"/>
          <w:smallCaps/>
          <w:color w:val="000000"/>
          <w:kern w:val="0"/>
          <w:sz w:val="44"/>
          <w:szCs w:val="44"/>
          <w:highlight w:val="none"/>
        </w:rPr>
        <w:t>定向配租补租评分标准</w:t>
      </w:r>
    </w:p>
    <w:p>
      <w:pPr>
        <w:widowControl/>
        <w:shd w:val="clear" w:color="auto" w:fill="FFFFFF"/>
        <w:spacing w:line="360" w:lineRule="auto"/>
        <w:jc w:val="left"/>
        <w:rPr>
          <w:rFonts w:hint="eastAsia" w:ascii="宋体" w:hAnsi="宋体" w:eastAsia="宋体"/>
          <w:b/>
          <w:color w:val="000000"/>
          <w:kern w:val="0"/>
          <w:sz w:val="24"/>
          <w:highlight w:val="none"/>
          <w:lang w:eastAsia="zh-CN"/>
        </w:rPr>
      </w:pPr>
    </w:p>
    <w:p>
      <w:pPr>
        <w:widowControl/>
        <w:shd w:val="clear" w:color="auto" w:fill="FFFFFF"/>
        <w:spacing w:line="360" w:lineRule="auto"/>
        <w:jc w:val="left"/>
        <w:rPr>
          <w:rFonts w:hint="eastAsia" w:ascii="宋体" w:hAnsi="宋体"/>
          <w:b/>
          <w:color w:val="000000"/>
          <w:kern w:val="0"/>
          <w:sz w:val="24"/>
          <w:highlight w:val="none"/>
        </w:rPr>
      </w:pPr>
    </w:p>
    <w:p>
      <w:pPr>
        <w:widowControl/>
        <w:shd w:val="clear" w:color="auto" w:fill="FFFFFF"/>
        <w:spacing w:line="360" w:lineRule="auto"/>
        <w:ind w:firstLine="361" w:firstLineChars="100"/>
        <w:rPr>
          <w:rFonts w:hint="eastAsia" w:ascii="宋体" w:hAnsi="宋体"/>
          <w:b/>
          <w:color w:val="000000"/>
          <w:kern w:val="0"/>
          <w:sz w:val="36"/>
          <w:szCs w:val="36"/>
          <w:highlight w:val="none"/>
        </w:rPr>
      </w:pPr>
      <w:r>
        <w:rPr>
          <w:rFonts w:hint="eastAsia" w:ascii="宋体" w:hAnsi="宋体"/>
          <w:b/>
          <w:color w:val="000000"/>
          <w:kern w:val="0"/>
          <w:sz w:val="36"/>
          <w:szCs w:val="36"/>
          <w:highlight w:val="none"/>
        </w:rPr>
        <w:t>一、申报类别</w:t>
      </w:r>
    </w:p>
    <w:p>
      <w:pPr>
        <w:widowControl/>
        <w:shd w:val="clear" w:color="auto" w:fill="FFFFFF"/>
        <w:spacing w:line="360" w:lineRule="auto"/>
        <w:ind w:firstLine="360" w:firstLineChars="100"/>
        <w:rPr>
          <w:rFonts w:hint="eastAsia" w:ascii="宋体" w:hAnsi="宋体"/>
          <w:color w:val="000000"/>
          <w:kern w:val="0"/>
          <w:sz w:val="36"/>
          <w:szCs w:val="36"/>
          <w:highlight w:val="none"/>
        </w:rPr>
      </w:pPr>
    </w:p>
    <w:p>
      <w:pPr>
        <w:widowControl/>
        <w:shd w:val="clear" w:color="auto" w:fill="FFFFFF"/>
        <w:spacing w:line="360" w:lineRule="auto"/>
        <w:jc w:val="center"/>
        <w:rPr>
          <w:rFonts w:hint="eastAsia" w:ascii="宋体" w:hAnsi="宋体"/>
          <w:b/>
          <w:color w:val="000000"/>
          <w:kern w:val="0"/>
          <w:sz w:val="36"/>
          <w:szCs w:val="36"/>
          <w:highlight w:val="none"/>
        </w:rPr>
      </w:pPr>
      <w:r>
        <w:rPr>
          <w:rFonts w:hint="eastAsia" w:ascii="宋体" w:hAnsi="宋体"/>
          <w:b/>
          <w:color w:val="000000"/>
          <w:kern w:val="0"/>
          <w:sz w:val="36"/>
          <w:szCs w:val="36"/>
          <w:highlight w:val="none"/>
        </w:rPr>
        <w:t>Ⅰ 重点企业</w:t>
      </w:r>
    </w:p>
    <w:p>
      <w:pPr>
        <w:widowControl/>
        <w:shd w:val="clear" w:color="auto" w:fill="FFFFFF"/>
        <w:spacing w:line="360" w:lineRule="auto"/>
        <w:ind w:left="1342"/>
        <w:jc w:val="center"/>
        <w:rPr>
          <w:rFonts w:hint="eastAsia" w:ascii="宋体" w:hAnsi="宋体"/>
          <w:b/>
          <w:color w:val="000000"/>
          <w:kern w:val="0"/>
          <w:sz w:val="44"/>
          <w:szCs w:val="44"/>
          <w:highlight w:val="none"/>
        </w:rPr>
      </w:pP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（一）分类标准（符合其中一项即可）</w:t>
      </w:r>
    </w:p>
    <w:p>
      <w:pPr>
        <w:widowControl/>
        <w:shd w:val="clear" w:color="auto" w:fill="FFFFFF"/>
        <w:spacing w:line="360" w:lineRule="auto"/>
        <w:ind w:firstLine="480"/>
        <w:jc w:val="left"/>
        <w:rPr>
          <w:rFonts w:hint="eastAsia" w:ascii="宋体" w:hAnsi="宋体"/>
          <w:color w:val="000000"/>
          <w:kern w:val="0"/>
          <w:sz w:val="24"/>
          <w:highlight w:val="none"/>
        </w:rPr>
      </w:pPr>
      <w:r>
        <w:rPr>
          <w:rFonts w:hint="eastAsia" w:ascii="宋体" w:hAnsi="宋体"/>
          <w:color w:val="000000"/>
          <w:kern w:val="0"/>
          <w:sz w:val="24"/>
          <w:highlight w:val="none"/>
        </w:rPr>
        <w:t>1、经认定的南山区总部企业；(区工信局)</w:t>
      </w:r>
    </w:p>
    <w:p>
      <w:pPr>
        <w:widowControl/>
        <w:shd w:val="clear" w:color="auto" w:fill="FFFFFF"/>
        <w:spacing w:line="360" w:lineRule="auto"/>
        <w:ind w:firstLine="480"/>
        <w:jc w:val="left"/>
        <w:rPr>
          <w:rFonts w:hint="eastAsia" w:ascii="宋体" w:hAnsi="宋体"/>
          <w:color w:val="000000"/>
          <w:kern w:val="0"/>
          <w:sz w:val="24"/>
          <w:highlight w:val="none"/>
        </w:rPr>
      </w:pPr>
      <w:r>
        <w:rPr>
          <w:rFonts w:hint="eastAsia" w:ascii="宋体" w:hAnsi="宋体"/>
          <w:color w:val="000000"/>
          <w:kern w:val="0"/>
          <w:sz w:val="24"/>
          <w:highlight w:val="none"/>
        </w:rPr>
        <w:t>2、上年度南山区纳税百强企业；(区工信局)</w:t>
      </w:r>
    </w:p>
    <w:p>
      <w:pPr>
        <w:widowControl/>
        <w:shd w:val="clear" w:color="auto" w:fill="FFFFFF"/>
        <w:spacing w:line="360" w:lineRule="auto"/>
        <w:ind w:firstLine="480"/>
        <w:jc w:val="left"/>
        <w:rPr>
          <w:rFonts w:hint="eastAsia" w:ascii="宋体" w:hAnsi="宋体"/>
          <w:color w:val="000000"/>
          <w:kern w:val="0"/>
          <w:sz w:val="24"/>
          <w:highlight w:val="none"/>
        </w:rPr>
      </w:pPr>
      <w:r>
        <w:rPr>
          <w:rFonts w:hint="eastAsia" w:ascii="宋体" w:hAnsi="宋体"/>
          <w:color w:val="000000"/>
          <w:kern w:val="0"/>
          <w:sz w:val="24"/>
          <w:highlight w:val="none"/>
        </w:rPr>
        <w:t>3、上年度南山区工业百强企业；（区工信局）</w:t>
      </w:r>
    </w:p>
    <w:p>
      <w:pPr>
        <w:widowControl/>
        <w:shd w:val="clear" w:color="auto" w:fill="FFFFFF"/>
        <w:spacing w:line="360" w:lineRule="auto"/>
        <w:ind w:firstLine="480"/>
        <w:jc w:val="left"/>
        <w:rPr>
          <w:rFonts w:hint="eastAsia" w:ascii="宋体" w:hAnsi="宋体"/>
          <w:color w:val="000000"/>
          <w:kern w:val="0"/>
          <w:sz w:val="24"/>
          <w:highlight w:val="none"/>
        </w:rPr>
      </w:pPr>
      <w:r>
        <w:rPr>
          <w:rFonts w:hint="eastAsia" w:ascii="宋体" w:hAnsi="宋体"/>
          <w:color w:val="000000"/>
          <w:kern w:val="0"/>
          <w:sz w:val="24"/>
          <w:highlight w:val="none"/>
        </w:rPr>
        <w:t>4、在上交所、深交所上市（含中小板、创业板）及海外主要资本市场主板和创业板上市的南山辖区企业；(区工信局)</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5、上年度南山区服务业100强企业、南山区批发50强、零售50强企业；(</w:t>
      </w:r>
      <w:r>
        <w:rPr>
          <w:rFonts w:hint="eastAsia" w:ascii="宋体" w:hAnsi="宋体"/>
          <w:color w:val="000000"/>
          <w:kern w:val="0"/>
          <w:sz w:val="24"/>
          <w:highlight w:val="none"/>
        </w:rPr>
        <w:t>区工信局</w:t>
      </w:r>
      <w:r>
        <w:rPr>
          <w:rFonts w:hint="eastAsia" w:ascii="宋体" w:hAnsi="宋体" w:cs="Segoe UI"/>
          <w:color w:val="000000"/>
          <w:kern w:val="0"/>
          <w:sz w:val="24"/>
          <w:szCs w:val="24"/>
          <w:highlight w:val="none"/>
        </w:rPr>
        <w:t xml:space="preserve">) </w:t>
      </w:r>
    </w:p>
    <w:p>
      <w:pPr>
        <w:widowControl/>
        <w:shd w:val="clear" w:color="auto" w:fill="FFFFFF"/>
        <w:spacing w:line="360" w:lineRule="auto"/>
        <w:ind w:firstLine="480" w:firstLineChars="200"/>
        <w:jc w:val="left"/>
        <w:rPr>
          <w:rFonts w:hint="eastAsia" w:ascii="宋体" w:hAnsi="宋体"/>
          <w:color w:val="000000"/>
          <w:kern w:val="0"/>
          <w:sz w:val="24"/>
          <w:highlight w:val="none"/>
        </w:rPr>
      </w:pPr>
      <w:r>
        <w:rPr>
          <w:rFonts w:hint="eastAsia" w:ascii="宋体" w:hAnsi="宋体" w:cs="Segoe UI"/>
          <w:color w:val="000000"/>
          <w:kern w:val="0"/>
          <w:sz w:val="24"/>
          <w:szCs w:val="24"/>
          <w:highlight w:val="none"/>
        </w:rPr>
        <w:t>6、上年度外贸进出口20强企业；</w:t>
      </w:r>
      <w:r>
        <w:rPr>
          <w:rFonts w:hint="eastAsia" w:ascii="宋体" w:hAnsi="宋体"/>
          <w:color w:val="000000"/>
          <w:kern w:val="0"/>
          <w:sz w:val="24"/>
          <w:highlight w:val="none"/>
        </w:rPr>
        <w:t>（区工信局）</w:t>
      </w:r>
    </w:p>
    <w:p>
      <w:pPr>
        <w:widowControl/>
        <w:shd w:val="clear" w:color="auto" w:fill="FFFFFF"/>
        <w:spacing w:line="360" w:lineRule="auto"/>
        <w:ind w:firstLine="480"/>
        <w:jc w:val="left"/>
        <w:rPr>
          <w:rFonts w:ascii="宋体" w:hAnsi="宋体"/>
          <w:color w:val="000000"/>
          <w:kern w:val="0"/>
          <w:sz w:val="24"/>
          <w:highlight w:val="none"/>
          <w:bdr w:val="single" w:color="auto" w:sz="4" w:space="0"/>
        </w:rPr>
      </w:pPr>
      <w:r>
        <w:rPr>
          <w:rFonts w:hint="eastAsia" w:ascii="宋体" w:hAnsi="宋体"/>
          <w:color w:val="000000"/>
          <w:kern w:val="0"/>
          <w:sz w:val="24"/>
          <w:highlight w:val="none"/>
        </w:rPr>
        <w:t>7、经认定的前海总部企业；（前海管理局，仅限申报住房补租）</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8、国家高新技术企业；（区科创局）</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9、国家统计局《文化及相关产业分类（2018）》范围内的文化企业，或《深圳市文化创意产业振兴发展规划》中的十大重点发展领域的文化创意企业；（</w:t>
      </w:r>
      <w:r>
        <w:rPr>
          <w:rFonts w:hint="eastAsia"/>
          <w:color w:val="000000"/>
          <w:sz w:val="24"/>
          <w:szCs w:val="24"/>
          <w:highlight w:val="none"/>
        </w:rPr>
        <w:t>区文化广电旅游体育局</w:t>
      </w:r>
      <w:r>
        <w:rPr>
          <w:rFonts w:hint="eastAsia" w:ascii="宋体" w:hAnsi="宋体" w:cs="Segoe UI"/>
          <w:color w:val="000000"/>
          <w:kern w:val="0"/>
          <w:sz w:val="24"/>
          <w:szCs w:val="24"/>
          <w:highlight w:val="none"/>
        </w:rPr>
        <w:t>）</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10、在国家发改委备案的节能服务企业；（区发改局）</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11、纳入深圳市碳排放交易试点并按时履约的企业；（区发改局）</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12、取得国家、省、市政府部门授予的低碳示范企业、节能先进单位、循环经济园区；（区发改局）</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13、具有建筑业施工壹级及以上资质（含总承包和专业承包），建筑服务行业乙级及以上资质（含勘察、设计和监理）的建筑业企业；（区住建局）</w:t>
      </w:r>
    </w:p>
    <w:p>
      <w:pPr>
        <w:widowControl/>
        <w:shd w:val="clear" w:color="auto" w:fill="FFFFFF"/>
        <w:spacing w:line="360" w:lineRule="auto"/>
        <w:ind w:left="480"/>
        <w:jc w:val="left"/>
        <w:rPr>
          <w:rFonts w:hint="eastAsia" w:ascii="宋体" w:hAnsi="宋体" w:cs="Segoe UI"/>
          <w:color w:val="000000"/>
          <w:kern w:val="0"/>
          <w:sz w:val="24"/>
          <w:szCs w:val="24"/>
          <w:highlight w:val="none"/>
        </w:rPr>
      </w:pPr>
      <w:r>
        <w:rPr>
          <w:rFonts w:hint="eastAsia" w:ascii="宋体" w:hAnsi="宋体" w:cs="宋体"/>
          <w:color w:val="000000"/>
          <w:kern w:val="0"/>
          <w:sz w:val="24"/>
          <w:szCs w:val="24"/>
          <w:highlight w:val="none"/>
        </w:rPr>
        <w:t>14、</w:t>
      </w:r>
      <w:r>
        <w:rPr>
          <w:rFonts w:hint="eastAsia" w:ascii="宋体" w:hAnsi="宋体" w:cs="Segoe UI"/>
          <w:color w:val="000000"/>
          <w:kern w:val="0"/>
          <w:sz w:val="24"/>
          <w:szCs w:val="24"/>
          <w:highlight w:val="none"/>
        </w:rPr>
        <w:t>燃气生产和经营企业。（区住建局）</w:t>
      </w:r>
    </w:p>
    <w:p>
      <w:pPr>
        <w:widowControl/>
        <w:shd w:val="clear" w:color="auto" w:fill="FFFFFF"/>
        <w:spacing w:line="360" w:lineRule="auto"/>
        <w:ind w:firstLine="482" w:firstLineChars="20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（二）申报条件（须同时具备）</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1、工商注册和税务登记均在南山区；</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2、申报类别符合上述重点企业的分类标准；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 xml:space="preserve">3、在南山区上年度纳税达500万元及以上； </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4、人才规模达30人(以通告日期社保登记为准，下同)。</w:t>
      </w: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（三）评分细则</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1、根据税收贡献、统计贡献、人才规模三项指标，按权重比例计算出分值：税收贡献x40%</w:t>
      </w:r>
      <w:r>
        <w:rPr>
          <w:rFonts w:hint="eastAsia" w:ascii="宋体" w:hAnsi="宋体"/>
          <w:color w:val="000000"/>
          <w:kern w:val="0"/>
          <w:sz w:val="24"/>
          <w:highlight w:val="none"/>
        </w:rPr>
        <w:t>+</w:t>
      </w:r>
      <w:r>
        <w:rPr>
          <w:rFonts w:hint="eastAsia" w:ascii="宋体" w:hAnsi="宋体" w:cs="Segoe UI"/>
          <w:color w:val="000000"/>
          <w:kern w:val="0"/>
          <w:sz w:val="24"/>
          <w:szCs w:val="24"/>
          <w:highlight w:val="none"/>
        </w:rPr>
        <w:t>统计贡献x40%</w:t>
      </w:r>
      <w:r>
        <w:rPr>
          <w:rFonts w:hint="eastAsia" w:ascii="宋体" w:hAnsi="宋体"/>
          <w:color w:val="000000"/>
          <w:kern w:val="0"/>
          <w:sz w:val="24"/>
          <w:highlight w:val="none"/>
        </w:rPr>
        <w:t>+人才规模</w:t>
      </w:r>
      <w:r>
        <w:rPr>
          <w:rFonts w:hint="eastAsia" w:ascii="宋体" w:hAnsi="宋体" w:cs="Segoe UI"/>
          <w:color w:val="000000"/>
          <w:kern w:val="0"/>
          <w:sz w:val="24"/>
          <w:szCs w:val="24"/>
          <w:highlight w:val="none"/>
        </w:rPr>
        <w:t>x20%（统计贡献由南山区统计局对其在库企业进行统一统计）；</w:t>
      </w:r>
    </w:p>
    <w:p>
      <w:pPr>
        <w:widowControl/>
        <w:shd w:val="clear" w:color="auto" w:fill="FFFFFF"/>
        <w:spacing w:line="360" w:lineRule="auto"/>
        <w:ind w:firstLine="48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2、统计贡献计算方法：统计</w:t>
      </w:r>
      <w:r>
        <w:rPr>
          <w:rFonts w:ascii="宋体" w:hAnsi="宋体" w:cs="Segoe UI"/>
          <w:color w:val="000000"/>
          <w:kern w:val="0"/>
          <w:sz w:val="24"/>
          <w:szCs w:val="24"/>
          <w:highlight w:val="none"/>
        </w:rPr>
        <w:t>贡献</w:t>
      </w:r>
      <w:r>
        <w:rPr>
          <w:rFonts w:hint="eastAsia" w:ascii="宋体" w:hAnsi="宋体" w:cs="Segoe UI"/>
          <w:color w:val="000000"/>
          <w:kern w:val="0"/>
          <w:sz w:val="24"/>
          <w:szCs w:val="24"/>
          <w:highlight w:val="none"/>
        </w:rPr>
        <w:t xml:space="preserve"> </w:t>
      </w:r>
      <w:r>
        <w:rPr>
          <w:rFonts w:ascii="宋体" w:hAnsi="宋体" w:cs="Segoe UI"/>
          <w:color w:val="000000"/>
          <w:kern w:val="0"/>
          <w:sz w:val="24"/>
          <w:szCs w:val="24"/>
          <w:highlight w:val="none"/>
        </w:rPr>
        <w:t>= 在库基本分</w:t>
      </w:r>
      <w:r>
        <w:rPr>
          <w:rFonts w:hint="eastAsia" w:ascii="宋体" w:hAnsi="宋体" w:cs="Segoe UI"/>
          <w:color w:val="000000"/>
          <w:kern w:val="0"/>
          <w:sz w:val="24"/>
          <w:szCs w:val="24"/>
          <w:highlight w:val="none"/>
        </w:rPr>
        <w:t>（50分）+ 排名</w:t>
      </w:r>
      <w:r>
        <w:rPr>
          <w:rFonts w:ascii="宋体" w:hAnsi="宋体" w:cs="Segoe UI"/>
          <w:color w:val="000000"/>
          <w:kern w:val="0"/>
          <w:sz w:val="24"/>
          <w:szCs w:val="24"/>
          <w:highlight w:val="none"/>
        </w:rPr>
        <w:t>加分</w:t>
      </w:r>
      <w:r>
        <w:rPr>
          <w:rFonts w:hint="eastAsia" w:ascii="宋体" w:hAnsi="宋体" w:cs="Segoe UI"/>
          <w:color w:val="000000"/>
          <w:kern w:val="0"/>
          <w:sz w:val="24"/>
          <w:szCs w:val="24"/>
          <w:highlight w:val="none"/>
        </w:rPr>
        <w:t>（50分）</w:t>
      </w:r>
      <w:r>
        <w:rPr>
          <w:rFonts w:hint="eastAsia" w:ascii="宋体" w:hAnsi="宋体" w:cs="Segoe UI"/>
          <w:color w:val="000000"/>
          <w:kern w:val="0"/>
          <w:sz w:val="24"/>
          <w:szCs w:val="24"/>
          <w:highlight w:val="none"/>
          <w:lang w:val="en-US" w:eastAsia="zh-CN"/>
        </w:rPr>
        <w:t>+增速加分（50）</w:t>
      </w:r>
      <w:r>
        <w:rPr>
          <w:rFonts w:hint="eastAsia" w:ascii="宋体" w:hAnsi="宋体" w:cs="Segoe UI"/>
          <w:color w:val="000000"/>
          <w:kern w:val="0"/>
          <w:sz w:val="24"/>
          <w:szCs w:val="24"/>
          <w:highlight w:val="none"/>
          <w:lang w:eastAsia="zh-CN"/>
        </w:rPr>
        <w:t>（说明：</w:t>
      </w:r>
      <w:r>
        <w:rPr>
          <w:rFonts w:hint="eastAsia" w:ascii="宋体" w:hAnsi="宋体" w:cs="Segoe UI"/>
          <w:color w:val="000000"/>
          <w:kern w:val="0"/>
          <w:sz w:val="24"/>
          <w:szCs w:val="24"/>
          <w:highlight w:val="none"/>
          <w:lang w:val="en-US" w:eastAsia="zh-CN"/>
        </w:rPr>
        <w:t>排名、增速均以上年度“定报”数据为准，不在库企业，无“统计贡献”分值）。</w:t>
      </w:r>
    </w:p>
    <w:p>
      <w:pPr>
        <w:widowControl/>
        <w:shd w:val="clear" w:color="auto" w:fill="FFFFFF"/>
        <w:spacing w:line="360" w:lineRule="auto"/>
        <w:ind w:firstLine="480"/>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①</w:t>
      </w:r>
      <w:r>
        <w:rPr>
          <w:rFonts w:hint="eastAsia" w:ascii="宋体" w:hAnsi="宋体" w:cs="Segoe UI"/>
          <w:color w:val="000000"/>
          <w:kern w:val="0"/>
          <w:sz w:val="24"/>
          <w:szCs w:val="24"/>
          <w:highlight w:val="none"/>
        </w:rPr>
        <w:t>基本</w:t>
      </w:r>
      <w:r>
        <w:rPr>
          <w:rFonts w:ascii="宋体" w:hAnsi="宋体" w:cs="Segoe UI"/>
          <w:color w:val="000000"/>
          <w:kern w:val="0"/>
          <w:sz w:val="24"/>
          <w:szCs w:val="24"/>
          <w:highlight w:val="none"/>
        </w:rPr>
        <w:t>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lang w:eastAsia="zh-CN"/>
        </w:rPr>
        <w:t>南山区在库企业，且年度经营数据达到国家规定限额标准，配合做好统计数据报送工作的，得基本分50分；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lang w:eastAsia="zh-CN"/>
        </w:rPr>
        <w:t>②</w:t>
      </w:r>
      <w:r>
        <w:rPr>
          <w:rFonts w:hint="eastAsia" w:ascii="宋体" w:hAnsi="宋体" w:cs="Segoe UI"/>
          <w:color w:val="000000"/>
          <w:kern w:val="0"/>
          <w:sz w:val="24"/>
          <w:szCs w:val="24"/>
          <w:highlight w:val="none"/>
        </w:rPr>
        <w:t>排名</w:t>
      </w:r>
      <w:r>
        <w:rPr>
          <w:rFonts w:ascii="宋体" w:hAnsi="宋体" w:cs="Segoe UI"/>
          <w:color w:val="000000"/>
          <w:kern w:val="0"/>
          <w:sz w:val="24"/>
          <w:szCs w:val="24"/>
          <w:highlight w:val="none"/>
        </w:rPr>
        <w:t>加分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：根据企业在本行业的年度排名，</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%的企业加</w:t>
      </w:r>
      <w:r>
        <w:rPr>
          <w:rFonts w:hint="eastAsia" w:ascii="宋体" w:hAnsi="宋体" w:cs="Segoe UI"/>
          <w:color w:val="000000"/>
          <w:kern w:val="0"/>
          <w:sz w:val="24"/>
          <w:szCs w:val="24"/>
          <w:highlight w:val="none"/>
        </w:rPr>
        <w:t>50分</w:t>
      </w:r>
      <w:r>
        <w:rPr>
          <w:rFonts w:ascii="宋体" w:hAnsi="宋体" w:cs="Segoe UI"/>
          <w:color w:val="000000"/>
          <w:kern w:val="0"/>
          <w:sz w:val="24"/>
          <w:szCs w:val="24"/>
          <w:highlight w:val="none"/>
        </w:rPr>
        <w:t>，行业排名前</w:t>
      </w:r>
      <w:r>
        <w:rPr>
          <w:rFonts w:hint="eastAsia" w:ascii="宋体" w:hAnsi="宋体" w:cs="Segoe UI"/>
          <w:color w:val="000000"/>
          <w:kern w:val="0"/>
          <w:sz w:val="24"/>
          <w:szCs w:val="24"/>
          <w:highlight w:val="none"/>
        </w:rPr>
        <w:t>20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的企业（不含</w:t>
      </w:r>
      <w:r>
        <w:rPr>
          <w:rFonts w:ascii="宋体" w:hAnsi="宋体" w:cs="Segoe UI"/>
          <w:color w:val="000000"/>
          <w:kern w:val="0"/>
          <w:sz w:val="24"/>
          <w:szCs w:val="24"/>
          <w:highlight w:val="none"/>
        </w:rPr>
        <w:t>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后同</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加</w:t>
      </w:r>
      <w:r>
        <w:rPr>
          <w:rFonts w:hint="eastAsia" w:ascii="宋体" w:hAnsi="宋体" w:cs="Segoe UI"/>
          <w:color w:val="000000"/>
          <w:kern w:val="0"/>
          <w:sz w:val="24"/>
          <w:szCs w:val="24"/>
          <w:highlight w:val="none"/>
        </w:rPr>
        <w:t>40分</w:t>
      </w:r>
      <w:r>
        <w:rPr>
          <w:rFonts w:ascii="宋体" w:hAnsi="宋体" w:cs="Segoe UI"/>
          <w:color w:val="000000"/>
          <w:kern w:val="0"/>
          <w:sz w:val="24"/>
          <w:szCs w:val="24"/>
          <w:highlight w:val="none"/>
        </w:rPr>
        <w:t>，行业排名前3</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加3</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，行业排名前4</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加2</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排名在</w:t>
      </w:r>
      <w:r>
        <w:rPr>
          <w:rFonts w:hint="eastAsia" w:ascii="宋体" w:hAnsi="宋体" w:cs="Segoe UI"/>
          <w:color w:val="000000"/>
          <w:kern w:val="0"/>
          <w:sz w:val="24"/>
          <w:szCs w:val="24"/>
          <w:highlight w:val="none"/>
        </w:rPr>
        <w:t>前40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之后</w:t>
      </w:r>
      <w:r>
        <w:rPr>
          <w:rFonts w:ascii="宋体" w:hAnsi="宋体" w:cs="Segoe UI"/>
          <w:color w:val="000000"/>
          <w:kern w:val="0"/>
          <w:sz w:val="24"/>
          <w:szCs w:val="24"/>
          <w:highlight w:val="none"/>
        </w:rPr>
        <w:t>的</w:t>
      </w:r>
      <w:r>
        <w:rPr>
          <w:rFonts w:hint="eastAsia" w:ascii="宋体" w:hAnsi="宋体" w:cs="Segoe UI"/>
          <w:color w:val="000000"/>
          <w:kern w:val="0"/>
          <w:sz w:val="24"/>
          <w:szCs w:val="24"/>
          <w:highlight w:val="none"/>
        </w:rPr>
        <w:t>加10分</w:t>
      </w:r>
      <w:r>
        <w:rPr>
          <w:rFonts w:ascii="宋体" w:hAnsi="宋体" w:cs="Segoe UI"/>
          <w:color w:val="000000"/>
          <w:kern w:val="0"/>
          <w:sz w:val="24"/>
          <w:szCs w:val="24"/>
          <w:highlight w:val="none"/>
        </w:rPr>
        <w:t>，在库但无报送数据的，</w:t>
      </w:r>
      <w:r>
        <w:rPr>
          <w:rFonts w:hint="eastAsia" w:ascii="宋体" w:hAnsi="宋体" w:cs="Segoe UI"/>
          <w:color w:val="000000"/>
          <w:kern w:val="0"/>
          <w:sz w:val="24"/>
          <w:szCs w:val="24"/>
          <w:highlight w:val="none"/>
        </w:rPr>
        <w:t>不</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无加分</w:t>
      </w:r>
      <w:r>
        <w:rPr>
          <w:rFonts w:hint="eastAsia" w:ascii="宋体" w:hAnsi="宋体" w:cs="Segoe UI"/>
          <w:color w:val="000000"/>
          <w:kern w:val="0"/>
          <w:sz w:val="24"/>
          <w:szCs w:val="24"/>
          <w:highlight w:val="none"/>
          <w:lang w:eastAsia="zh-CN"/>
        </w:rPr>
        <w:t>，</w:t>
      </w:r>
      <w:r>
        <w:rPr>
          <w:rFonts w:hint="eastAsia" w:ascii="宋体" w:hAnsi="宋体" w:cs="Segoe UI"/>
          <w:color w:val="000000"/>
          <w:kern w:val="0"/>
          <w:sz w:val="24"/>
          <w:szCs w:val="24"/>
          <w:highlight w:val="none"/>
        </w:rPr>
        <w:t>（说明：行业</w:t>
      </w:r>
      <w:r>
        <w:rPr>
          <w:rFonts w:ascii="宋体" w:hAnsi="宋体" w:cs="Segoe UI"/>
          <w:color w:val="000000"/>
          <w:kern w:val="0"/>
          <w:sz w:val="24"/>
          <w:szCs w:val="24"/>
          <w:highlight w:val="none"/>
        </w:rPr>
        <w:t>分类</w:t>
      </w:r>
      <w:r>
        <w:rPr>
          <w:rFonts w:hint="eastAsia" w:ascii="宋体" w:hAnsi="宋体" w:cs="Segoe UI"/>
          <w:color w:val="000000"/>
          <w:kern w:val="0"/>
          <w:sz w:val="24"/>
          <w:szCs w:val="24"/>
          <w:highlight w:val="none"/>
        </w:rPr>
        <w:t>按</w:t>
      </w:r>
      <w:r>
        <w:rPr>
          <w:rFonts w:ascii="宋体" w:hAnsi="宋体" w:cs="Segoe UI"/>
          <w:color w:val="000000"/>
          <w:kern w:val="0"/>
          <w:sz w:val="24"/>
          <w:szCs w:val="24"/>
          <w:highlight w:val="none"/>
        </w:rPr>
        <w:t>照</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国民经济行业分类标准</w:t>
      </w:r>
      <w:r>
        <w:rPr>
          <w:rFonts w:hint="eastAsia" w:ascii="宋体" w:hAnsi="宋体" w:cs="Segoe UI"/>
          <w:color w:val="000000"/>
          <w:kern w:val="0"/>
          <w:sz w:val="24"/>
          <w:szCs w:val="24"/>
          <w:highlight w:val="none"/>
        </w:rPr>
        <w:t>》以国家统计局联网直报系统中确定</w:t>
      </w:r>
      <w:r>
        <w:rPr>
          <w:rFonts w:ascii="宋体" w:hAnsi="宋体" w:cs="Segoe UI"/>
          <w:color w:val="000000"/>
          <w:kern w:val="0"/>
          <w:sz w:val="24"/>
          <w:szCs w:val="24"/>
          <w:highlight w:val="none"/>
        </w:rPr>
        <w:t>的行业代码为准</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的</w:t>
      </w:r>
      <w:r>
        <w:rPr>
          <w:rFonts w:ascii="宋体" w:hAnsi="宋体" w:cs="Segoe UI"/>
          <w:color w:val="000000"/>
          <w:kern w:val="0"/>
          <w:sz w:val="24"/>
          <w:szCs w:val="24"/>
          <w:highlight w:val="none"/>
        </w:rPr>
        <w:t>依据</w:t>
      </w:r>
      <w:r>
        <w:rPr>
          <w:rFonts w:hint="eastAsia" w:ascii="宋体" w:hAnsi="宋体" w:cs="Segoe UI"/>
          <w:color w:val="000000"/>
          <w:kern w:val="0"/>
          <w:sz w:val="24"/>
          <w:szCs w:val="24"/>
          <w:highlight w:val="none"/>
        </w:rPr>
        <w:t>：根据</w:t>
      </w:r>
      <w:r>
        <w:rPr>
          <w:rFonts w:ascii="宋体" w:hAnsi="宋体" w:cs="Segoe UI"/>
          <w:color w:val="000000"/>
          <w:kern w:val="0"/>
          <w:sz w:val="24"/>
          <w:szCs w:val="24"/>
          <w:highlight w:val="none"/>
        </w:rPr>
        <w:t>各行业的关键指标进行排名）</w:t>
      </w:r>
      <w:r>
        <w:rPr>
          <w:rFonts w:hint="eastAsia" w:ascii="宋体" w:hAnsi="宋体" w:cs="Segoe UI"/>
          <w:color w:val="000000"/>
          <w:kern w:val="0"/>
          <w:sz w:val="24"/>
          <w:szCs w:val="24"/>
          <w:highlight w:val="none"/>
        </w:rPr>
        <w:t>；</w:t>
      </w:r>
    </w:p>
    <w:p>
      <w:pPr>
        <w:widowControl/>
        <w:shd w:val="clear" w:color="auto" w:fill="FFFFFF"/>
        <w:spacing w:line="360" w:lineRule="auto"/>
        <w:ind w:firstLine="480"/>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③增速加分计算：</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eastAsia="zh-CN"/>
        </w:rPr>
        <w:t>行业排名前</w:t>
      </w:r>
      <w:r>
        <w:rPr>
          <w:rFonts w:hint="eastAsia" w:ascii="宋体" w:hAnsi="宋体" w:cs="Segoe UI"/>
          <w:color w:val="000000"/>
          <w:kern w:val="0"/>
          <w:sz w:val="24"/>
          <w:szCs w:val="24"/>
          <w:highlight w:val="none"/>
          <w:lang w:val="en-US" w:eastAsia="zh-CN"/>
        </w:rPr>
        <w:t>10%的企业：增速达15%及以上的，加50分，增速为10%（含）～15%的，加45分，增速为5%（含）～10%的，加40分，增速不足5%的，加30分；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行业排名前20%的企业：增速达25%及以上的，加45分，增速为15%（含）～25%的，加40分，增速为5%（含）～15%的，加35分，增速不足5%的，加30分；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行业排名前30%的企业：增速达35%及以上的，加40分，增速为20%（含）～35%的，加35分，增速为10%（含）～20%的，加30分，增速不足10%的，加25分；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行业排名前40%的企业：增速达45%及以上的，加35分，增速为30%（含）～45%的，加30分，增速为15%（含）～30%的，加25分，增速不足15%的，加20分；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行业排名前40%之后的企业：增速达60%及以上的，加30分，增速为30%（含）～60%的，加20分，增速不足30%的，加10分；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上年“年度入库企业”，按在库企业基础分及增速排名最低一档计算，即统计贡献为基础分50+增速加分10分。</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3、统计贡献行业排名由南山区统计局提供，企业在申报时无需填写，“申报系统”中自动生成，可自行查看；</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4、税收贡献，上一年度（1月1日-12月31日）税款缴纳时间为准，不考虑税款的所属期，含代扣代缴税费。</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具体细则如下：</w:t>
      </w:r>
    </w:p>
    <w:tbl>
      <w:tblPr>
        <w:tblStyle w:val="8"/>
        <w:tblW w:w="9180" w:type="dxa"/>
        <w:tblInd w:w="-72" w:type="dxa"/>
        <w:tblLayout w:type="fixed"/>
        <w:tblCellMar>
          <w:top w:w="0" w:type="dxa"/>
          <w:left w:w="0" w:type="dxa"/>
          <w:bottom w:w="0" w:type="dxa"/>
          <w:right w:w="0" w:type="dxa"/>
        </w:tblCellMar>
      </w:tblPr>
      <w:tblGrid>
        <w:gridCol w:w="720"/>
        <w:gridCol w:w="1260"/>
        <w:gridCol w:w="6300"/>
        <w:gridCol w:w="900"/>
      </w:tblGrid>
      <w:tr>
        <w:tblPrEx>
          <w:tblLayout w:type="fixed"/>
          <w:tblCellMar>
            <w:top w:w="0" w:type="dxa"/>
            <w:left w:w="0" w:type="dxa"/>
            <w:bottom w:w="0" w:type="dxa"/>
            <w:right w:w="0" w:type="dxa"/>
          </w:tblCellMar>
        </w:tblPrEx>
        <w:trPr>
          <w:trHeight w:val="649" w:hRule="atLeast"/>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b/>
                <w:color w:val="000000"/>
                <w:kern w:val="0"/>
                <w:sz w:val="24"/>
                <w:highlight w:val="none"/>
              </w:rPr>
            </w:pPr>
            <w:r>
              <w:rPr>
                <w:rFonts w:hint="eastAsia" w:ascii="宋体" w:hAnsi="宋体"/>
                <w:b/>
                <w:color w:val="000000"/>
                <w:kern w:val="0"/>
                <w:sz w:val="24"/>
                <w:highlight w:val="none"/>
              </w:rPr>
              <w:t>序号</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b/>
                <w:color w:val="000000"/>
                <w:kern w:val="0"/>
                <w:sz w:val="24"/>
                <w:highlight w:val="none"/>
              </w:rPr>
            </w:pPr>
            <w:r>
              <w:rPr>
                <w:rFonts w:hint="eastAsia" w:ascii="宋体" w:hAnsi="宋体"/>
                <w:b/>
                <w:color w:val="000000"/>
                <w:kern w:val="0"/>
                <w:sz w:val="24"/>
                <w:highlight w:val="none"/>
              </w:rPr>
              <w:t>指标名称</w:t>
            </w:r>
          </w:p>
        </w:tc>
        <w:tc>
          <w:tcPr>
            <w:tcW w:w="63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b/>
                <w:color w:val="000000"/>
                <w:kern w:val="0"/>
                <w:sz w:val="24"/>
                <w:highlight w:val="none"/>
              </w:rPr>
            </w:pPr>
            <w:r>
              <w:rPr>
                <w:rFonts w:hint="eastAsia" w:ascii="宋体" w:hAnsi="宋体"/>
                <w:b/>
                <w:color w:val="000000"/>
                <w:kern w:val="0"/>
                <w:sz w:val="24"/>
                <w:highlight w:val="none"/>
              </w:rPr>
              <w:t>评分说明</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b/>
                <w:color w:val="000000"/>
                <w:kern w:val="0"/>
                <w:sz w:val="24"/>
                <w:highlight w:val="none"/>
              </w:rPr>
            </w:pPr>
            <w:r>
              <w:rPr>
                <w:rFonts w:hint="eastAsia" w:ascii="宋体" w:hAnsi="宋体"/>
                <w:b/>
                <w:color w:val="000000"/>
                <w:kern w:val="0"/>
                <w:sz w:val="24"/>
                <w:highlight w:val="none"/>
              </w:rPr>
              <w:t>得分</w:t>
            </w:r>
          </w:p>
        </w:tc>
      </w:tr>
      <w:tr>
        <w:tblPrEx>
          <w:tblLayout w:type="fixed"/>
          <w:tblCellMar>
            <w:top w:w="0" w:type="dxa"/>
            <w:left w:w="0" w:type="dxa"/>
            <w:bottom w:w="0" w:type="dxa"/>
            <w:right w:w="0" w:type="dxa"/>
          </w:tblCellMar>
        </w:tblPrEx>
        <w:trPr>
          <w:trHeight w:val="771"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税收贡献</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在南山区纳税达500万元，得60分；纳税额每增加100万元加1分。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A</w:t>
            </w:r>
          </w:p>
        </w:tc>
      </w:tr>
      <w:tr>
        <w:tblPrEx>
          <w:tblLayout w:type="fixed"/>
          <w:tblCellMar>
            <w:top w:w="0" w:type="dxa"/>
            <w:left w:w="0" w:type="dxa"/>
            <w:bottom w:w="0" w:type="dxa"/>
            <w:right w:w="0" w:type="dxa"/>
          </w:tblCellMar>
        </w:tblPrEx>
        <w:trPr>
          <w:trHeight w:val="854"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s="Segoe UI"/>
                <w:color w:val="000000"/>
                <w:kern w:val="0"/>
                <w:sz w:val="24"/>
                <w:szCs w:val="24"/>
                <w:highlight w:val="none"/>
              </w:rPr>
              <w:t>统计贡献</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①</w:t>
            </w:r>
            <w:r>
              <w:rPr>
                <w:rFonts w:hint="eastAsia" w:ascii="宋体" w:hAnsi="宋体" w:cs="Segoe UI"/>
                <w:color w:val="000000"/>
                <w:kern w:val="0"/>
                <w:sz w:val="24"/>
                <w:szCs w:val="24"/>
                <w:highlight w:val="none"/>
              </w:rPr>
              <w:t>基本</w:t>
            </w:r>
            <w:r>
              <w:rPr>
                <w:rFonts w:ascii="宋体" w:hAnsi="宋体" w:cs="Segoe UI"/>
                <w:color w:val="000000"/>
                <w:kern w:val="0"/>
                <w:sz w:val="24"/>
                <w:szCs w:val="24"/>
                <w:highlight w:val="none"/>
              </w:rPr>
              <w:t>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lang w:eastAsia="zh-CN"/>
              </w:rPr>
              <w:t>南山区在库企业，且年度经营数据达到国家规定限额标准，配合做好统计数据报送工作的，得基本分50分；</w:t>
            </w:r>
          </w:p>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lang w:eastAsia="zh-CN"/>
              </w:rPr>
              <w:t>②</w:t>
            </w:r>
            <w:r>
              <w:rPr>
                <w:rFonts w:hint="eastAsia" w:ascii="宋体" w:hAnsi="宋体" w:cs="Segoe UI"/>
                <w:color w:val="000000"/>
                <w:kern w:val="0"/>
                <w:sz w:val="24"/>
                <w:szCs w:val="24"/>
                <w:highlight w:val="none"/>
              </w:rPr>
              <w:t>加分计算</w:t>
            </w:r>
            <w:r>
              <w:rPr>
                <w:rFonts w:ascii="宋体" w:hAnsi="宋体" w:cs="Segoe UI"/>
                <w:color w:val="000000"/>
                <w:kern w:val="0"/>
                <w:sz w:val="24"/>
                <w:szCs w:val="24"/>
                <w:highlight w:val="none"/>
              </w:rPr>
              <w:t>：根据企业在本行业的年度排名，</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%的企业加</w:t>
            </w:r>
            <w:r>
              <w:rPr>
                <w:rFonts w:hint="eastAsia" w:ascii="宋体" w:hAnsi="宋体" w:cs="Segoe UI"/>
                <w:color w:val="000000"/>
                <w:kern w:val="0"/>
                <w:sz w:val="24"/>
                <w:szCs w:val="24"/>
                <w:highlight w:val="none"/>
              </w:rPr>
              <w:t>50分</w:t>
            </w:r>
            <w:r>
              <w:rPr>
                <w:rFonts w:ascii="宋体" w:hAnsi="宋体" w:cs="Segoe UI"/>
                <w:color w:val="000000"/>
                <w:kern w:val="0"/>
                <w:sz w:val="24"/>
                <w:szCs w:val="24"/>
                <w:highlight w:val="none"/>
              </w:rPr>
              <w:t>，行业排名前</w:t>
            </w:r>
            <w:r>
              <w:rPr>
                <w:rFonts w:hint="eastAsia" w:ascii="宋体" w:hAnsi="宋体" w:cs="Segoe UI"/>
                <w:color w:val="000000"/>
                <w:kern w:val="0"/>
                <w:sz w:val="24"/>
                <w:szCs w:val="24"/>
                <w:highlight w:val="none"/>
              </w:rPr>
              <w:t>20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的企业（不含</w:t>
            </w:r>
            <w:r>
              <w:rPr>
                <w:rFonts w:ascii="宋体" w:hAnsi="宋体" w:cs="Segoe UI"/>
                <w:color w:val="000000"/>
                <w:kern w:val="0"/>
                <w:sz w:val="24"/>
                <w:szCs w:val="24"/>
                <w:highlight w:val="none"/>
              </w:rPr>
              <w:t>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后同</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加</w:t>
            </w:r>
            <w:r>
              <w:rPr>
                <w:rFonts w:hint="eastAsia" w:ascii="宋体" w:hAnsi="宋体" w:cs="Segoe UI"/>
                <w:color w:val="000000"/>
                <w:kern w:val="0"/>
                <w:sz w:val="24"/>
                <w:szCs w:val="24"/>
                <w:highlight w:val="none"/>
              </w:rPr>
              <w:t>40分</w:t>
            </w:r>
            <w:r>
              <w:rPr>
                <w:rFonts w:ascii="宋体" w:hAnsi="宋体" w:cs="Segoe UI"/>
                <w:color w:val="000000"/>
                <w:kern w:val="0"/>
                <w:sz w:val="24"/>
                <w:szCs w:val="24"/>
                <w:highlight w:val="none"/>
              </w:rPr>
              <w:t>，行业排名前3</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加3</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，行业排名前4</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加2</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排名在</w:t>
            </w:r>
            <w:r>
              <w:rPr>
                <w:rFonts w:hint="eastAsia" w:ascii="宋体" w:hAnsi="宋体" w:cs="Segoe UI"/>
                <w:color w:val="000000"/>
                <w:kern w:val="0"/>
                <w:sz w:val="24"/>
                <w:szCs w:val="24"/>
                <w:highlight w:val="none"/>
              </w:rPr>
              <w:t>前40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之后</w:t>
            </w:r>
            <w:r>
              <w:rPr>
                <w:rFonts w:ascii="宋体" w:hAnsi="宋体" w:cs="Segoe UI"/>
                <w:color w:val="000000"/>
                <w:kern w:val="0"/>
                <w:sz w:val="24"/>
                <w:szCs w:val="24"/>
                <w:highlight w:val="none"/>
              </w:rPr>
              <w:t>的</w:t>
            </w:r>
            <w:r>
              <w:rPr>
                <w:rFonts w:hint="eastAsia" w:ascii="宋体" w:hAnsi="宋体" w:cs="Segoe UI"/>
                <w:color w:val="000000"/>
                <w:kern w:val="0"/>
                <w:sz w:val="24"/>
                <w:szCs w:val="24"/>
                <w:highlight w:val="none"/>
              </w:rPr>
              <w:t>加10分</w:t>
            </w:r>
            <w:r>
              <w:rPr>
                <w:rFonts w:ascii="宋体" w:hAnsi="宋体" w:cs="Segoe UI"/>
                <w:color w:val="000000"/>
                <w:kern w:val="0"/>
                <w:sz w:val="24"/>
                <w:szCs w:val="24"/>
                <w:highlight w:val="none"/>
              </w:rPr>
              <w:t>，在库但无报送数据的，</w:t>
            </w:r>
            <w:r>
              <w:rPr>
                <w:rFonts w:hint="eastAsia" w:ascii="宋体" w:hAnsi="宋体" w:cs="Segoe UI"/>
                <w:color w:val="000000"/>
                <w:kern w:val="0"/>
                <w:sz w:val="24"/>
                <w:szCs w:val="24"/>
                <w:highlight w:val="none"/>
              </w:rPr>
              <w:t>不</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无加分。</w:t>
            </w:r>
          </w:p>
          <w:p>
            <w:pPr>
              <w:widowControl/>
              <w:shd w:val="clear" w:color="auto" w:fill="FFFFFF"/>
              <w:spacing w:line="360" w:lineRule="auto"/>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③增速加分计算：</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eastAsia="zh-CN"/>
              </w:rPr>
              <w:t>行业排名前</w:t>
            </w:r>
            <w:r>
              <w:rPr>
                <w:rFonts w:hint="eastAsia" w:ascii="宋体" w:hAnsi="宋体" w:cs="Segoe UI"/>
                <w:color w:val="000000"/>
                <w:kern w:val="0"/>
                <w:sz w:val="24"/>
                <w:szCs w:val="24"/>
                <w:highlight w:val="none"/>
                <w:lang w:val="en-US" w:eastAsia="zh-CN"/>
              </w:rPr>
              <w:t>10%的企业：增速达15%及以上的，加50分，增速为10%（含）～15%的，加45分，增速为5%（含）～10%的，加40分，增速不足5%的，加30分；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行业排名前20%的企业：增速达25%及以上的，加45分，增速为15%（含）～25%的，加40分，增速为5%（含）～15%的，加35分，增速不足5%的，加30分；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行业排名前30%的企业：增速达35%及以上的，加40分，增速为20%（含）～35%的，加35分，增速为10%（含）～20%的，加30分，增速不足10%的，加25分；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行业排名前40%的企业：增速达45%及以上的，加35分，增速为30%（含）～45%的，加30分，增速为15%（含）～30%的，加25分，增速不足15%的，加20分；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行业排名前40%之后的企业：增速达60%及以上的，加30分，增速为30%（含）～60%的，加20分，增速不足30%的，加10分；</w:t>
            </w:r>
          </w:p>
          <w:p>
            <w:pPr>
              <w:widowControl/>
              <w:shd w:val="clear" w:color="auto" w:fill="FFFFFF"/>
              <w:spacing w:line="360" w:lineRule="auto"/>
              <w:jc w:val="left"/>
              <w:rPr>
                <w:rFonts w:hint="eastAsia" w:ascii="宋体" w:hAnsi="宋体" w:eastAsia="宋体" w:cs="Segoe UI"/>
                <w:color w:val="000000"/>
                <w:kern w:val="0"/>
                <w:sz w:val="24"/>
                <w:szCs w:val="24"/>
                <w:highlight w:val="none"/>
                <w:lang w:eastAsia="zh-CN"/>
              </w:rPr>
            </w:pPr>
            <w:r>
              <w:rPr>
                <w:rFonts w:hint="eastAsia" w:ascii="宋体" w:hAnsi="宋体" w:cs="Segoe UI"/>
                <w:color w:val="000000"/>
                <w:kern w:val="0"/>
                <w:sz w:val="24"/>
                <w:szCs w:val="24"/>
                <w:highlight w:val="none"/>
                <w:lang w:val="en-US" w:eastAsia="zh-CN"/>
              </w:rPr>
              <w:t>上年“年度入库企业”，按在库企业基础分及增速排名最低一档计算，即统计贡献为基础分50+增速加分10分。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B</w:t>
            </w:r>
          </w:p>
        </w:tc>
      </w:tr>
      <w:tr>
        <w:tblPrEx>
          <w:tblLayout w:type="fixed"/>
          <w:tblCellMar>
            <w:top w:w="0" w:type="dxa"/>
            <w:left w:w="0" w:type="dxa"/>
            <w:bottom w:w="0" w:type="dxa"/>
            <w:right w:w="0" w:type="dxa"/>
          </w:tblCellMar>
        </w:tblPrEx>
        <w:trPr>
          <w:trHeight w:val="916"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hint="eastAsia" w:ascii="宋体" w:hAnsi="宋体"/>
                <w:color w:val="000000"/>
                <w:kern w:val="0"/>
                <w:sz w:val="24"/>
                <w:highlight w:val="none"/>
              </w:rPr>
            </w:pPr>
            <w:r>
              <w:rPr>
                <w:rFonts w:hint="eastAsia" w:ascii="宋体" w:hAnsi="宋体"/>
                <w:color w:val="000000"/>
                <w:kern w:val="0"/>
                <w:sz w:val="24"/>
                <w:highlight w:val="none"/>
              </w:rPr>
              <w:t>人才规模</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人才规模达30人，得60分；每增加1人加0.2分。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C</w:t>
            </w:r>
          </w:p>
        </w:tc>
      </w:tr>
      <w:tr>
        <w:tblPrEx>
          <w:tblLayout w:type="fixed"/>
          <w:tblCellMar>
            <w:top w:w="0" w:type="dxa"/>
            <w:left w:w="0" w:type="dxa"/>
            <w:bottom w:w="0" w:type="dxa"/>
            <w:right w:w="0" w:type="dxa"/>
          </w:tblCellMar>
        </w:tblPrEx>
        <w:trPr>
          <w:trHeight w:val="786" w:hRule="atLeast"/>
        </w:trPr>
        <w:tc>
          <w:tcPr>
            <w:tcW w:w="198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总评分</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计算方法：Ax40%+Bx40%+Cx20%</w:t>
            </w:r>
          </w:p>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(总分相等的企业按上年度纳税金额高低排序)</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　</w:t>
            </w:r>
          </w:p>
        </w:tc>
      </w:tr>
    </w:tbl>
    <w:p>
      <w:pPr>
        <w:widowControl/>
        <w:shd w:val="clear" w:color="auto" w:fill="FFFFFF"/>
        <w:spacing w:line="360" w:lineRule="auto"/>
        <w:jc w:val="left"/>
        <w:rPr>
          <w:rFonts w:hint="eastAsia" w:ascii="宋体" w:hAnsi="宋体" w:cs="Segoe UI"/>
          <w:b/>
          <w:color w:val="000000"/>
          <w:kern w:val="0"/>
          <w:sz w:val="24"/>
          <w:szCs w:val="24"/>
          <w:highlight w:val="none"/>
        </w:rPr>
      </w:pPr>
    </w:p>
    <w:p>
      <w:pPr>
        <w:widowControl/>
        <w:shd w:val="clear" w:color="auto" w:fill="FFFFFF"/>
        <w:spacing w:line="360" w:lineRule="auto"/>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（四）申报材料</w:t>
      </w:r>
    </w:p>
    <w:tbl>
      <w:tblPr>
        <w:tblStyle w:val="8"/>
        <w:tblW w:w="9111" w:type="dxa"/>
        <w:tblInd w:w="-72" w:type="dxa"/>
        <w:tblLayout w:type="fixed"/>
        <w:tblCellMar>
          <w:top w:w="0" w:type="dxa"/>
          <w:left w:w="0" w:type="dxa"/>
          <w:bottom w:w="0" w:type="dxa"/>
          <w:right w:w="0" w:type="dxa"/>
        </w:tblCellMar>
      </w:tblPr>
      <w:tblGrid>
        <w:gridCol w:w="720"/>
        <w:gridCol w:w="5760"/>
        <w:gridCol w:w="2631"/>
      </w:tblGrid>
      <w:tr>
        <w:tblPrEx>
          <w:tblLayout w:type="fixed"/>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序号</w:t>
            </w:r>
          </w:p>
        </w:tc>
        <w:tc>
          <w:tcPr>
            <w:tcW w:w="57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材料名称</w:t>
            </w:r>
          </w:p>
        </w:tc>
        <w:tc>
          <w:tcPr>
            <w:tcW w:w="263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材料形式</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南山区人才安居定向配租补租申报表。</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rPr>
          <w:trHeight w:val="694"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三证合一新版营业执照（未换领三证合一新版营业执照的，提交原旧版营业执照、组织机构代码证书、税务登记证书）、法定代表人（或非法人企业负责人）身份证复印件。</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申报分类标准中8类的企业，需提交国家高新技术企业证书。（发证日期</w:t>
            </w:r>
            <w:r>
              <w:rPr>
                <w:rFonts w:ascii="宋体" w:hAnsi="宋体"/>
                <w:color w:val="000000"/>
                <w:kern w:val="0"/>
                <w:sz w:val="24"/>
                <w:highlight w:val="none"/>
              </w:rPr>
              <w:t>在</w:t>
            </w:r>
            <w:r>
              <w:rPr>
                <w:rFonts w:hint="eastAsia" w:ascii="宋体" w:hAnsi="宋体"/>
                <w:color w:val="000000"/>
                <w:kern w:val="0"/>
                <w:sz w:val="24"/>
                <w:highlight w:val="none"/>
              </w:rPr>
              <w:t>2016年1月1日</w:t>
            </w:r>
            <w:r>
              <w:rPr>
                <w:rFonts w:ascii="宋体" w:hAnsi="宋体"/>
                <w:color w:val="000000"/>
                <w:kern w:val="0"/>
                <w:sz w:val="24"/>
                <w:highlight w:val="none"/>
              </w:rPr>
              <w:t>以后</w:t>
            </w:r>
            <w:r>
              <w:rPr>
                <w:rFonts w:hint="eastAsia" w:ascii="宋体" w:hAnsi="宋体"/>
                <w:color w:val="000000"/>
                <w:kern w:val="0"/>
                <w:sz w:val="24"/>
                <w:highlight w:val="none"/>
              </w:rPr>
              <w:t>）</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申报分类标准中9类的企业，需提交“企业简介”，并对照“国家统计局《文化及相关产业分类(2018)》”，在简介中写明业务所属类别。</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申报分类标准中10类的企业，需提交在国家发改委备案的截图。</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6</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申报分类标准中11类的企业，需提交在深圳市参加碳交易履约的截图 。</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7</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申报分类标准中12类的企业，需提交取得国家、省、市政府部门授予的低碳示范企业、节能先进单位、循环经济园区的文件。</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8</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申报分类标准中13类的企业，需提交</w:t>
            </w:r>
            <w:r>
              <w:rPr>
                <w:rFonts w:hint="eastAsia" w:ascii="宋体" w:hAnsi="宋体" w:cs="Segoe UI"/>
                <w:color w:val="000000"/>
                <w:kern w:val="0"/>
                <w:sz w:val="24"/>
                <w:szCs w:val="24"/>
                <w:highlight w:val="none"/>
              </w:rPr>
              <w:t>建筑业企业资质证书。</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9</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申报分类标准中14类的企业，需提交</w:t>
            </w:r>
            <w:r>
              <w:rPr>
                <w:rFonts w:ascii="宋体" w:hAnsi="宋体" w:cs="宋体"/>
                <w:color w:val="000000"/>
                <w:kern w:val="0"/>
                <w:sz w:val="24"/>
                <w:szCs w:val="24"/>
                <w:highlight w:val="none"/>
              </w:rPr>
              <w:t>深圳市燃气经营许可证</w:t>
            </w:r>
            <w:r>
              <w:rPr>
                <w:rFonts w:hint="eastAsia" w:ascii="宋体" w:hAnsi="宋体" w:cs="宋体"/>
                <w:color w:val="000000"/>
                <w:kern w:val="0"/>
                <w:sz w:val="24"/>
                <w:szCs w:val="24"/>
                <w:highlight w:val="none"/>
              </w:rPr>
              <w:t>。</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10</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上年度的纳税证明（2018年1月1日至12月31日）。</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11</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企业信用信息资料（登陆深圳信用网）。</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12</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申报定向配租补租人才明细表。</w:t>
            </w:r>
          </w:p>
        </w:tc>
        <w:tc>
          <w:tcPr>
            <w:tcW w:w="263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在“申报系统”中直接填报，或下载模板填写上传</w:t>
            </w:r>
          </w:p>
        </w:tc>
      </w:tr>
    </w:tbl>
    <w:p>
      <w:pPr>
        <w:widowControl/>
        <w:shd w:val="clear" w:color="auto" w:fill="FFFFFF"/>
        <w:spacing w:line="360" w:lineRule="auto"/>
        <w:jc w:val="left"/>
        <w:rPr>
          <w:rFonts w:hint="eastAsia" w:ascii="宋体" w:hAnsi="宋体" w:cs="Segoe UI"/>
          <w:color w:val="000000"/>
          <w:kern w:val="0"/>
          <w:sz w:val="24"/>
          <w:szCs w:val="24"/>
          <w:highlight w:val="none"/>
        </w:rPr>
      </w:pPr>
    </w:p>
    <w:p>
      <w:pPr>
        <w:widowControl/>
        <w:shd w:val="clear" w:color="auto" w:fill="FFFFFF"/>
        <w:spacing w:line="360" w:lineRule="auto"/>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（五）配额上限</w:t>
      </w:r>
    </w:p>
    <w:tbl>
      <w:tblPr>
        <w:tblStyle w:val="8"/>
        <w:tblW w:w="9415" w:type="dxa"/>
        <w:tblInd w:w="-252" w:type="dxa"/>
        <w:tblLayout w:type="fixed"/>
        <w:tblCellMar>
          <w:top w:w="0" w:type="dxa"/>
          <w:left w:w="0" w:type="dxa"/>
          <w:bottom w:w="0" w:type="dxa"/>
          <w:right w:w="0" w:type="dxa"/>
        </w:tblCellMar>
      </w:tblPr>
      <w:tblGrid>
        <w:gridCol w:w="755"/>
        <w:gridCol w:w="1005"/>
        <w:gridCol w:w="5260"/>
        <w:gridCol w:w="1200"/>
        <w:gridCol w:w="1195"/>
      </w:tblGrid>
      <w:tr>
        <w:tblPrEx>
          <w:tblLayout w:type="fixed"/>
          <w:tblCellMar>
            <w:top w:w="0" w:type="dxa"/>
            <w:left w:w="0" w:type="dxa"/>
            <w:bottom w:w="0" w:type="dxa"/>
            <w:right w:w="0"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b/>
                <w:color w:val="000000"/>
                <w:kern w:val="0"/>
                <w:sz w:val="24"/>
                <w:highlight w:val="none"/>
              </w:rPr>
              <w:t>序号</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b/>
                <w:color w:val="000000"/>
                <w:kern w:val="0"/>
                <w:sz w:val="24"/>
                <w:highlight w:val="none"/>
              </w:rPr>
              <w:t>档次</w:t>
            </w:r>
          </w:p>
        </w:tc>
        <w:tc>
          <w:tcPr>
            <w:tcW w:w="5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b/>
                <w:color w:val="000000"/>
                <w:kern w:val="0"/>
                <w:sz w:val="24"/>
                <w:highlight w:val="none"/>
              </w:rPr>
              <w:t>纳税</w:t>
            </w:r>
            <w:r>
              <w:rPr>
                <w:rFonts w:hint="eastAsia" w:ascii="宋体" w:hAnsi="宋体"/>
                <w:b/>
                <w:color w:val="000000"/>
                <w:kern w:val="0"/>
                <w:sz w:val="24"/>
                <w:highlight w:val="none"/>
              </w:rPr>
              <w:t>、统计贡献</w:t>
            </w:r>
            <w:r>
              <w:rPr>
                <w:rFonts w:ascii="宋体" w:hAnsi="宋体"/>
                <w:b/>
                <w:color w:val="000000"/>
                <w:kern w:val="0"/>
                <w:sz w:val="24"/>
                <w:highlight w:val="none"/>
              </w:rPr>
              <w:t>及人才</w:t>
            </w:r>
            <w:r>
              <w:rPr>
                <w:rFonts w:hint="eastAsia" w:ascii="宋体" w:hAnsi="宋体"/>
                <w:b/>
                <w:color w:val="000000"/>
                <w:kern w:val="0"/>
                <w:sz w:val="24"/>
                <w:highlight w:val="none"/>
              </w:rPr>
              <w:t xml:space="preserve"> </w:t>
            </w:r>
            <w:r>
              <w:rPr>
                <w:rFonts w:ascii="宋体" w:hAnsi="宋体"/>
                <w:b/>
                <w:color w:val="000000"/>
                <w:kern w:val="0"/>
                <w:sz w:val="24"/>
                <w:highlight w:val="none"/>
              </w:rPr>
              <w:t>规模</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color w:val="000000"/>
                <w:kern w:val="0"/>
                <w:sz w:val="24"/>
                <w:highlight w:val="none"/>
              </w:rPr>
            </w:pPr>
            <w:r>
              <w:rPr>
                <w:rFonts w:ascii="宋体" w:hAnsi="宋体"/>
                <w:b/>
                <w:color w:val="000000"/>
                <w:kern w:val="0"/>
                <w:sz w:val="24"/>
                <w:highlight w:val="none"/>
              </w:rPr>
              <w:t>补租</w:t>
            </w:r>
            <w:r>
              <w:rPr>
                <w:rFonts w:hint="eastAsia" w:ascii="宋体" w:hAnsi="宋体"/>
                <w:b/>
                <w:color w:val="000000"/>
                <w:kern w:val="0"/>
                <w:sz w:val="24"/>
                <w:highlight w:val="none"/>
              </w:rPr>
              <w:t>配额</w:t>
            </w:r>
            <w:r>
              <w:rPr>
                <w:rFonts w:ascii="宋体" w:hAnsi="宋体"/>
                <w:b/>
                <w:color w:val="000000"/>
                <w:kern w:val="0"/>
                <w:sz w:val="24"/>
                <w:highlight w:val="none"/>
              </w:rPr>
              <w:t>上限</w:t>
            </w:r>
          </w:p>
        </w:tc>
        <w:tc>
          <w:tcPr>
            <w:tcW w:w="1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b/>
                <w:color w:val="000000"/>
                <w:kern w:val="0"/>
                <w:sz w:val="24"/>
                <w:highlight w:val="none"/>
              </w:rPr>
              <w:t>配租</w:t>
            </w:r>
            <w:r>
              <w:rPr>
                <w:rFonts w:hint="eastAsia" w:ascii="宋体" w:hAnsi="宋体"/>
                <w:b/>
                <w:color w:val="000000"/>
                <w:kern w:val="0"/>
                <w:sz w:val="24"/>
                <w:highlight w:val="none"/>
              </w:rPr>
              <w:t>配额</w:t>
            </w:r>
            <w:r>
              <w:rPr>
                <w:rFonts w:ascii="宋体" w:hAnsi="宋体"/>
                <w:b/>
                <w:color w:val="000000"/>
                <w:kern w:val="0"/>
                <w:sz w:val="24"/>
                <w:highlight w:val="none"/>
              </w:rPr>
              <w:t>上限</w:t>
            </w:r>
          </w:p>
        </w:tc>
      </w:tr>
      <w:tr>
        <w:tblPrEx>
          <w:tblLayout w:type="fixed"/>
          <w:tblCellMar>
            <w:top w:w="0" w:type="dxa"/>
            <w:left w:w="0" w:type="dxa"/>
            <w:bottom w:w="0" w:type="dxa"/>
            <w:right w:w="0"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ascii="宋体" w:hAnsi="宋体"/>
                <w:color w:val="000000"/>
                <w:kern w:val="0"/>
                <w:sz w:val="24"/>
                <w:highlight w:val="none"/>
              </w:rPr>
              <w:t>1</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第一档</w:t>
            </w:r>
          </w:p>
        </w:tc>
        <w:tc>
          <w:tcPr>
            <w:tcW w:w="5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上一年度纳税达10亿元</w:t>
            </w:r>
            <w:r>
              <w:rPr>
                <w:rFonts w:hint="eastAsia" w:ascii="宋体" w:hAnsi="宋体"/>
                <w:color w:val="000000"/>
                <w:kern w:val="0"/>
                <w:sz w:val="24"/>
                <w:highlight w:val="none"/>
              </w:rPr>
              <w:t>以上或统计贡献行业排名前10%，</w:t>
            </w:r>
            <w:r>
              <w:rPr>
                <w:rFonts w:ascii="宋体" w:hAnsi="宋体"/>
                <w:color w:val="000000"/>
                <w:kern w:val="0"/>
                <w:sz w:val="24"/>
                <w:highlight w:val="none"/>
              </w:rPr>
              <w:t>且人才规模达1500人</w:t>
            </w:r>
            <w:r>
              <w:rPr>
                <w:rFonts w:hint="eastAsia" w:ascii="宋体" w:hAnsi="宋体"/>
                <w:color w:val="000000"/>
                <w:kern w:val="0"/>
                <w:sz w:val="24"/>
                <w:highlight w:val="none"/>
              </w:rPr>
              <w:t>。</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000000"/>
                <w:kern w:val="0"/>
                <w:sz w:val="24"/>
                <w:highlight w:val="none"/>
              </w:rPr>
            </w:pPr>
            <w:r>
              <w:rPr>
                <w:rFonts w:hint="eastAsia" w:ascii="宋体" w:hAnsi="宋体"/>
                <w:color w:val="000000"/>
                <w:kern w:val="0"/>
                <w:sz w:val="24"/>
                <w:highlight w:val="none"/>
              </w:rPr>
              <w:t>3</w:t>
            </w:r>
            <w:r>
              <w:rPr>
                <w:rFonts w:ascii="宋体" w:hAnsi="宋体"/>
                <w:color w:val="000000"/>
                <w:kern w:val="0"/>
                <w:sz w:val="24"/>
                <w:highlight w:val="none"/>
              </w:rPr>
              <w:t>00</w:t>
            </w:r>
            <w:r>
              <w:rPr>
                <w:rFonts w:hint="eastAsia" w:ascii="宋体" w:hAnsi="宋体"/>
                <w:color w:val="000000"/>
                <w:kern w:val="0"/>
                <w:sz w:val="24"/>
                <w:highlight w:val="none"/>
              </w:rPr>
              <w:t>套</w:t>
            </w:r>
          </w:p>
        </w:tc>
        <w:tc>
          <w:tcPr>
            <w:tcW w:w="1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50套</w:t>
            </w:r>
          </w:p>
        </w:tc>
      </w:tr>
      <w:tr>
        <w:tblPrEx>
          <w:tblLayout w:type="fixed"/>
          <w:tblCellMar>
            <w:top w:w="0" w:type="dxa"/>
            <w:left w:w="0" w:type="dxa"/>
            <w:bottom w:w="0" w:type="dxa"/>
            <w:right w:w="0"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ascii="宋体" w:hAnsi="宋体"/>
                <w:color w:val="000000"/>
                <w:kern w:val="0"/>
                <w:sz w:val="24"/>
                <w:highlight w:val="none"/>
              </w:rPr>
              <w:t>2</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第二档</w:t>
            </w:r>
          </w:p>
        </w:tc>
        <w:tc>
          <w:tcPr>
            <w:tcW w:w="5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上一年度纳税达3亿元</w:t>
            </w:r>
            <w:r>
              <w:rPr>
                <w:rFonts w:hint="eastAsia" w:ascii="宋体" w:hAnsi="宋体"/>
                <w:color w:val="000000"/>
                <w:kern w:val="0"/>
                <w:sz w:val="24"/>
                <w:highlight w:val="none"/>
              </w:rPr>
              <w:t>以上或统计贡献行业排名前20%，</w:t>
            </w:r>
            <w:r>
              <w:rPr>
                <w:rFonts w:ascii="宋体" w:hAnsi="宋体"/>
                <w:color w:val="000000"/>
                <w:kern w:val="0"/>
                <w:sz w:val="24"/>
                <w:highlight w:val="none"/>
              </w:rPr>
              <w:t>且人才规模达1000人</w:t>
            </w:r>
            <w:r>
              <w:rPr>
                <w:rFonts w:hint="eastAsia" w:ascii="宋体" w:hAnsi="宋体"/>
                <w:color w:val="000000"/>
                <w:kern w:val="0"/>
                <w:sz w:val="24"/>
                <w:highlight w:val="none"/>
              </w:rPr>
              <w:t>。</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000000"/>
                <w:kern w:val="0"/>
                <w:sz w:val="24"/>
                <w:highlight w:val="none"/>
              </w:rPr>
            </w:pPr>
            <w:r>
              <w:rPr>
                <w:rFonts w:hint="eastAsia" w:ascii="宋体" w:hAnsi="宋体"/>
                <w:color w:val="000000"/>
                <w:kern w:val="0"/>
                <w:sz w:val="24"/>
                <w:highlight w:val="none"/>
              </w:rPr>
              <w:t>200套</w:t>
            </w:r>
          </w:p>
        </w:tc>
        <w:tc>
          <w:tcPr>
            <w:tcW w:w="1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30套</w:t>
            </w:r>
          </w:p>
        </w:tc>
      </w:tr>
      <w:tr>
        <w:tblPrEx>
          <w:tblLayout w:type="fixed"/>
          <w:tblCellMar>
            <w:top w:w="0" w:type="dxa"/>
            <w:left w:w="0" w:type="dxa"/>
            <w:bottom w:w="0" w:type="dxa"/>
            <w:right w:w="0"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ascii="宋体" w:hAnsi="宋体"/>
                <w:color w:val="000000"/>
                <w:kern w:val="0"/>
                <w:sz w:val="24"/>
                <w:highlight w:val="none"/>
              </w:rPr>
              <w:t>3</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第三档</w:t>
            </w:r>
          </w:p>
        </w:tc>
        <w:tc>
          <w:tcPr>
            <w:tcW w:w="5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上一年度纳税达1亿元</w:t>
            </w:r>
            <w:r>
              <w:rPr>
                <w:rFonts w:hint="eastAsia" w:ascii="宋体" w:hAnsi="宋体"/>
                <w:color w:val="000000"/>
                <w:kern w:val="0"/>
                <w:sz w:val="24"/>
                <w:highlight w:val="none"/>
              </w:rPr>
              <w:t>以上或统计贡献行业排名前30%，</w:t>
            </w:r>
            <w:r>
              <w:rPr>
                <w:rFonts w:ascii="宋体" w:hAnsi="宋体"/>
                <w:color w:val="000000"/>
                <w:kern w:val="0"/>
                <w:sz w:val="24"/>
                <w:highlight w:val="none"/>
              </w:rPr>
              <w:t>且人才规模达600人</w:t>
            </w:r>
            <w:r>
              <w:rPr>
                <w:rFonts w:hint="eastAsia" w:ascii="宋体" w:hAnsi="宋体"/>
                <w:color w:val="000000"/>
                <w:kern w:val="0"/>
                <w:sz w:val="24"/>
                <w:highlight w:val="none"/>
              </w:rPr>
              <w:t>。</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000000"/>
                <w:kern w:val="0"/>
                <w:sz w:val="24"/>
                <w:highlight w:val="none"/>
              </w:rPr>
            </w:pPr>
            <w:r>
              <w:rPr>
                <w:rFonts w:hint="eastAsia" w:ascii="宋体" w:hAnsi="宋体"/>
                <w:color w:val="000000"/>
                <w:kern w:val="0"/>
                <w:sz w:val="24"/>
                <w:highlight w:val="none"/>
              </w:rPr>
              <w:t>150套</w:t>
            </w:r>
          </w:p>
        </w:tc>
        <w:tc>
          <w:tcPr>
            <w:tcW w:w="1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20套</w:t>
            </w:r>
          </w:p>
        </w:tc>
      </w:tr>
      <w:tr>
        <w:tblPrEx>
          <w:tblLayout w:type="fixed"/>
          <w:tblCellMar>
            <w:top w:w="0" w:type="dxa"/>
            <w:left w:w="0" w:type="dxa"/>
            <w:bottom w:w="0" w:type="dxa"/>
            <w:right w:w="0"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ascii="宋体" w:hAnsi="宋体"/>
                <w:color w:val="000000"/>
                <w:kern w:val="0"/>
                <w:sz w:val="24"/>
                <w:highlight w:val="none"/>
              </w:rPr>
              <w:t>4</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第四档</w:t>
            </w:r>
          </w:p>
        </w:tc>
        <w:tc>
          <w:tcPr>
            <w:tcW w:w="5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上一年度纳税达5000万元</w:t>
            </w:r>
            <w:r>
              <w:rPr>
                <w:rFonts w:hint="eastAsia" w:ascii="宋体" w:hAnsi="宋体"/>
                <w:color w:val="000000"/>
                <w:kern w:val="0"/>
                <w:sz w:val="24"/>
                <w:highlight w:val="none"/>
              </w:rPr>
              <w:t>以上或统计贡献行业排名前40%，</w:t>
            </w:r>
            <w:r>
              <w:rPr>
                <w:rFonts w:ascii="宋体" w:hAnsi="宋体"/>
                <w:color w:val="000000"/>
                <w:kern w:val="0"/>
                <w:sz w:val="24"/>
                <w:highlight w:val="none"/>
              </w:rPr>
              <w:t>且人才规模达400人</w:t>
            </w:r>
            <w:r>
              <w:rPr>
                <w:rFonts w:hint="eastAsia" w:ascii="宋体" w:hAnsi="宋体"/>
                <w:color w:val="000000"/>
                <w:kern w:val="0"/>
                <w:sz w:val="24"/>
                <w:highlight w:val="none"/>
              </w:rPr>
              <w:t>。</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000000"/>
                <w:kern w:val="0"/>
                <w:sz w:val="24"/>
                <w:highlight w:val="none"/>
              </w:rPr>
            </w:pPr>
            <w:r>
              <w:rPr>
                <w:rFonts w:hint="eastAsia" w:ascii="宋体" w:hAnsi="宋体"/>
                <w:color w:val="000000"/>
                <w:kern w:val="0"/>
                <w:sz w:val="24"/>
                <w:highlight w:val="none"/>
              </w:rPr>
              <w:t>100套</w:t>
            </w:r>
          </w:p>
        </w:tc>
        <w:tc>
          <w:tcPr>
            <w:tcW w:w="1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15套</w:t>
            </w:r>
          </w:p>
        </w:tc>
      </w:tr>
      <w:tr>
        <w:tblPrEx>
          <w:tblLayout w:type="fixed"/>
          <w:tblCellMar>
            <w:top w:w="0" w:type="dxa"/>
            <w:left w:w="0" w:type="dxa"/>
            <w:bottom w:w="0" w:type="dxa"/>
            <w:right w:w="0"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ascii="宋体" w:hAnsi="宋体"/>
                <w:color w:val="000000"/>
                <w:kern w:val="0"/>
                <w:sz w:val="24"/>
                <w:highlight w:val="none"/>
              </w:rPr>
              <w:t>5</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第五档</w:t>
            </w:r>
          </w:p>
        </w:tc>
        <w:tc>
          <w:tcPr>
            <w:tcW w:w="5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上一年度纳税达2500万元</w:t>
            </w:r>
            <w:r>
              <w:rPr>
                <w:rFonts w:hint="eastAsia" w:ascii="宋体" w:hAnsi="宋体"/>
                <w:color w:val="000000"/>
                <w:kern w:val="0"/>
                <w:sz w:val="24"/>
                <w:highlight w:val="none"/>
              </w:rPr>
              <w:t>以上或统计贡献行业排名前40%后，且</w:t>
            </w:r>
            <w:r>
              <w:rPr>
                <w:rFonts w:ascii="宋体" w:hAnsi="宋体"/>
                <w:color w:val="000000"/>
                <w:kern w:val="0"/>
                <w:sz w:val="24"/>
                <w:highlight w:val="none"/>
              </w:rPr>
              <w:t>人才规模达200人</w:t>
            </w:r>
            <w:r>
              <w:rPr>
                <w:rFonts w:hint="eastAsia" w:ascii="宋体" w:hAnsi="宋体"/>
                <w:color w:val="000000"/>
                <w:kern w:val="0"/>
                <w:sz w:val="24"/>
                <w:highlight w:val="none"/>
              </w:rPr>
              <w:t>。</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000000"/>
                <w:kern w:val="0"/>
                <w:sz w:val="24"/>
                <w:highlight w:val="none"/>
              </w:rPr>
            </w:pPr>
            <w:r>
              <w:rPr>
                <w:rFonts w:hint="eastAsia" w:ascii="宋体" w:hAnsi="宋体"/>
                <w:color w:val="000000"/>
                <w:kern w:val="0"/>
                <w:sz w:val="24"/>
                <w:highlight w:val="none"/>
              </w:rPr>
              <w:t>75套</w:t>
            </w:r>
          </w:p>
        </w:tc>
        <w:tc>
          <w:tcPr>
            <w:tcW w:w="1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10套</w:t>
            </w:r>
          </w:p>
        </w:tc>
      </w:tr>
      <w:tr>
        <w:tblPrEx>
          <w:tblLayout w:type="fixed"/>
          <w:tblCellMar>
            <w:top w:w="0" w:type="dxa"/>
            <w:left w:w="0" w:type="dxa"/>
            <w:bottom w:w="0" w:type="dxa"/>
            <w:right w:w="0"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ascii="宋体" w:hAnsi="宋体"/>
                <w:color w:val="000000"/>
                <w:kern w:val="0"/>
                <w:sz w:val="24"/>
                <w:highlight w:val="none"/>
              </w:rPr>
              <w:t>6</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color w:val="000000"/>
                <w:kern w:val="0"/>
                <w:sz w:val="24"/>
                <w:highlight w:val="none"/>
              </w:rPr>
            </w:pPr>
            <w:r>
              <w:rPr>
                <w:rFonts w:ascii="宋体" w:hAnsi="宋体"/>
                <w:color w:val="000000"/>
                <w:kern w:val="0"/>
                <w:sz w:val="24"/>
                <w:highlight w:val="none"/>
              </w:rPr>
              <w:t>第六档</w:t>
            </w:r>
          </w:p>
        </w:tc>
        <w:tc>
          <w:tcPr>
            <w:tcW w:w="5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color w:val="000000"/>
                <w:kern w:val="0"/>
                <w:sz w:val="24"/>
                <w:highlight w:val="none"/>
              </w:rPr>
            </w:pPr>
            <w:r>
              <w:rPr>
                <w:rFonts w:ascii="宋体" w:hAnsi="宋体"/>
                <w:color w:val="000000"/>
                <w:kern w:val="0"/>
                <w:sz w:val="24"/>
                <w:highlight w:val="none"/>
              </w:rPr>
              <w:t>上一年度纳税达1000万元</w:t>
            </w:r>
            <w:r>
              <w:rPr>
                <w:rFonts w:hint="eastAsia" w:ascii="宋体" w:hAnsi="宋体"/>
                <w:color w:val="000000"/>
                <w:kern w:val="0"/>
                <w:sz w:val="24"/>
                <w:highlight w:val="none"/>
              </w:rPr>
              <w:t>以上或统计贡献在库但无排名，</w:t>
            </w:r>
            <w:r>
              <w:rPr>
                <w:rFonts w:ascii="宋体" w:hAnsi="宋体"/>
                <w:color w:val="000000"/>
                <w:kern w:val="0"/>
                <w:sz w:val="24"/>
                <w:highlight w:val="none"/>
              </w:rPr>
              <w:t>且人才规模达100人</w:t>
            </w:r>
            <w:r>
              <w:rPr>
                <w:rFonts w:hint="eastAsia" w:ascii="宋体" w:hAnsi="宋体"/>
                <w:color w:val="000000"/>
                <w:kern w:val="0"/>
                <w:sz w:val="24"/>
                <w:highlight w:val="none"/>
              </w:rPr>
              <w:t>。</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000000"/>
                <w:kern w:val="0"/>
                <w:sz w:val="24"/>
                <w:highlight w:val="none"/>
              </w:rPr>
            </w:pPr>
            <w:r>
              <w:rPr>
                <w:rFonts w:hint="eastAsia" w:ascii="宋体" w:hAnsi="宋体"/>
                <w:color w:val="000000"/>
                <w:kern w:val="0"/>
                <w:sz w:val="24"/>
                <w:highlight w:val="none"/>
              </w:rPr>
              <w:t>60套</w:t>
            </w:r>
          </w:p>
        </w:tc>
        <w:tc>
          <w:tcPr>
            <w:tcW w:w="1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color w:val="000000"/>
                <w:kern w:val="0"/>
                <w:sz w:val="24"/>
                <w:highlight w:val="none"/>
              </w:rPr>
            </w:pPr>
            <w:r>
              <w:rPr>
                <w:rFonts w:ascii="宋体" w:hAnsi="宋体"/>
                <w:color w:val="000000"/>
                <w:kern w:val="0"/>
                <w:sz w:val="24"/>
                <w:highlight w:val="none"/>
              </w:rPr>
              <w:t>6套</w:t>
            </w:r>
          </w:p>
        </w:tc>
      </w:tr>
      <w:tr>
        <w:tblPrEx>
          <w:tblLayout w:type="fixed"/>
          <w:tblCellMar>
            <w:top w:w="0" w:type="dxa"/>
            <w:left w:w="0" w:type="dxa"/>
            <w:bottom w:w="0" w:type="dxa"/>
            <w:right w:w="0" w:type="dxa"/>
          </w:tblCellMar>
        </w:tblPrEx>
        <w:tc>
          <w:tcPr>
            <w:tcW w:w="75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ascii="宋体" w:hAnsi="宋体"/>
                <w:color w:val="000000"/>
                <w:kern w:val="0"/>
                <w:sz w:val="24"/>
                <w:highlight w:val="none"/>
              </w:rPr>
              <w:t>7</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第七档</w:t>
            </w:r>
          </w:p>
        </w:tc>
        <w:tc>
          <w:tcPr>
            <w:tcW w:w="5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w:t>
            </w:r>
            <w:r>
              <w:rPr>
                <w:rFonts w:hint="eastAsia" w:ascii="宋体" w:hAnsi="宋体"/>
                <w:color w:val="000000"/>
                <w:kern w:val="0"/>
                <w:sz w:val="24"/>
                <w:highlight w:val="none"/>
              </w:rPr>
              <w:t>500</w:t>
            </w:r>
            <w:r>
              <w:rPr>
                <w:rFonts w:ascii="宋体" w:hAnsi="宋体"/>
                <w:color w:val="000000"/>
                <w:kern w:val="0"/>
                <w:sz w:val="24"/>
                <w:highlight w:val="none"/>
              </w:rPr>
              <w:t>万元</w:t>
            </w:r>
            <w:r>
              <w:rPr>
                <w:rFonts w:hint="eastAsia" w:ascii="宋体" w:hAnsi="宋体"/>
                <w:color w:val="000000"/>
                <w:kern w:val="0"/>
                <w:sz w:val="24"/>
                <w:highlight w:val="none"/>
              </w:rPr>
              <w:t>以上或统计贡献在库但无排名，且人才规模达30人。</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color w:val="000000"/>
                <w:kern w:val="0"/>
                <w:sz w:val="24"/>
                <w:highlight w:val="none"/>
              </w:rPr>
            </w:pPr>
            <w:r>
              <w:rPr>
                <w:rFonts w:hint="eastAsia" w:ascii="宋体" w:hAnsi="宋体"/>
                <w:color w:val="000000"/>
                <w:kern w:val="0"/>
                <w:sz w:val="24"/>
                <w:highlight w:val="none"/>
              </w:rPr>
              <w:t>40套</w:t>
            </w:r>
          </w:p>
        </w:tc>
        <w:tc>
          <w:tcPr>
            <w:tcW w:w="11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4套</w:t>
            </w:r>
          </w:p>
        </w:tc>
      </w:tr>
    </w:tbl>
    <w:p>
      <w:pPr>
        <w:widowControl/>
        <w:shd w:val="clear" w:color="auto" w:fill="FFFFFF"/>
        <w:spacing w:line="360" w:lineRule="auto"/>
        <w:jc w:val="both"/>
        <w:rPr>
          <w:rFonts w:hint="eastAsia" w:ascii="宋体" w:hAnsi="宋体"/>
          <w:b/>
          <w:color w:val="000000"/>
          <w:kern w:val="0"/>
          <w:sz w:val="36"/>
          <w:szCs w:val="36"/>
          <w:highlight w:val="none"/>
        </w:rPr>
      </w:pPr>
    </w:p>
    <w:p>
      <w:pPr>
        <w:widowControl/>
        <w:shd w:val="clear" w:color="auto" w:fill="FFFFFF"/>
        <w:spacing w:line="360" w:lineRule="auto"/>
        <w:jc w:val="center"/>
        <w:rPr>
          <w:rFonts w:hint="eastAsia" w:ascii="宋体" w:hAnsi="宋体"/>
          <w:b/>
          <w:color w:val="000000"/>
          <w:kern w:val="0"/>
          <w:sz w:val="36"/>
          <w:szCs w:val="36"/>
          <w:highlight w:val="none"/>
        </w:rPr>
      </w:pPr>
      <w:r>
        <w:rPr>
          <w:rFonts w:hint="eastAsia" w:ascii="宋体" w:hAnsi="宋体"/>
          <w:b/>
          <w:color w:val="000000"/>
          <w:kern w:val="0"/>
          <w:sz w:val="36"/>
          <w:szCs w:val="36"/>
          <w:highlight w:val="none"/>
        </w:rPr>
        <w:t>Ⅱ 商贸旅游、物流及专业服务类企业</w:t>
      </w:r>
    </w:p>
    <w:p>
      <w:pPr>
        <w:widowControl/>
        <w:shd w:val="clear" w:color="auto" w:fill="FFFFFF"/>
        <w:spacing w:line="360" w:lineRule="auto"/>
        <w:jc w:val="center"/>
        <w:rPr>
          <w:rFonts w:hint="eastAsia" w:ascii="宋体" w:hAnsi="宋体"/>
          <w:b/>
          <w:color w:val="000000"/>
          <w:kern w:val="0"/>
          <w:sz w:val="44"/>
          <w:szCs w:val="44"/>
          <w:highlight w:val="none"/>
        </w:rPr>
      </w:pPr>
    </w:p>
    <w:p>
      <w:pPr>
        <w:widowControl/>
        <w:shd w:val="clear" w:color="auto" w:fill="FFFFFF"/>
        <w:spacing w:line="360" w:lineRule="auto"/>
        <w:ind w:firstLine="361" w:firstLineChars="15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（一）分类标准（符合其中一项即可，符合申报“重点企业”这一类别的企业，不能申报本类别）</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1、市政府主管部门认定的 “重点物流企业”；（</w:t>
      </w:r>
      <w:r>
        <w:rPr>
          <w:rFonts w:hint="eastAsia" w:ascii="宋体" w:hAnsi="宋体"/>
          <w:color w:val="000000"/>
          <w:kern w:val="0"/>
          <w:sz w:val="24"/>
          <w:highlight w:val="none"/>
        </w:rPr>
        <w:t>区工信局</w:t>
      </w:r>
      <w:r>
        <w:rPr>
          <w:rFonts w:hint="eastAsia" w:ascii="宋体" w:hAnsi="宋体" w:cs="Segoe UI"/>
          <w:color w:val="000000"/>
          <w:kern w:val="0"/>
          <w:sz w:val="24"/>
          <w:szCs w:val="24"/>
          <w:highlight w:val="none"/>
        </w:rPr>
        <w:t>）</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2、南山辖区国家4A级及以上旅游景区企业，国家、省级百强旅行社；（</w:t>
      </w:r>
      <w:r>
        <w:rPr>
          <w:rFonts w:hint="eastAsia"/>
          <w:color w:val="000000"/>
          <w:sz w:val="24"/>
          <w:szCs w:val="24"/>
          <w:highlight w:val="none"/>
        </w:rPr>
        <w:t>区文化广电旅游体育局</w:t>
      </w:r>
      <w:r>
        <w:rPr>
          <w:rFonts w:hint="eastAsia" w:ascii="宋体" w:hAnsi="宋体" w:cs="Segoe UI"/>
          <w:color w:val="000000"/>
          <w:kern w:val="0"/>
          <w:sz w:val="24"/>
          <w:szCs w:val="24"/>
          <w:highlight w:val="none"/>
        </w:rPr>
        <w:t>）</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3、南山辖区内四星级及以上酒店；（</w:t>
      </w:r>
      <w:r>
        <w:rPr>
          <w:rFonts w:hint="eastAsia"/>
          <w:color w:val="000000"/>
          <w:sz w:val="24"/>
          <w:szCs w:val="24"/>
          <w:highlight w:val="none"/>
        </w:rPr>
        <w:t>区文化广电旅游体育局</w:t>
      </w:r>
      <w:r>
        <w:rPr>
          <w:rFonts w:hint="eastAsia" w:ascii="宋体" w:hAnsi="宋体" w:cs="Segoe UI"/>
          <w:color w:val="000000"/>
          <w:kern w:val="0"/>
          <w:sz w:val="24"/>
          <w:szCs w:val="24"/>
          <w:highlight w:val="none"/>
        </w:rPr>
        <w:t>）</w:t>
      </w:r>
    </w:p>
    <w:p>
      <w:pPr>
        <w:widowControl/>
        <w:shd w:val="clear" w:color="auto" w:fill="FFFFFF"/>
        <w:spacing w:line="360" w:lineRule="auto"/>
        <w:ind w:firstLine="480"/>
        <w:jc w:val="left"/>
        <w:rPr>
          <w:rFonts w:hint="eastAsia" w:ascii="宋体" w:hAnsi="宋体"/>
          <w:color w:val="000000"/>
          <w:kern w:val="0"/>
          <w:sz w:val="24"/>
          <w:highlight w:val="none"/>
        </w:rPr>
      </w:pPr>
      <w:r>
        <w:rPr>
          <w:rFonts w:hint="eastAsia" w:ascii="宋体" w:hAnsi="宋体"/>
          <w:color w:val="000000"/>
          <w:kern w:val="0"/>
          <w:sz w:val="24"/>
          <w:highlight w:val="none"/>
        </w:rPr>
        <w:t>4、获得“国家电子商务示范企业”或“国家电子商务示范基地”的单位；</w:t>
      </w:r>
      <w:r>
        <w:rPr>
          <w:rFonts w:hint="eastAsia" w:ascii="宋体" w:hAnsi="宋体" w:cs="Segoe UI"/>
          <w:color w:val="000000"/>
          <w:kern w:val="0"/>
          <w:sz w:val="24"/>
          <w:szCs w:val="24"/>
          <w:highlight w:val="none"/>
        </w:rPr>
        <w:t>（</w:t>
      </w:r>
      <w:r>
        <w:rPr>
          <w:rFonts w:hint="eastAsia" w:ascii="宋体" w:hAnsi="宋体"/>
          <w:color w:val="000000"/>
          <w:kern w:val="0"/>
          <w:sz w:val="24"/>
          <w:highlight w:val="none"/>
        </w:rPr>
        <w:t>区工信局</w:t>
      </w:r>
      <w:r>
        <w:rPr>
          <w:rFonts w:hint="eastAsia" w:ascii="宋体" w:hAnsi="宋体" w:cs="Segoe UI"/>
          <w:color w:val="000000"/>
          <w:kern w:val="0"/>
          <w:sz w:val="24"/>
          <w:szCs w:val="24"/>
          <w:highlight w:val="none"/>
        </w:rPr>
        <w:t>）</w:t>
      </w:r>
    </w:p>
    <w:p>
      <w:pPr>
        <w:widowControl/>
        <w:shd w:val="clear" w:color="auto" w:fill="FFFFFF"/>
        <w:spacing w:line="360" w:lineRule="auto"/>
        <w:ind w:firstLine="480"/>
        <w:jc w:val="left"/>
        <w:rPr>
          <w:rFonts w:hint="eastAsia" w:ascii="宋体" w:hAnsi="宋体"/>
          <w:color w:val="000000"/>
          <w:kern w:val="0"/>
          <w:sz w:val="24"/>
          <w:szCs w:val="24"/>
          <w:highlight w:val="none"/>
        </w:rPr>
      </w:pPr>
      <w:r>
        <w:rPr>
          <w:rFonts w:hint="eastAsia" w:ascii="宋体" w:hAnsi="宋体"/>
          <w:color w:val="000000"/>
          <w:kern w:val="0"/>
          <w:sz w:val="24"/>
          <w:highlight w:val="none"/>
        </w:rPr>
        <w:t>5、</w:t>
      </w:r>
      <w:r>
        <w:rPr>
          <w:rFonts w:hint="eastAsia" w:ascii="宋体" w:hAnsi="宋体"/>
          <w:color w:val="000000"/>
          <w:kern w:val="0"/>
          <w:sz w:val="24"/>
          <w:szCs w:val="24"/>
          <w:highlight w:val="none"/>
        </w:rPr>
        <w:t>国家、省、市政府主管部门认定的南山区农业龙头企业；</w:t>
      </w:r>
      <w:r>
        <w:rPr>
          <w:rFonts w:hint="eastAsia" w:ascii="宋体" w:hAnsi="宋体" w:cs="Segoe UI"/>
          <w:color w:val="000000"/>
          <w:kern w:val="0"/>
          <w:sz w:val="24"/>
          <w:szCs w:val="24"/>
          <w:highlight w:val="none"/>
        </w:rPr>
        <w:t>（</w:t>
      </w:r>
      <w:r>
        <w:rPr>
          <w:rFonts w:hint="eastAsia" w:ascii="宋体" w:hAnsi="宋体"/>
          <w:color w:val="000000"/>
          <w:kern w:val="0"/>
          <w:sz w:val="24"/>
          <w:highlight w:val="none"/>
        </w:rPr>
        <w:t>区工信局</w:t>
      </w:r>
      <w:r>
        <w:rPr>
          <w:rFonts w:hint="eastAsia" w:ascii="宋体" w:hAnsi="宋体" w:cs="Segoe UI"/>
          <w:color w:val="000000"/>
          <w:kern w:val="0"/>
          <w:sz w:val="24"/>
          <w:szCs w:val="24"/>
          <w:highlight w:val="none"/>
        </w:rPr>
        <w:t>）</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6、上年度南山区住宿餐饮20强企业，以及总部在南山区的国内连锁品牌酒店管理公司（管理酒店数量需在3家及以上）；（</w:t>
      </w:r>
      <w:r>
        <w:rPr>
          <w:rFonts w:hint="eastAsia" w:ascii="宋体" w:hAnsi="宋体"/>
          <w:color w:val="000000"/>
          <w:kern w:val="0"/>
          <w:sz w:val="24"/>
          <w:highlight w:val="none"/>
        </w:rPr>
        <w:t>区工信局</w:t>
      </w:r>
      <w:r>
        <w:rPr>
          <w:rFonts w:hint="eastAsia" w:ascii="宋体" w:hAnsi="宋体" w:cs="Segoe UI"/>
          <w:color w:val="000000"/>
          <w:kern w:val="0"/>
          <w:sz w:val="24"/>
          <w:szCs w:val="24"/>
          <w:highlight w:val="none"/>
        </w:rPr>
        <w:t>）</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olor w:val="000000"/>
          <w:kern w:val="0"/>
          <w:sz w:val="24"/>
          <w:highlight w:val="none"/>
        </w:rPr>
        <w:t>7、</w:t>
      </w:r>
      <w:r>
        <w:rPr>
          <w:rFonts w:hint="eastAsia" w:ascii="宋体" w:hAnsi="宋体" w:cs="Segoe UI"/>
          <w:color w:val="000000"/>
          <w:kern w:val="0"/>
          <w:sz w:val="24"/>
          <w:szCs w:val="24"/>
          <w:highlight w:val="none"/>
        </w:rPr>
        <w:t>南山辖区内的律师事务所或由南山区司法局作为业务主管机关的社会组织；（区司法局）</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8、南山辖区内的会计师事务所，且在上年度末注册会计师人数达10人以上；（区财政局）</w:t>
      </w:r>
    </w:p>
    <w:p>
      <w:pPr>
        <w:widowControl/>
        <w:shd w:val="clear" w:color="auto" w:fill="FFFFFF"/>
        <w:spacing w:line="360" w:lineRule="auto"/>
        <w:ind w:left="480"/>
        <w:jc w:val="left"/>
        <w:rPr>
          <w:rFonts w:hint="eastAsia" w:ascii="宋体" w:hAnsi="宋体" w:cs="Segoe UI"/>
          <w:color w:val="000000"/>
          <w:kern w:val="0"/>
          <w:sz w:val="24"/>
          <w:szCs w:val="24"/>
          <w:highlight w:val="none"/>
        </w:rPr>
      </w:pPr>
      <w:r>
        <w:rPr>
          <w:rFonts w:hint="eastAsia" w:ascii="宋体" w:hAnsi="宋体" w:cs="宋体"/>
          <w:color w:val="000000"/>
          <w:kern w:val="0"/>
          <w:sz w:val="24"/>
          <w:szCs w:val="24"/>
          <w:highlight w:val="none"/>
        </w:rPr>
        <w:t>9、在南山辖区至少有5个以上在管项目的</w:t>
      </w:r>
      <w:r>
        <w:rPr>
          <w:rFonts w:hint="eastAsia" w:ascii="宋体" w:hAnsi="宋体" w:cs="Segoe UI"/>
          <w:color w:val="000000"/>
          <w:kern w:val="0"/>
          <w:sz w:val="24"/>
          <w:szCs w:val="24"/>
          <w:highlight w:val="none"/>
        </w:rPr>
        <w:t>物业服务企业；（区住建局）</w:t>
      </w:r>
    </w:p>
    <w:p>
      <w:pPr>
        <w:widowControl/>
        <w:shd w:val="clear" w:color="auto" w:fill="FFFFFF"/>
        <w:spacing w:line="360" w:lineRule="auto"/>
        <w:ind w:left="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10、</w:t>
      </w:r>
      <w:r>
        <w:rPr>
          <w:rFonts w:hint="eastAsia"/>
          <w:color w:val="000000"/>
          <w:sz w:val="24"/>
          <w:szCs w:val="24"/>
          <w:highlight w:val="none"/>
        </w:rPr>
        <w:t>南山辖区内的人力资源服务机构；</w:t>
      </w:r>
      <w:r>
        <w:rPr>
          <w:rFonts w:hint="eastAsia" w:ascii="宋体" w:hAnsi="宋体" w:cs="Segoe UI"/>
          <w:color w:val="000000"/>
          <w:kern w:val="0"/>
          <w:sz w:val="24"/>
          <w:szCs w:val="24"/>
          <w:highlight w:val="none"/>
        </w:rPr>
        <w:t>（区人资局）</w:t>
      </w:r>
    </w:p>
    <w:p>
      <w:pPr>
        <w:widowControl/>
        <w:shd w:val="clear" w:color="auto" w:fill="FFFFFF"/>
        <w:spacing w:line="360" w:lineRule="auto"/>
        <w:ind w:left="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11、在南山辖区内的科技服务企业。（区科创局）</w:t>
      </w:r>
    </w:p>
    <w:p>
      <w:pPr>
        <w:widowControl/>
        <w:shd w:val="clear" w:color="auto" w:fill="FFFFFF"/>
        <w:spacing w:line="360" w:lineRule="auto"/>
        <w:ind w:firstLine="482" w:firstLineChars="20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（二）申报条件（须同时具备）</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1、工商注册和税务登记均在南山区；</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2、申报类别符合上述分类标准；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 xml:space="preserve">3、在南山区上年度纳税达100万元及以上； </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4、人才规模达20人(以通告日期社保登记为准，下同)。</w:t>
      </w:r>
    </w:p>
    <w:p>
      <w:pPr>
        <w:widowControl/>
        <w:shd w:val="clear" w:color="auto" w:fill="FFFFFF"/>
        <w:spacing w:line="360" w:lineRule="auto"/>
        <w:ind w:firstLine="482" w:firstLineChars="20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（三）评分细则</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1、根据税收贡献、统计贡献、人才规模三项指标，按权重比例计算出分值：税收贡献x40%</w:t>
      </w:r>
      <w:r>
        <w:rPr>
          <w:rFonts w:hint="eastAsia" w:ascii="宋体" w:hAnsi="宋体"/>
          <w:color w:val="000000"/>
          <w:kern w:val="0"/>
          <w:sz w:val="24"/>
          <w:highlight w:val="none"/>
        </w:rPr>
        <w:t>+</w:t>
      </w:r>
      <w:r>
        <w:rPr>
          <w:rFonts w:hint="eastAsia" w:ascii="宋体" w:hAnsi="宋体" w:cs="Segoe UI"/>
          <w:color w:val="000000"/>
          <w:kern w:val="0"/>
          <w:sz w:val="24"/>
          <w:szCs w:val="24"/>
          <w:highlight w:val="none"/>
        </w:rPr>
        <w:t>统计贡献x40%</w:t>
      </w:r>
      <w:r>
        <w:rPr>
          <w:rFonts w:hint="eastAsia" w:ascii="宋体" w:hAnsi="宋体"/>
          <w:color w:val="000000"/>
          <w:kern w:val="0"/>
          <w:sz w:val="24"/>
          <w:highlight w:val="none"/>
        </w:rPr>
        <w:t>+人才规模</w:t>
      </w:r>
      <w:r>
        <w:rPr>
          <w:rFonts w:hint="eastAsia" w:ascii="宋体" w:hAnsi="宋体" w:cs="Segoe UI"/>
          <w:color w:val="000000"/>
          <w:kern w:val="0"/>
          <w:sz w:val="24"/>
          <w:szCs w:val="24"/>
          <w:highlight w:val="none"/>
        </w:rPr>
        <w:t>x20%（统计贡献由南山区统计局对其在库企业进行统一统计）；</w:t>
      </w:r>
    </w:p>
    <w:p>
      <w:pPr>
        <w:widowControl/>
        <w:shd w:val="clear" w:color="auto" w:fill="FFFFFF"/>
        <w:spacing w:line="360" w:lineRule="auto"/>
        <w:ind w:firstLine="48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2、统计贡献计算方法：统计</w:t>
      </w:r>
      <w:r>
        <w:rPr>
          <w:rFonts w:ascii="宋体" w:hAnsi="宋体" w:cs="Segoe UI"/>
          <w:color w:val="000000"/>
          <w:kern w:val="0"/>
          <w:sz w:val="24"/>
          <w:szCs w:val="24"/>
          <w:highlight w:val="none"/>
        </w:rPr>
        <w:t>贡献</w:t>
      </w:r>
      <w:r>
        <w:rPr>
          <w:rFonts w:hint="eastAsia" w:ascii="宋体" w:hAnsi="宋体" w:cs="Segoe UI"/>
          <w:color w:val="000000"/>
          <w:kern w:val="0"/>
          <w:sz w:val="24"/>
          <w:szCs w:val="24"/>
          <w:highlight w:val="none"/>
        </w:rPr>
        <w:t xml:space="preserve"> </w:t>
      </w:r>
      <w:r>
        <w:rPr>
          <w:rFonts w:ascii="宋体" w:hAnsi="宋体" w:cs="Segoe UI"/>
          <w:color w:val="000000"/>
          <w:kern w:val="0"/>
          <w:sz w:val="24"/>
          <w:szCs w:val="24"/>
          <w:highlight w:val="none"/>
        </w:rPr>
        <w:t>= 在库基本分</w:t>
      </w:r>
      <w:r>
        <w:rPr>
          <w:rFonts w:hint="eastAsia" w:ascii="宋体" w:hAnsi="宋体" w:cs="Segoe UI"/>
          <w:color w:val="000000"/>
          <w:kern w:val="0"/>
          <w:sz w:val="24"/>
          <w:szCs w:val="24"/>
          <w:highlight w:val="none"/>
        </w:rPr>
        <w:t>（50分）+ 排名</w:t>
      </w:r>
      <w:r>
        <w:rPr>
          <w:rFonts w:ascii="宋体" w:hAnsi="宋体" w:cs="Segoe UI"/>
          <w:color w:val="000000"/>
          <w:kern w:val="0"/>
          <w:sz w:val="24"/>
          <w:szCs w:val="24"/>
          <w:highlight w:val="none"/>
        </w:rPr>
        <w:t>加分</w:t>
      </w:r>
      <w:r>
        <w:rPr>
          <w:rFonts w:hint="eastAsia" w:ascii="宋体" w:hAnsi="宋体" w:cs="Segoe UI"/>
          <w:color w:val="000000"/>
          <w:kern w:val="0"/>
          <w:sz w:val="24"/>
          <w:szCs w:val="24"/>
          <w:highlight w:val="none"/>
        </w:rPr>
        <w:t>（50分）</w:t>
      </w:r>
      <w:r>
        <w:rPr>
          <w:rFonts w:hint="eastAsia" w:ascii="宋体" w:hAnsi="宋体" w:cs="Segoe UI"/>
          <w:color w:val="000000"/>
          <w:kern w:val="0"/>
          <w:sz w:val="24"/>
          <w:szCs w:val="24"/>
          <w:highlight w:val="none"/>
          <w:lang w:val="en-US" w:eastAsia="zh-CN"/>
        </w:rPr>
        <w:t>+增速加分（50）</w:t>
      </w:r>
      <w:r>
        <w:rPr>
          <w:rFonts w:hint="eastAsia" w:ascii="宋体" w:hAnsi="宋体" w:cs="Segoe UI"/>
          <w:color w:val="000000"/>
          <w:kern w:val="0"/>
          <w:sz w:val="24"/>
          <w:szCs w:val="24"/>
          <w:highlight w:val="none"/>
          <w:lang w:eastAsia="zh-CN"/>
        </w:rPr>
        <w:t>（说明：</w:t>
      </w:r>
      <w:r>
        <w:rPr>
          <w:rFonts w:hint="eastAsia" w:ascii="宋体" w:hAnsi="宋体" w:cs="Segoe UI"/>
          <w:color w:val="000000"/>
          <w:kern w:val="0"/>
          <w:sz w:val="24"/>
          <w:szCs w:val="24"/>
          <w:highlight w:val="none"/>
          <w:lang w:val="en-US" w:eastAsia="zh-CN"/>
        </w:rPr>
        <w:t>排名、增速均以上年度“定报”数据为准，不在库企业，无“统计贡献”分值）。</w:t>
      </w:r>
    </w:p>
    <w:p>
      <w:pPr>
        <w:widowControl/>
        <w:shd w:val="clear" w:color="auto" w:fill="FFFFFF"/>
        <w:spacing w:line="360" w:lineRule="auto"/>
        <w:ind w:firstLine="480"/>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①</w:t>
      </w:r>
      <w:r>
        <w:rPr>
          <w:rFonts w:hint="eastAsia" w:ascii="宋体" w:hAnsi="宋体" w:cs="Segoe UI"/>
          <w:color w:val="000000"/>
          <w:kern w:val="0"/>
          <w:sz w:val="24"/>
          <w:szCs w:val="24"/>
          <w:highlight w:val="none"/>
        </w:rPr>
        <w:t>基本</w:t>
      </w:r>
      <w:r>
        <w:rPr>
          <w:rFonts w:ascii="宋体" w:hAnsi="宋体" w:cs="Segoe UI"/>
          <w:color w:val="000000"/>
          <w:kern w:val="0"/>
          <w:sz w:val="24"/>
          <w:szCs w:val="24"/>
          <w:highlight w:val="none"/>
        </w:rPr>
        <w:t>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lang w:eastAsia="zh-CN"/>
        </w:rPr>
        <w:t>南山区在库企业，且年度经营数据达到国家规定限额标准，配合做好统计数据报送工作的，得基本分50分；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lang w:eastAsia="zh-CN"/>
        </w:rPr>
        <w:t>②</w:t>
      </w:r>
      <w:r>
        <w:rPr>
          <w:rFonts w:hint="eastAsia" w:ascii="宋体" w:hAnsi="宋体" w:cs="Segoe UI"/>
          <w:color w:val="000000"/>
          <w:kern w:val="0"/>
          <w:sz w:val="24"/>
          <w:szCs w:val="24"/>
          <w:highlight w:val="none"/>
        </w:rPr>
        <w:t>排名</w:t>
      </w:r>
      <w:r>
        <w:rPr>
          <w:rFonts w:ascii="宋体" w:hAnsi="宋体" w:cs="Segoe UI"/>
          <w:color w:val="000000"/>
          <w:kern w:val="0"/>
          <w:sz w:val="24"/>
          <w:szCs w:val="24"/>
          <w:highlight w:val="none"/>
        </w:rPr>
        <w:t>加分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：根据企业在本行业的年度排名，</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%的企业加</w:t>
      </w:r>
      <w:r>
        <w:rPr>
          <w:rFonts w:hint="eastAsia" w:ascii="宋体" w:hAnsi="宋体" w:cs="Segoe UI"/>
          <w:color w:val="000000"/>
          <w:kern w:val="0"/>
          <w:sz w:val="24"/>
          <w:szCs w:val="24"/>
          <w:highlight w:val="none"/>
        </w:rPr>
        <w:t>50分</w:t>
      </w:r>
      <w:r>
        <w:rPr>
          <w:rFonts w:ascii="宋体" w:hAnsi="宋体" w:cs="Segoe UI"/>
          <w:color w:val="000000"/>
          <w:kern w:val="0"/>
          <w:sz w:val="24"/>
          <w:szCs w:val="24"/>
          <w:highlight w:val="none"/>
        </w:rPr>
        <w:t>，行业排名前</w:t>
      </w:r>
      <w:r>
        <w:rPr>
          <w:rFonts w:hint="eastAsia" w:ascii="宋体" w:hAnsi="宋体" w:cs="Segoe UI"/>
          <w:color w:val="000000"/>
          <w:kern w:val="0"/>
          <w:sz w:val="24"/>
          <w:szCs w:val="24"/>
          <w:highlight w:val="none"/>
        </w:rPr>
        <w:t>20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的企业（不含</w:t>
      </w:r>
      <w:r>
        <w:rPr>
          <w:rFonts w:ascii="宋体" w:hAnsi="宋体" w:cs="Segoe UI"/>
          <w:color w:val="000000"/>
          <w:kern w:val="0"/>
          <w:sz w:val="24"/>
          <w:szCs w:val="24"/>
          <w:highlight w:val="none"/>
        </w:rPr>
        <w:t>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后同</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加</w:t>
      </w:r>
      <w:r>
        <w:rPr>
          <w:rFonts w:hint="eastAsia" w:ascii="宋体" w:hAnsi="宋体" w:cs="Segoe UI"/>
          <w:color w:val="000000"/>
          <w:kern w:val="0"/>
          <w:sz w:val="24"/>
          <w:szCs w:val="24"/>
          <w:highlight w:val="none"/>
        </w:rPr>
        <w:t>40分</w:t>
      </w:r>
      <w:r>
        <w:rPr>
          <w:rFonts w:ascii="宋体" w:hAnsi="宋体" w:cs="Segoe UI"/>
          <w:color w:val="000000"/>
          <w:kern w:val="0"/>
          <w:sz w:val="24"/>
          <w:szCs w:val="24"/>
          <w:highlight w:val="none"/>
        </w:rPr>
        <w:t>，行业排名前3</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加3</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，行业排名前4</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加2</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排名在</w:t>
      </w:r>
      <w:r>
        <w:rPr>
          <w:rFonts w:hint="eastAsia" w:ascii="宋体" w:hAnsi="宋体" w:cs="Segoe UI"/>
          <w:color w:val="000000"/>
          <w:kern w:val="0"/>
          <w:sz w:val="24"/>
          <w:szCs w:val="24"/>
          <w:highlight w:val="none"/>
        </w:rPr>
        <w:t>前40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之后</w:t>
      </w:r>
      <w:r>
        <w:rPr>
          <w:rFonts w:ascii="宋体" w:hAnsi="宋体" w:cs="Segoe UI"/>
          <w:color w:val="000000"/>
          <w:kern w:val="0"/>
          <w:sz w:val="24"/>
          <w:szCs w:val="24"/>
          <w:highlight w:val="none"/>
        </w:rPr>
        <w:t>的</w:t>
      </w:r>
      <w:r>
        <w:rPr>
          <w:rFonts w:hint="eastAsia" w:ascii="宋体" w:hAnsi="宋体" w:cs="Segoe UI"/>
          <w:color w:val="000000"/>
          <w:kern w:val="0"/>
          <w:sz w:val="24"/>
          <w:szCs w:val="24"/>
          <w:highlight w:val="none"/>
        </w:rPr>
        <w:t>加10分</w:t>
      </w:r>
      <w:r>
        <w:rPr>
          <w:rFonts w:ascii="宋体" w:hAnsi="宋体" w:cs="Segoe UI"/>
          <w:color w:val="000000"/>
          <w:kern w:val="0"/>
          <w:sz w:val="24"/>
          <w:szCs w:val="24"/>
          <w:highlight w:val="none"/>
        </w:rPr>
        <w:t>，在库但无报送数据的，</w:t>
      </w:r>
      <w:r>
        <w:rPr>
          <w:rFonts w:hint="eastAsia" w:ascii="宋体" w:hAnsi="宋体" w:cs="Segoe UI"/>
          <w:color w:val="000000"/>
          <w:kern w:val="0"/>
          <w:sz w:val="24"/>
          <w:szCs w:val="24"/>
          <w:highlight w:val="none"/>
        </w:rPr>
        <w:t>不</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无加分</w:t>
      </w:r>
      <w:r>
        <w:rPr>
          <w:rFonts w:hint="eastAsia" w:ascii="宋体" w:hAnsi="宋体" w:cs="Segoe UI"/>
          <w:color w:val="000000"/>
          <w:kern w:val="0"/>
          <w:sz w:val="24"/>
          <w:szCs w:val="24"/>
          <w:highlight w:val="none"/>
          <w:lang w:eastAsia="zh-CN"/>
        </w:rPr>
        <w:t>，</w:t>
      </w:r>
      <w:r>
        <w:rPr>
          <w:rFonts w:hint="eastAsia" w:ascii="宋体" w:hAnsi="宋体" w:cs="Segoe UI"/>
          <w:color w:val="000000"/>
          <w:kern w:val="0"/>
          <w:sz w:val="24"/>
          <w:szCs w:val="24"/>
          <w:highlight w:val="none"/>
        </w:rPr>
        <w:t>（说明：行业</w:t>
      </w:r>
      <w:r>
        <w:rPr>
          <w:rFonts w:ascii="宋体" w:hAnsi="宋体" w:cs="Segoe UI"/>
          <w:color w:val="000000"/>
          <w:kern w:val="0"/>
          <w:sz w:val="24"/>
          <w:szCs w:val="24"/>
          <w:highlight w:val="none"/>
        </w:rPr>
        <w:t>分类</w:t>
      </w:r>
      <w:r>
        <w:rPr>
          <w:rFonts w:hint="eastAsia" w:ascii="宋体" w:hAnsi="宋体" w:cs="Segoe UI"/>
          <w:color w:val="000000"/>
          <w:kern w:val="0"/>
          <w:sz w:val="24"/>
          <w:szCs w:val="24"/>
          <w:highlight w:val="none"/>
        </w:rPr>
        <w:t>按</w:t>
      </w:r>
      <w:r>
        <w:rPr>
          <w:rFonts w:ascii="宋体" w:hAnsi="宋体" w:cs="Segoe UI"/>
          <w:color w:val="000000"/>
          <w:kern w:val="0"/>
          <w:sz w:val="24"/>
          <w:szCs w:val="24"/>
          <w:highlight w:val="none"/>
        </w:rPr>
        <w:t>照</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国民经济行业分类标准</w:t>
      </w:r>
      <w:r>
        <w:rPr>
          <w:rFonts w:hint="eastAsia" w:ascii="宋体" w:hAnsi="宋体" w:cs="Segoe UI"/>
          <w:color w:val="000000"/>
          <w:kern w:val="0"/>
          <w:sz w:val="24"/>
          <w:szCs w:val="24"/>
          <w:highlight w:val="none"/>
        </w:rPr>
        <w:t>》以国家统计局联网直报系统中确定</w:t>
      </w:r>
      <w:r>
        <w:rPr>
          <w:rFonts w:ascii="宋体" w:hAnsi="宋体" w:cs="Segoe UI"/>
          <w:color w:val="000000"/>
          <w:kern w:val="0"/>
          <w:sz w:val="24"/>
          <w:szCs w:val="24"/>
          <w:highlight w:val="none"/>
        </w:rPr>
        <w:t>的行业代码为准</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的</w:t>
      </w:r>
      <w:r>
        <w:rPr>
          <w:rFonts w:ascii="宋体" w:hAnsi="宋体" w:cs="Segoe UI"/>
          <w:color w:val="000000"/>
          <w:kern w:val="0"/>
          <w:sz w:val="24"/>
          <w:szCs w:val="24"/>
          <w:highlight w:val="none"/>
        </w:rPr>
        <w:t>依据</w:t>
      </w:r>
      <w:r>
        <w:rPr>
          <w:rFonts w:hint="eastAsia" w:ascii="宋体" w:hAnsi="宋体" w:cs="Segoe UI"/>
          <w:color w:val="000000"/>
          <w:kern w:val="0"/>
          <w:sz w:val="24"/>
          <w:szCs w:val="24"/>
          <w:highlight w:val="none"/>
        </w:rPr>
        <w:t>：根据</w:t>
      </w:r>
      <w:r>
        <w:rPr>
          <w:rFonts w:ascii="宋体" w:hAnsi="宋体" w:cs="Segoe UI"/>
          <w:color w:val="000000"/>
          <w:kern w:val="0"/>
          <w:sz w:val="24"/>
          <w:szCs w:val="24"/>
          <w:highlight w:val="none"/>
        </w:rPr>
        <w:t>各行业的关键指标进行排名）</w:t>
      </w:r>
      <w:r>
        <w:rPr>
          <w:rFonts w:hint="eastAsia" w:ascii="宋体" w:hAnsi="宋体" w:cs="Segoe UI"/>
          <w:color w:val="000000"/>
          <w:kern w:val="0"/>
          <w:sz w:val="24"/>
          <w:szCs w:val="24"/>
          <w:highlight w:val="none"/>
        </w:rPr>
        <w:t>；</w:t>
      </w:r>
    </w:p>
    <w:p>
      <w:pPr>
        <w:widowControl/>
        <w:shd w:val="clear" w:color="auto" w:fill="FFFFFF"/>
        <w:spacing w:line="360" w:lineRule="auto"/>
        <w:ind w:firstLine="480"/>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③增速加分计算：</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eastAsia="zh-CN"/>
        </w:rPr>
        <w:t>行业排名前</w:t>
      </w:r>
      <w:r>
        <w:rPr>
          <w:rFonts w:hint="eastAsia" w:ascii="宋体" w:hAnsi="宋体" w:cs="Segoe UI"/>
          <w:color w:val="000000"/>
          <w:kern w:val="0"/>
          <w:sz w:val="24"/>
          <w:szCs w:val="24"/>
          <w:highlight w:val="none"/>
          <w:lang w:val="en-US" w:eastAsia="zh-CN"/>
        </w:rPr>
        <w:t>10%的企业：增速达15%及以上的，加50分，增速为10%（含）～15%的，加45分，增速为5%（含）～10%的，加40分，增速不足5%的，加30分；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行业排名前20%的企业：增速达25%及以上的，加45分，增速为15%（含）～25%的，加40分，增速为5%（含）～15%的，加35分，增速不足5%的，加30分；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行业排名前30%的企业：增速达35%及以上的，加40分，增速为20%（含）～35%的，加35分，增速为10%（含）～20%的，加30分，增速不足10%的，加25分；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行业排名前40%的企业：增速达45%及以上的，加35分，增速为30%（含）～45%的，加30分，增速为15%（含）～30%的，加25分，增速不足15%的，加20分；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行业排名前40%之后的企业：增速达60%及以上的，加30分，增速为30%（含）～60%的，加20分，增速不足30%的，加10分；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上年“年度入库企业”，按在库企业基础分及增速排名最低一档计算，即统计贡献为基础分50+增速加分10分。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3、统计贡献行业排名由南山区统计局提供，企业在申报时无需填写，“申报系统”中自动生成，可自行查看；</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4、税收贡献，上一年度（1月1日-12月31日）税款缴纳时间为准，不考虑税款的所属期，含代扣代缴税费；</w:t>
      </w: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5、上述“分类标准”中1-6类，进行统一评分、排序； 7-11类，进行统一评分、排序。</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具体细则如下：</w:t>
      </w:r>
    </w:p>
    <w:tbl>
      <w:tblPr>
        <w:tblStyle w:val="8"/>
        <w:tblW w:w="9111" w:type="dxa"/>
        <w:tblInd w:w="-72" w:type="dxa"/>
        <w:tblLayout w:type="fixed"/>
        <w:tblCellMar>
          <w:top w:w="0" w:type="dxa"/>
          <w:left w:w="0" w:type="dxa"/>
          <w:bottom w:w="0" w:type="dxa"/>
          <w:right w:w="0" w:type="dxa"/>
        </w:tblCellMar>
      </w:tblPr>
      <w:tblGrid>
        <w:gridCol w:w="720"/>
        <w:gridCol w:w="1393"/>
        <w:gridCol w:w="6005"/>
        <w:gridCol w:w="993"/>
      </w:tblGrid>
      <w:tr>
        <w:tblPrEx>
          <w:tblLayout w:type="fixed"/>
          <w:tblCellMar>
            <w:top w:w="0" w:type="dxa"/>
            <w:left w:w="0" w:type="dxa"/>
            <w:bottom w:w="0" w:type="dxa"/>
            <w:right w:w="0" w:type="dxa"/>
          </w:tblCellMar>
        </w:tblPrEx>
        <w:trPr>
          <w:trHeight w:val="490" w:hRule="atLeast"/>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序号</w:t>
            </w:r>
          </w:p>
        </w:tc>
        <w:tc>
          <w:tcPr>
            <w:tcW w:w="13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指标名称</w:t>
            </w:r>
          </w:p>
        </w:tc>
        <w:tc>
          <w:tcPr>
            <w:tcW w:w="60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评分说明</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得分</w:t>
            </w:r>
          </w:p>
        </w:tc>
      </w:tr>
      <w:tr>
        <w:tblPrEx>
          <w:tblLayout w:type="fixed"/>
          <w:tblCellMar>
            <w:top w:w="0" w:type="dxa"/>
            <w:left w:w="0" w:type="dxa"/>
            <w:bottom w:w="0" w:type="dxa"/>
            <w:right w:w="0" w:type="dxa"/>
          </w:tblCellMar>
        </w:tblPrEx>
        <w:trPr>
          <w:trHeight w:val="670"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13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税收贡献</w:t>
            </w:r>
          </w:p>
        </w:tc>
        <w:tc>
          <w:tcPr>
            <w:tcW w:w="60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在南山区纳税额达100万元，得60分；每增加50万元加1分。</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A</w:t>
            </w:r>
          </w:p>
        </w:tc>
      </w:tr>
      <w:tr>
        <w:tblPrEx>
          <w:tblLayout w:type="fixed"/>
          <w:tblCellMar>
            <w:top w:w="0" w:type="dxa"/>
            <w:left w:w="0" w:type="dxa"/>
            <w:bottom w:w="0" w:type="dxa"/>
            <w:right w:w="0" w:type="dxa"/>
          </w:tblCellMar>
        </w:tblPrEx>
        <w:trPr>
          <w:trHeight w:val="670"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13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s="Segoe UI"/>
                <w:color w:val="000000"/>
                <w:kern w:val="0"/>
                <w:sz w:val="24"/>
                <w:szCs w:val="24"/>
                <w:highlight w:val="none"/>
              </w:rPr>
              <w:t>统计贡献</w:t>
            </w:r>
          </w:p>
        </w:tc>
        <w:tc>
          <w:tcPr>
            <w:tcW w:w="60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left"/>
              <w:rPr>
                <w:rFonts w:hint="eastAsia" w:ascii="宋体" w:hAnsi="宋体"/>
                <w:color w:val="000000"/>
                <w:kern w:val="0"/>
                <w:sz w:val="24"/>
                <w:highlight w:val="none"/>
                <w:lang w:eastAsia="zh-CN"/>
              </w:rPr>
            </w:pPr>
            <w:r>
              <w:rPr>
                <w:rFonts w:hint="eastAsia" w:ascii="宋体" w:hAnsi="宋体" w:cs="Segoe UI"/>
                <w:color w:val="000000"/>
                <w:kern w:val="0"/>
                <w:sz w:val="24"/>
                <w:szCs w:val="24"/>
                <w:highlight w:val="none"/>
                <w:lang w:eastAsia="zh-CN"/>
              </w:rPr>
              <w:t>①</w:t>
            </w:r>
            <w:r>
              <w:rPr>
                <w:rFonts w:hint="eastAsia" w:ascii="宋体" w:hAnsi="宋体" w:cs="Segoe UI"/>
                <w:color w:val="000000"/>
                <w:kern w:val="0"/>
                <w:sz w:val="24"/>
                <w:szCs w:val="24"/>
                <w:highlight w:val="none"/>
              </w:rPr>
              <w:t>基本</w:t>
            </w:r>
            <w:r>
              <w:rPr>
                <w:rFonts w:ascii="宋体" w:hAnsi="宋体" w:cs="Segoe UI"/>
                <w:color w:val="000000"/>
                <w:kern w:val="0"/>
                <w:sz w:val="24"/>
                <w:szCs w:val="24"/>
                <w:highlight w:val="none"/>
              </w:rPr>
              <w:t>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lang w:eastAsia="zh-CN"/>
              </w:rPr>
              <w:t>南山区在库企业，且年度经营数据达到国家规定限额标准，配合做好统计数据报送工作的，得基本分50分；</w:t>
            </w:r>
          </w:p>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lang w:eastAsia="zh-CN"/>
              </w:rPr>
              <w:t>②</w:t>
            </w:r>
            <w:r>
              <w:rPr>
                <w:rFonts w:hint="eastAsia" w:ascii="宋体" w:hAnsi="宋体" w:cs="Segoe UI"/>
                <w:color w:val="000000"/>
                <w:kern w:val="0"/>
                <w:sz w:val="24"/>
                <w:szCs w:val="24"/>
                <w:highlight w:val="none"/>
              </w:rPr>
              <w:t>加分计算</w:t>
            </w:r>
            <w:r>
              <w:rPr>
                <w:rFonts w:ascii="宋体" w:hAnsi="宋体" w:cs="Segoe UI"/>
                <w:color w:val="000000"/>
                <w:kern w:val="0"/>
                <w:sz w:val="24"/>
                <w:szCs w:val="24"/>
                <w:highlight w:val="none"/>
              </w:rPr>
              <w:t>：根据企业在本行业的年度排名，</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%的企业加</w:t>
            </w:r>
            <w:r>
              <w:rPr>
                <w:rFonts w:hint="eastAsia" w:ascii="宋体" w:hAnsi="宋体" w:cs="Segoe UI"/>
                <w:color w:val="000000"/>
                <w:kern w:val="0"/>
                <w:sz w:val="24"/>
                <w:szCs w:val="24"/>
                <w:highlight w:val="none"/>
              </w:rPr>
              <w:t>50分</w:t>
            </w:r>
            <w:r>
              <w:rPr>
                <w:rFonts w:ascii="宋体" w:hAnsi="宋体" w:cs="Segoe UI"/>
                <w:color w:val="000000"/>
                <w:kern w:val="0"/>
                <w:sz w:val="24"/>
                <w:szCs w:val="24"/>
                <w:highlight w:val="none"/>
              </w:rPr>
              <w:t>，行业排名前</w:t>
            </w:r>
            <w:r>
              <w:rPr>
                <w:rFonts w:hint="eastAsia" w:ascii="宋体" w:hAnsi="宋体" w:cs="Segoe UI"/>
                <w:color w:val="000000"/>
                <w:kern w:val="0"/>
                <w:sz w:val="24"/>
                <w:szCs w:val="24"/>
                <w:highlight w:val="none"/>
              </w:rPr>
              <w:t>20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的企业（不含</w:t>
            </w:r>
            <w:r>
              <w:rPr>
                <w:rFonts w:ascii="宋体" w:hAnsi="宋体" w:cs="Segoe UI"/>
                <w:color w:val="000000"/>
                <w:kern w:val="0"/>
                <w:sz w:val="24"/>
                <w:szCs w:val="24"/>
                <w:highlight w:val="none"/>
              </w:rPr>
              <w:t>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后同</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加</w:t>
            </w:r>
            <w:r>
              <w:rPr>
                <w:rFonts w:hint="eastAsia" w:ascii="宋体" w:hAnsi="宋体" w:cs="Segoe UI"/>
                <w:color w:val="000000"/>
                <w:kern w:val="0"/>
                <w:sz w:val="24"/>
                <w:szCs w:val="24"/>
                <w:highlight w:val="none"/>
              </w:rPr>
              <w:t>40分</w:t>
            </w:r>
            <w:r>
              <w:rPr>
                <w:rFonts w:ascii="宋体" w:hAnsi="宋体" w:cs="Segoe UI"/>
                <w:color w:val="000000"/>
                <w:kern w:val="0"/>
                <w:sz w:val="24"/>
                <w:szCs w:val="24"/>
                <w:highlight w:val="none"/>
              </w:rPr>
              <w:t>，行业排名前3</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加3</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，行业排名前4</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加2</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排名在</w:t>
            </w:r>
            <w:r>
              <w:rPr>
                <w:rFonts w:hint="eastAsia" w:ascii="宋体" w:hAnsi="宋体" w:cs="Segoe UI"/>
                <w:color w:val="000000"/>
                <w:kern w:val="0"/>
                <w:sz w:val="24"/>
                <w:szCs w:val="24"/>
                <w:highlight w:val="none"/>
              </w:rPr>
              <w:t>前40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之后</w:t>
            </w:r>
            <w:r>
              <w:rPr>
                <w:rFonts w:ascii="宋体" w:hAnsi="宋体" w:cs="Segoe UI"/>
                <w:color w:val="000000"/>
                <w:kern w:val="0"/>
                <w:sz w:val="24"/>
                <w:szCs w:val="24"/>
                <w:highlight w:val="none"/>
              </w:rPr>
              <w:t>的</w:t>
            </w:r>
            <w:r>
              <w:rPr>
                <w:rFonts w:hint="eastAsia" w:ascii="宋体" w:hAnsi="宋体" w:cs="Segoe UI"/>
                <w:color w:val="000000"/>
                <w:kern w:val="0"/>
                <w:sz w:val="24"/>
                <w:szCs w:val="24"/>
                <w:highlight w:val="none"/>
              </w:rPr>
              <w:t>加10分</w:t>
            </w:r>
            <w:r>
              <w:rPr>
                <w:rFonts w:ascii="宋体" w:hAnsi="宋体" w:cs="Segoe UI"/>
                <w:color w:val="000000"/>
                <w:kern w:val="0"/>
                <w:sz w:val="24"/>
                <w:szCs w:val="24"/>
                <w:highlight w:val="none"/>
              </w:rPr>
              <w:t>，在库但无报送数据的，</w:t>
            </w:r>
            <w:r>
              <w:rPr>
                <w:rFonts w:hint="eastAsia" w:ascii="宋体" w:hAnsi="宋体" w:cs="Segoe UI"/>
                <w:color w:val="000000"/>
                <w:kern w:val="0"/>
                <w:sz w:val="24"/>
                <w:szCs w:val="24"/>
                <w:highlight w:val="none"/>
              </w:rPr>
              <w:t>不</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无加分。</w:t>
            </w:r>
          </w:p>
          <w:p>
            <w:pPr>
              <w:widowControl/>
              <w:shd w:val="clear" w:color="auto" w:fill="FFFFFF"/>
              <w:spacing w:line="360" w:lineRule="auto"/>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③增速加分计算：</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eastAsia="zh-CN"/>
              </w:rPr>
              <w:t>行业排名前</w:t>
            </w:r>
            <w:r>
              <w:rPr>
                <w:rFonts w:hint="eastAsia" w:ascii="宋体" w:hAnsi="宋体" w:cs="Segoe UI"/>
                <w:color w:val="000000"/>
                <w:kern w:val="0"/>
                <w:sz w:val="24"/>
                <w:szCs w:val="24"/>
                <w:highlight w:val="none"/>
                <w:lang w:val="en-US" w:eastAsia="zh-CN"/>
              </w:rPr>
              <w:t>10%的企业：增速达15%及以上的，加50分，增速为10%（含）～15%的，加45分，增速为5%（含）～10%的，加40分，增速不足5%的，加30分；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行业排名前20%的企业：增速达25%及以上的，加45分，增速为15%（含）～25%的，加40分，增速为5%（含）～15%的，加35分，增速不足5%的，加30分；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行业排名前30%的企业：增速达35%及以上的，加40分，增速为20%（含）～35%的，加35分，增速为10%（含）～20%的，加30分，增速不足10%的，加25分；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行业排名前40%的企业：增速达45%及以上的，加35分，增速为30%（含）～45%的，加30分，增速为15%（含）～30%的，加25分，增速不足15%的，加20分；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行业排名前40%之后的企业：增速达60%及以上的，加30分，增速为30%（含）～60%的，加20分，增速不足30%的，加10分；</w:t>
            </w:r>
          </w:p>
          <w:p>
            <w:pPr>
              <w:widowControl/>
              <w:spacing w:line="360" w:lineRule="auto"/>
              <w:jc w:val="left"/>
              <w:rPr>
                <w:rFonts w:hint="eastAsia" w:ascii="宋体" w:hAnsi="宋体"/>
                <w:color w:val="000000"/>
                <w:kern w:val="0"/>
                <w:sz w:val="24"/>
                <w:highlight w:val="none"/>
              </w:rPr>
            </w:pPr>
            <w:r>
              <w:rPr>
                <w:rFonts w:hint="eastAsia" w:ascii="宋体" w:hAnsi="宋体" w:cs="Segoe UI"/>
                <w:color w:val="000000"/>
                <w:kern w:val="0"/>
                <w:sz w:val="24"/>
                <w:szCs w:val="24"/>
                <w:highlight w:val="none"/>
                <w:lang w:val="en-US" w:eastAsia="zh-CN"/>
              </w:rPr>
              <w:t>上年“年度入库企业”，按在库企业基础分及增速排名最低一档计算，即统计贡献为基础分50+增速加分10分。</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B</w:t>
            </w:r>
          </w:p>
        </w:tc>
      </w:tr>
      <w:tr>
        <w:tblPrEx>
          <w:tblLayout w:type="fixed"/>
          <w:tblCellMar>
            <w:top w:w="0" w:type="dxa"/>
            <w:left w:w="0" w:type="dxa"/>
            <w:bottom w:w="0" w:type="dxa"/>
            <w:right w:w="0" w:type="dxa"/>
          </w:tblCellMar>
        </w:tblPrEx>
        <w:trPr>
          <w:trHeight w:val="670"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13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人才规模</w:t>
            </w:r>
          </w:p>
        </w:tc>
        <w:tc>
          <w:tcPr>
            <w:tcW w:w="60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人才规模达20人，得60分；每增加1人加0.2分。</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C</w:t>
            </w:r>
          </w:p>
        </w:tc>
      </w:tr>
      <w:tr>
        <w:tblPrEx>
          <w:tblLayout w:type="fixed"/>
          <w:tblCellMar>
            <w:top w:w="0" w:type="dxa"/>
            <w:left w:w="0" w:type="dxa"/>
            <w:bottom w:w="0" w:type="dxa"/>
            <w:right w:w="0" w:type="dxa"/>
          </w:tblCellMar>
        </w:tblPrEx>
        <w:trPr>
          <w:trHeight w:val="828" w:hRule="atLeast"/>
        </w:trPr>
        <w:tc>
          <w:tcPr>
            <w:tcW w:w="211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总评分</w:t>
            </w:r>
          </w:p>
        </w:tc>
        <w:tc>
          <w:tcPr>
            <w:tcW w:w="60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计算方法：Ax40%+Bx40%+Cx20%</w:t>
            </w:r>
          </w:p>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(总分相等的企业按上年度纳税金额高低排序)</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　</w:t>
            </w:r>
          </w:p>
        </w:tc>
      </w:tr>
    </w:tbl>
    <w:p>
      <w:pPr>
        <w:widowControl/>
        <w:shd w:val="clear" w:color="auto" w:fill="FFFFFF"/>
        <w:spacing w:line="360" w:lineRule="auto"/>
        <w:ind w:firstLine="120" w:firstLineChars="50"/>
        <w:jc w:val="left"/>
        <w:rPr>
          <w:rFonts w:hint="eastAsia" w:ascii="宋体" w:hAnsi="宋体" w:cs="Segoe UI"/>
          <w:color w:val="000000"/>
          <w:kern w:val="0"/>
          <w:sz w:val="24"/>
          <w:szCs w:val="24"/>
          <w:highlight w:val="none"/>
        </w:rPr>
      </w:pPr>
    </w:p>
    <w:p>
      <w:pPr>
        <w:widowControl/>
        <w:shd w:val="clear" w:color="auto" w:fill="FFFFFF"/>
        <w:spacing w:line="360" w:lineRule="auto"/>
        <w:ind w:firstLine="120" w:firstLineChars="5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（四）申报材料</w:t>
      </w:r>
    </w:p>
    <w:tbl>
      <w:tblPr>
        <w:tblStyle w:val="8"/>
        <w:tblW w:w="9000" w:type="dxa"/>
        <w:tblInd w:w="-72" w:type="dxa"/>
        <w:tblLayout w:type="fixed"/>
        <w:tblCellMar>
          <w:top w:w="0" w:type="dxa"/>
          <w:left w:w="0" w:type="dxa"/>
          <w:bottom w:w="0" w:type="dxa"/>
          <w:right w:w="0" w:type="dxa"/>
        </w:tblCellMar>
      </w:tblPr>
      <w:tblGrid>
        <w:gridCol w:w="720"/>
        <w:gridCol w:w="5760"/>
        <w:gridCol w:w="2520"/>
      </w:tblGrid>
      <w:tr>
        <w:tblPrEx>
          <w:tblLayout w:type="fixed"/>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序号</w:t>
            </w:r>
          </w:p>
        </w:tc>
        <w:tc>
          <w:tcPr>
            <w:tcW w:w="57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b/>
                <w:color w:val="000000"/>
                <w:kern w:val="0"/>
                <w:sz w:val="24"/>
                <w:highlight w:val="none"/>
              </w:rPr>
            </w:pPr>
            <w:r>
              <w:rPr>
                <w:rFonts w:hint="eastAsia" w:ascii="宋体" w:hAnsi="宋体"/>
                <w:b/>
                <w:color w:val="000000"/>
                <w:kern w:val="0"/>
                <w:sz w:val="24"/>
                <w:highlight w:val="none"/>
              </w:rPr>
              <w:t>材料名称</w:t>
            </w:r>
          </w:p>
        </w:tc>
        <w:tc>
          <w:tcPr>
            <w:tcW w:w="25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材料形式</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南山区人才安居定向配租补租申报表。</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rPr>
          <w:trHeight w:val="694"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三证合一新版营业执照（未换领三证合一新版营业执照的，提交原旧版营业执照、组织机构代码证书、税务登记证书）、法定代表人（或非法人企业负责人）身份证复印件。</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olor w:val="000000"/>
                <w:kern w:val="0"/>
                <w:sz w:val="24"/>
                <w:highlight w:val="none"/>
                <w:lang w:eastAsia="zh-CN"/>
              </w:rPr>
            </w:pPr>
            <w:r>
              <w:rPr>
                <w:rFonts w:hint="eastAsia" w:ascii="宋体" w:hAnsi="宋体"/>
                <w:color w:val="000000"/>
                <w:kern w:val="0"/>
                <w:sz w:val="24"/>
                <w:highlight w:val="none"/>
              </w:rPr>
              <w:t>申报分类标准中</w:t>
            </w:r>
            <w:r>
              <w:rPr>
                <w:rFonts w:hint="eastAsia" w:ascii="宋体" w:hAnsi="宋体"/>
                <w:color w:val="000000"/>
                <w:kern w:val="0"/>
                <w:sz w:val="24"/>
                <w:highlight w:val="none"/>
                <w:lang w:eastAsia="zh-CN"/>
              </w:rPr>
              <w:t>第</w:t>
            </w:r>
            <w:r>
              <w:rPr>
                <w:rFonts w:hint="eastAsia" w:ascii="宋体" w:hAnsi="宋体"/>
                <w:color w:val="000000"/>
                <w:kern w:val="0"/>
                <w:sz w:val="24"/>
                <w:highlight w:val="none"/>
              </w:rPr>
              <w:t>1、2、3、4、5、6类的企业，需提交</w:t>
            </w:r>
            <w:r>
              <w:rPr>
                <w:rFonts w:hint="eastAsia" w:ascii="宋体" w:hAnsi="宋体"/>
                <w:color w:val="000000"/>
                <w:kern w:val="0"/>
                <w:sz w:val="24"/>
                <w:highlight w:val="none"/>
                <w:lang w:eastAsia="zh-CN"/>
              </w:rPr>
              <w:t>相应认定资质的相关证明。第</w:t>
            </w:r>
            <w:r>
              <w:rPr>
                <w:rFonts w:hint="eastAsia" w:ascii="宋体" w:hAnsi="宋体"/>
                <w:color w:val="000000"/>
                <w:kern w:val="0"/>
                <w:sz w:val="24"/>
                <w:highlight w:val="none"/>
                <w:lang w:val="en-US" w:eastAsia="zh-CN"/>
              </w:rPr>
              <w:t>10类企业需递交</w:t>
            </w:r>
            <w:r>
              <w:rPr>
                <w:rFonts w:hint="eastAsia" w:ascii="宋体" w:hAnsi="宋体"/>
                <w:color w:val="000000"/>
                <w:kern w:val="0"/>
                <w:sz w:val="24"/>
                <w:highlight w:val="none"/>
              </w:rPr>
              <w:t>人力资源服务机构备案凭证</w:t>
            </w:r>
            <w:r>
              <w:rPr>
                <w:rFonts w:hint="eastAsia" w:ascii="宋体" w:hAnsi="宋体"/>
                <w:color w:val="000000"/>
                <w:kern w:val="0"/>
                <w:sz w:val="24"/>
                <w:highlight w:val="none"/>
                <w:lang w:eastAsia="zh-CN"/>
              </w:rPr>
              <w:t>。</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申报分类标准中7类的企业，需提交</w:t>
            </w:r>
            <w:r>
              <w:rPr>
                <w:rFonts w:hint="eastAsia" w:ascii="宋体" w:hAnsi="宋体" w:cs="Segoe UI"/>
                <w:color w:val="000000"/>
                <w:kern w:val="0"/>
                <w:sz w:val="24"/>
                <w:szCs w:val="24"/>
                <w:highlight w:val="none"/>
              </w:rPr>
              <w:t>上年度律师事务所人才名单或社会组织人员清单及社保清单。</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申报分类标准中8类的企业，需提交</w:t>
            </w:r>
            <w:r>
              <w:rPr>
                <w:rFonts w:hint="eastAsia" w:ascii="宋体" w:hAnsi="宋体" w:cs="Segoe UI"/>
                <w:color w:val="000000"/>
                <w:sz w:val="24"/>
                <w:szCs w:val="24"/>
                <w:highlight w:val="none"/>
              </w:rPr>
              <w:t>注册会计师名册及注册会计师证明材料。</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6</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申报分类标准中9类的企业，需提交</w:t>
            </w:r>
            <w:r>
              <w:rPr>
                <w:rFonts w:hint="eastAsia" w:ascii="宋体" w:hAnsi="宋体" w:cs="Segoe UI"/>
                <w:color w:val="000000"/>
                <w:kern w:val="0"/>
                <w:sz w:val="24"/>
                <w:szCs w:val="24"/>
                <w:highlight w:val="none"/>
              </w:rPr>
              <w:t>主管部门出具的物业服务合同备案回执。</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szCs w:val="24"/>
                <w:highlight w:val="none"/>
              </w:rPr>
            </w:pPr>
            <w:r>
              <w:rPr>
                <w:rFonts w:hint="eastAsia" w:ascii="宋体" w:hAnsi="宋体"/>
                <w:color w:val="000000"/>
                <w:kern w:val="0"/>
                <w:sz w:val="24"/>
                <w:szCs w:val="24"/>
                <w:highlight w:val="none"/>
              </w:rPr>
              <w:t>7</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hint="eastAsia"/>
                <w:color w:val="000000"/>
                <w:sz w:val="24"/>
                <w:szCs w:val="24"/>
                <w:highlight w:val="none"/>
              </w:rPr>
            </w:pPr>
            <w:r>
              <w:rPr>
                <w:rFonts w:hint="eastAsia"/>
                <w:color w:val="000000"/>
                <w:sz w:val="24"/>
                <w:szCs w:val="24"/>
                <w:highlight w:val="none"/>
              </w:rPr>
              <w:t>申报分类标准中10类的企业，需提交上年度人力资源服务机构人员名单及社保清单。</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szCs w:val="24"/>
                <w:highlight w:val="none"/>
              </w:rPr>
            </w:pPr>
            <w:r>
              <w:rPr>
                <w:rFonts w:hint="eastAsia" w:ascii="宋体" w:hAnsi="宋体"/>
                <w:color w:val="000000"/>
                <w:kern w:val="0"/>
                <w:sz w:val="24"/>
                <w:szCs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8</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申报分类标准中11类的企业，</w:t>
            </w:r>
            <w:r>
              <w:rPr>
                <w:rFonts w:ascii="宋体" w:hAnsi="宋体"/>
                <w:color w:val="000000"/>
                <w:kern w:val="0"/>
                <w:sz w:val="24"/>
                <w:highlight w:val="none"/>
              </w:rPr>
              <w:t>需按照</w:t>
            </w:r>
            <w:r>
              <w:rPr>
                <w:rFonts w:hint="eastAsia" w:ascii="宋体" w:hAnsi="宋体"/>
                <w:color w:val="000000"/>
                <w:kern w:val="0"/>
                <w:sz w:val="24"/>
                <w:highlight w:val="none"/>
              </w:rPr>
              <w:t>具体类别</w:t>
            </w:r>
            <w:r>
              <w:rPr>
                <w:rFonts w:ascii="宋体" w:hAnsi="宋体"/>
                <w:color w:val="000000"/>
                <w:kern w:val="0"/>
                <w:sz w:val="24"/>
                <w:highlight w:val="none"/>
              </w:rPr>
              <w:t>提供</w:t>
            </w:r>
            <w:r>
              <w:rPr>
                <w:rFonts w:hint="eastAsia" w:ascii="宋体" w:hAnsi="宋体"/>
                <w:color w:val="000000"/>
                <w:kern w:val="0"/>
                <w:sz w:val="24"/>
                <w:highlight w:val="none"/>
              </w:rPr>
              <w:t>相应材料</w:t>
            </w:r>
            <w:r>
              <w:rPr>
                <w:rFonts w:ascii="宋体" w:hAnsi="宋体"/>
                <w:color w:val="000000"/>
                <w:kern w:val="0"/>
                <w:sz w:val="24"/>
                <w:highlight w:val="none"/>
              </w:rPr>
              <w:t>：</w:t>
            </w:r>
            <w:r>
              <w:rPr>
                <w:rFonts w:hint="eastAsia" w:ascii="宋体" w:hAnsi="宋体"/>
                <w:color w:val="000000"/>
                <w:kern w:val="0"/>
                <w:sz w:val="24"/>
                <w:highlight w:val="none"/>
              </w:rPr>
              <w:t>（符合一项即可）</w:t>
            </w:r>
          </w:p>
          <w:p>
            <w:pPr>
              <w:widowControl/>
              <w:numPr>
                <w:ilvl w:val="0"/>
                <w:numId w:val="1"/>
              </w:numPr>
              <w:spacing w:line="360" w:lineRule="auto"/>
              <w:jc w:val="left"/>
              <w:rPr>
                <w:rFonts w:ascii="宋体" w:hAnsi="宋体"/>
                <w:color w:val="000000"/>
                <w:kern w:val="0"/>
                <w:sz w:val="24"/>
                <w:highlight w:val="none"/>
              </w:rPr>
            </w:pPr>
            <w:r>
              <w:rPr>
                <w:rFonts w:ascii="宋体" w:hAnsi="宋体"/>
                <w:color w:val="000000"/>
                <w:kern w:val="0"/>
                <w:sz w:val="24"/>
                <w:highlight w:val="none"/>
              </w:rPr>
              <w:t>技术转移：国家</w:t>
            </w:r>
            <w:r>
              <w:rPr>
                <w:rFonts w:hint="eastAsia" w:ascii="宋体" w:hAnsi="宋体"/>
                <w:color w:val="000000"/>
                <w:kern w:val="0"/>
                <w:sz w:val="24"/>
                <w:highlight w:val="none"/>
              </w:rPr>
              <w:t>技术转移</w:t>
            </w:r>
            <w:r>
              <w:rPr>
                <w:rFonts w:ascii="宋体" w:hAnsi="宋体"/>
                <w:color w:val="000000"/>
                <w:kern w:val="0"/>
                <w:sz w:val="24"/>
                <w:highlight w:val="none"/>
              </w:rPr>
              <w:t>示范机构证明</w:t>
            </w:r>
            <w:r>
              <w:rPr>
                <w:rFonts w:hint="eastAsia" w:ascii="宋体" w:hAnsi="宋体"/>
                <w:color w:val="000000"/>
                <w:kern w:val="0"/>
                <w:sz w:val="24"/>
                <w:highlight w:val="none"/>
              </w:rPr>
              <w:t>材料 ；</w:t>
            </w:r>
          </w:p>
          <w:p>
            <w:pPr>
              <w:widowControl/>
              <w:numPr>
                <w:ilvl w:val="0"/>
                <w:numId w:val="1"/>
              </w:numPr>
              <w:spacing w:line="360" w:lineRule="auto"/>
              <w:jc w:val="left"/>
              <w:rPr>
                <w:rFonts w:ascii="宋体" w:hAnsi="宋体" w:cs="Segoe UI"/>
                <w:color w:val="000000"/>
                <w:kern w:val="0"/>
                <w:sz w:val="24"/>
                <w:szCs w:val="24"/>
                <w:highlight w:val="none"/>
              </w:rPr>
            </w:pPr>
            <w:r>
              <w:rPr>
                <w:rFonts w:hint="eastAsia" w:ascii="宋体" w:hAnsi="宋体"/>
                <w:color w:val="000000"/>
                <w:kern w:val="0"/>
                <w:sz w:val="24"/>
                <w:highlight w:val="none"/>
              </w:rPr>
              <w:t>检验检测认证</w:t>
            </w:r>
            <w:r>
              <w:rPr>
                <w:rFonts w:ascii="宋体" w:hAnsi="宋体"/>
                <w:color w:val="000000"/>
                <w:kern w:val="0"/>
                <w:sz w:val="24"/>
                <w:highlight w:val="none"/>
              </w:rPr>
              <w:t>：</w:t>
            </w:r>
            <w:r>
              <w:rPr>
                <w:rFonts w:hint="eastAsia" w:ascii="宋体" w:hAnsi="宋体"/>
                <w:color w:val="000000"/>
                <w:kern w:val="0"/>
                <w:sz w:val="24"/>
                <w:highlight w:val="none"/>
              </w:rPr>
              <w:t>检验检测机构资质认定证书；</w:t>
            </w:r>
          </w:p>
          <w:p>
            <w:pPr>
              <w:widowControl/>
              <w:numPr>
                <w:ilvl w:val="0"/>
                <w:numId w:val="1"/>
              </w:numPr>
              <w:spacing w:line="360" w:lineRule="auto"/>
              <w:jc w:val="left"/>
              <w:rPr>
                <w:rFonts w:ascii="宋体" w:hAnsi="宋体" w:cs="Segoe UI"/>
                <w:color w:val="000000"/>
                <w:kern w:val="0"/>
                <w:sz w:val="24"/>
                <w:szCs w:val="24"/>
                <w:highlight w:val="none"/>
              </w:rPr>
            </w:pPr>
            <w:r>
              <w:rPr>
                <w:rFonts w:hint="eastAsia" w:ascii="宋体" w:hAnsi="宋体"/>
                <w:color w:val="000000"/>
                <w:kern w:val="0"/>
                <w:sz w:val="24"/>
                <w:highlight w:val="none"/>
              </w:rPr>
              <w:t>知识产权</w:t>
            </w:r>
            <w:r>
              <w:rPr>
                <w:rFonts w:ascii="宋体" w:hAnsi="宋体"/>
                <w:color w:val="000000"/>
                <w:kern w:val="0"/>
                <w:sz w:val="24"/>
                <w:highlight w:val="none"/>
              </w:rPr>
              <w:t>：</w:t>
            </w:r>
            <w:r>
              <w:rPr>
                <w:rFonts w:hint="eastAsia" w:ascii="宋体" w:hAnsi="宋体"/>
                <w:color w:val="000000"/>
                <w:kern w:val="0"/>
                <w:sz w:val="24"/>
                <w:highlight w:val="none"/>
              </w:rPr>
              <w:t>专利代理机构注册证；</w:t>
            </w:r>
          </w:p>
          <w:p>
            <w:pPr>
              <w:widowControl/>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4、科学</w:t>
            </w:r>
            <w:r>
              <w:rPr>
                <w:rFonts w:ascii="宋体" w:hAnsi="宋体" w:cs="Segoe UI"/>
                <w:color w:val="000000"/>
                <w:kern w:val="0"/>
                <w:sz w:val="24"/>
                <w:szCs w:val="24"/>
                <w:highlight w:val="none"/>
              </w:rPr>
              <w:t>技术普及</w:t>
            </w:r>
            <w:r>
              <w:rPr>
                <w:rFonts w:hint="eastAsia" w:ascii="宋体" w:hAnsi="宋体" w:cs="Segoe UI"/>
                <w:color w:val="000000"/>
                <w:kern w:val="0"/>
                <w:sz w:val="24"/>
                <w:szCs w:val="24"/>
                <w:highlight w:val="none"/>
              </w:rPr>
              <w:t>:市</w:t>
            </w:r>
            <w:r>
              <w:rPr>
                <w:rFonts w:ascii="宋体" w:hAnsi="宋体" w:cs="Segoe UI"/>
                <w:color w:val="000000"/>
                <w:kern w:val="0"/>
                <w:sz w:val="24"/>
                <w:szCs w:val="24"/>
                <w:highlight w:val="none"/>
              </w:rPr>
              <w:t>、区科普基地证书</w:t>
            </w:r>
            <w:r>
              <w:rPr>
                <w:rFonts w:hint="eastAsia" w:ascii="宋体" w:hAnsi="宋体" w:cs="Segoe UI"/>
                <w:color w:val="000000"/>
                <w:kern w:val="0"/>
                <w:sz w:val="24"/>
                <w:szCs w:val="24"/>
                <w:highlight w:val="none"/>
              </w:rPr>
              <w:t>；</w:t>
            </w:r>
          </w:p>
          <w:p>
            <w:pPr>
              <w:widowControl/>
              <w:spacing w:line="360" w:lineRule="auto"/>
              <w:jc w:val="left"/>
              <w:rPr>
                <w:rFonts w:ascii="宋体" w:hAnsi="宋体"/>
                <w:color w:val="000000"/>
                <w:kern w:val="0"/>
                <w:sz w:val="24"/>
                <w:highlight w:val="none"/>
              </w:rPr>
            </w:pPr>
            <w:r>
              <w:rPr>
                <w:rFonts w:hint="eastAsia" w:ascii="宋体" w:hAnsi="宋体" w:cs="Segoe UI"/>
                <w:color w:val="000000"/>
                <w:kern w:val="0"/>
                <w:sz w:val="24"/>
                <w:szCs w:val="24"/>
                <w:highlight w:val="none"/>
              </w:rPr>
              <w:t>5</w:t>
            </w:r>
            <w:r>
              <w:rPr>
                <w:rFonts w:hint="eastAsia" w:ascii="宋体" w:hAnsi="宋体"/>
                <w:color w:val="000000"/>
                <w:kern w:val="0"/>
                <w:sz w:val="24"/>
                <w:highlight w:val="none"/>
              </w:rPr>
              <w:t>、创业孵化：国家级科技企业孵化器或国家级双创示范基地证明材料。</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9</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上年度的纳税证明（2018年1月1日至12月31日）。</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10</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企业信用信息资料（登陆深圳信用网），第7类除外。</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11</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申报定向配租补租人才明细表。</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sz w:val="24"/>
                <w:szCs w:val="24"/>
                <w:highlight w:val="none"/>
              </w:rPr>
              <w:t>在“申报系统”中直接填报，或下载模板填写上传</w:t>
            </w:r>
          </w:p>
        </w:tc>
      </w:tr>
    </w:tbl>
    <w:p>
      <w:pPr>
        <w:widowControl/>
        <w:shd w:val="clear" w:color="auto" w:fill="FFFFFF"/>
        <w:spacing w:line="360" w:lineRule="auto"/>
        <w:jc w:val="left"/>
        <w:rPr>
          <w:rFonts w:hint="eastAsia" w:ascii="宋体" w:hAnsi="宋体" w:cs="Segoe UI"/>
          <w:color w:val="000000"/>
          <w:kern w:val="0"/>
          <w:sz w:val="24"/>
          <w:szCs w:val="24"/>
          <w:highlight w:val="none"/>
        </w:rPr>
      </w:pPr>
    </w:p>
    <w:p>
      <w:pPr>
        <w:widowControl/>
        <w:shd w:val="clear" w:color="auto" w:fill="FFFFFF"/>
        <w:spacing w:line="360" w:lineRule="auto"/>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（五）配额上限</w:t>
      </w:r>
    </w:p>
    <w:tbl>
      <w:tblPr>
        <w:tblStyle w:val="8"/>
        <w:tblW w:w="9640" w:type="dxa"/>
        <w:tblInd w:w="-34" w:type="dxa"/>
        <w:tblLayout w:type="fixed"/>
        <w:tblCellMar>
          <w:top w:w="0" w:type="dxa"/>
          <w:left w:w="0" w:type="dxa"/>
          <w:bottom w:w="0" w:type="dxa"/>
          <w:right w:w="0" w:type="dxa"/>
        </w:tblCellMar>
      </w:tblPr>
      <w:tblGrid>
        <w:gridCol w:w="709"/>
        <w:gridCol w:w="993"/>
        <w:gridCol w:w="5386"/>
        <w:gridCol w:w="1276"/>
        <w:gridCol w:w="1276"/>
      </w:tblGrid>
      <w:tr>
        <w:tblPrEx>
          <w:tblLayout w:type="fixed"/>
          <w:tblCellMar>
            <w:top w:w="0" w:type="dxa"/>
            <w:left w:w="0" w:type="dxa"/>
            <w:bottom w:w="0" w:type="dxa"/>
            <w:right w:w="0" w:type="dxa"/>
          </w:tblCellMar>
        </w:tblPrEx>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b/>
                <w:color w:val="000000"/>
                <w:kern w:val="0"/>
                <w:sz w:val="24"/>
                <w:highlight w:val="none"/>
              </w:rPr>
              <w:t>序号</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b/>
                <w:color w:val="000000"/>
                <w:kern w:val="0"/>
                <w:sz w:val="24"/>
                <w:highlight w:val="none"/>
              </w:rPr>
              <w:t>档次</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b/>
                <w:color w:val="000000"/>
                <w:kern w:val="0"/>
                <w:sz w:val="24"/>
                <w:highlight w:val="none"/>
              </w:rPr>
              <w:t>纳税</w:t>
            </w:r>
            <w:r>
              <w:rPr>
                <w:rFonts w:hint="eastAsia" w:ascii="宋体" w:hAnsi="宋体"/>
                <w:b/>
                <w:color w:val="000000"/>
                <w:kern w:val="0"/>
                <w:sz w:val="24"/>
                <w:highlight w:val="none"/>
              </w:rPr>
              <w:t>、统计贡献</w:t>
            </w:r>
            <w:r>
              <w:rPr>
                <w:rFonts w:ascii="宋体" w:hAnsi="宋体"/>
                <w:b/>
                <w:color w:val="000000"/>
                <w:kern w:val="0"/>
                <w:sz w:val="24"/>
                <w:highlight w:val="none"/>
              </w:rPr>
              <w:t>及人才规模</w:t>
            </w:r>
          </w:p>
        </w:tc>
        <w:tc>
          <w:tcPr>
            <w:tcW w:w="1276"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hint="eastAsia" w:ascii="宋体" w:hAnsi="宋体"/>
                <w:b/>
                <w:color w:val="000000"/>
                <w:kern w:val="0"/>
                <w:sz w:val="24"/>
                <w:highlight w:val="none"/>
              </w:rPr>
            </w:pPr>
            <w:r>
              <w:rPr>
                <w:rFonts w:ascii="宋体" w:hAnsi="宋体"/>
                <w:b/>
                <w:color w:val="000000"/>
                <w:kern w:val="0"/>
                <w:sz w:val="24"/>
                <w:highlight w:val="none"/>
              </w:rPr>
              <w:t>补租</w:t>
            </w:r>
          </w:p>
          <w:p>
            <w:pPr>
              <w:widowControl/>
              <w:spacing w:line="360" w:lineRule="auto"/>
              <w:jc w:val="center"/>
              <w:rPr>
                <w:rFonts w:ascii="宋体" w:eastAsia="Segoe UI"/>
                <w:color w:val="000000"/>
                <w:kern w:val="0"/>
                <w:sz w:val="24"/>
                <w:highlight w:val="none"/>
              </w:rPr>
            </w:pPr>
            <w:r>
              <w:rPr>
                <w:rFonts w:hint="eastAsia" w:ascii="宋体" w:hAnsi="宋体"/>
                <w:b/>
                <w:color w:val="000000"/>
                <w:kern w:val="0"/>
                <w:sz w:val="24"/>
                <w:highlight w:val="none"/>
              </w:rPr>
              <w:t>配额</w:t>
            </w:r>
            <w:r>
              <w:rPr>
                <w:rFonts w:ascii="宋体" w:hAnsi="宋体"/>
                <w:b/>
                <w:color w:val="000000"/>
                <w:kern w:val="0"/>
                <w:sz w:val="24"/>
                <w:highlight w:val="none"/>
              </w:rPr>
              <w:t>上限</w:t>
            </w:r>
          </w:p>
        </w:tc>
        <w:tc>
          <w:tcPr>
            <w:tcW w:w="1276"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rFonts w:hint="eastAsia" w:ascii="宋体"/>
                <w:b/>
                <w:color w:val="000000"/>
                <w:kern w:val="0"/>
                <w:sz w:val="24"/>
                <w:highlight w:val="none"/>
              </w:rPr>
            </w:pPr>
            <w:r>
              <w:rPr>
                <w:rFonts w:ascii="宋体"/>
                <w:b/>
                <w:color w:val="000000"/>
                <w:kern w:val="0"/>
                <w:sz w:val="24"/>
                <w:highlight w:val="none"/>
              </w:rPr>
              <w:t>配租</w:t>
            </w:r>
          </w:p>
          <w:p>
            <w:pPr>
              <w:widowControl/>
              <w:spacing w:line="360" w:lineRule="auto"/>
              <w:jc w:val="center"/>
              <w:rPr>
                <w:rFonts w:ascii="宋体"/>
                <w:b/>
                <w:color w:val="000000"/>
                <w:kern w:val="0"/>
                <w:sz w:val="24"/>
                <w:highlight w:val="none"/>
              </w:rPr>
            </w:pPr>
            <w:r>
              <w:rPr>
                <w:rFonts w:hint="eastAsia" w:ascii="宋体"/>
                <w:b/>
                <w:color w:val="000000"/>
                <w:kern w:val="0"/>
                <w:sz w:val="24"/>
                <w:highlight w:val="none"/>
              </w:rPr>
              <w:t>配额</w:t>
            </w:r>
            <w:r>
              <w:rPr>
                <w:rFonts w:ascii="宋体"/>
                <w:b/>
                <w:color w:val="000000"/>
                <w:kern w:val="0"/>
                <w:sz w:val="24"/>
                <w:highlight w:val="none"/>
              </w:rPr>
              <w:t>上限</w:t>
            </w:r>
          </w:p>
        </w:tc>
      </w:tr>
      <w:tr>
        <w:tblPrEx>
          <w:tblLayout w:type="fixed"/>
          <w:tblCellMar>
            <w:top w:w="0" w:type="dxa"/>
            <w:left w:w="0" w:type="dxa"/>
            <w:bottom w:w="0" w:type="dxa"/>
            <w:right w:w="0" w:type="dxa"/>
          </w:tblCellMar>
        </w:tblPrEx>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1</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一</w:t>
            </w:r>
            <w:r>
              <w:rPr>
                <w:rFonts w:ascii="宋体" w:hAnsi="宋体"/>
                <w:color w:val="000000"/>
                <w:kern w:val="0"/>
                <w:sz w:val="24"/>
                <w:highlight w:val="none"/>
              </w:rPr>
              <w:t>档</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上一年度纳税达1亿元</w:t>
            </w:r>
            <w:r>
              <w:rPr>
                <w:rFonts w:hint="eastAsia" w:ascii="宋体" w:hAnsi="宋体"/>
                <w:color w:val="000000"/>
                <w:kern w:val="0"/>
                <w:sz w:val="24"/>
                <w:highlight w:val="none"/>
              </w:rPr>
              <w:t>以上或统计贡献行业排名前10%，</w:t>
            </w:r>
            <w:r>
              <w:rPr>
                <w:rFonts w:ascii="宋体" w:hAnsi="宋体"/>
                <w:color w:val="000000"/>
                <w:kern w:val="0"/>
                <w:sz w:val="24"/>
                <w:highlight w:val="none"/>
              </w:rPr>
              <w:t>且人才规模达600人</w:t>
            </w:r>
            <w:r>
              <w:rPr>
                <w:rFonts w:hint="eastAsia" w:ascii="宋体" w:hAnsi="宋体"/>
                <w:color w:val="000000"/>
                <w:kern w:val="0"/>
                <w:sz w:val="24"/>
                <w:highlight w:val="none"/>
              </w:rPr>
              <w:t>。</w:t>
            </w:r>
          </w:p>
        </w:tc>
        <w:tc>
          <w:tcPr>
            <w:tcW w:w="1276"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eastAsia="Segoe UI"/>
                <w:color w:val="000000"/>
                <w:kern w:val="0"/>
                <w:sz w:val="24"/>
                <w:highlight w:val="none"/>
              </w:rPr>
            </w:pPr>
            <w:r>
              <w:rPr>
                <w:rFonts w:hint="eastAsia" w:ascii="宋体" w:hAnsi="宋体"/>
                <w:color w:val="000000"/>
                <w:kern w:val="0"/>
                <w:sz w:val="24"/>
                <w:highlight w:val="none"/>
              </w:rPr>
              <w:t>200</w:t>
            </w:r>
            <w:r>
              <w:rPr>
                <w:rFonts w:ascii="宋体" w:hAnsi="宋体"/>
                <w:color w:val="000000"/>
                <w:kern w:val="0"/>
                <w:sz w:val="24"/>
                <w:highlight w:val="none"/>
              </w:rPr>
              <w:t>套</w:t>
            </w:r>
          </w:p>
        </w:tc>
        <w:tc>
          <w:tcPr>
            <w:tcW w:w="1276" w:type="dxa"/>
            <w:tcBorders>
              <w:top w:val="nil"/>
              <w:left w:val="single" w:color="auto" w:sz="4" w:space="0"/>
              <w:bottom w:val="single" w:color="auto" w:sz="8" w:space="0"/>
              <w:right w:val="single" w:color="auto" w:sz="8" w:space="0"/>
            </w:tcBorders>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30套</w:t>
            </w:r>
          </w:p>
        </w:tc>
      </w:tr>
      <w:tr>
        <w:tblPrEx>
          <w:tblLayout w:type="fixed"/>
          <w:tblCellMar>
            <w:top w:w="0" w:type="dxa"/>
            <w:left w:w="0" w:type="dxa"/>
            <w:bottom w:w="0" w:type="dxa"/>
            <w:right w:w="0" w:type="dxa"/>
          </w:tblCellMar>
        </w:tblPrEx>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2</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二</w:t>
            </w:r>
            <w:r>
              <w:rPr>
                <w:rFonts w:ascii="宋体" w:hAnsi="宋体"/>
                <w:color w:val="000000"/>
                <w:kern w:val="0"/>
                <w:sz w:val="24"/>
                <w:highlight w:val="none"/>
              </w:rPr>
              <w:t>档</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上一年度纳税达5000万元</w:t>
            </w:r>
            <w:r>
              <w:rPr>
                <w:rFonts w:hint="eastAsia" w:ascii="宋体" w:hAnsi="宋体"/>
                <w:color w:val="000000"/>
                <w:kern w:val="0"/>
                <w:sz w:val="24"/>
                <w:highlight w:val="none"/>
              </w:rPr>
              <w:t>以上或统计贡献行业排名前20%，</w:t>
            </w:r>
            <w:r>
              <w:rPr>
                <w:rFonts w:ascii="宋体" w:hAnsi="宋体"/>
                <w:color w:val="000000"/>
                <w:kern w:val="0"/>
                <w:sz w:val="24"/>
                <w:highlight w:val="none"/>
              </w:rPr>
              <w:t>且人才规模达400人</w:t>
            </w:r>
            <w:r>
              <w:rPr>
                <w:rFonts w:hint="eastAsia" w:ascii="宋体" w:hAnsi="宋体"/>
                <w:color w:val="000000"/>
                <w:kern w:val="0"/>
                <w:sz w:val="24"/>
                <w:highlight w:val="none"/>
              </w:rPr>
              <w:t>。</w:t>
            </w:r>
          </w:p>
        </w:tc>
        <w:tc>
          <w:tcPr>
            <w:tcW w:w="1276"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eastAsia="Segoe UI"/>
                <w:color w:val="000000"/>
                <w:kern w:val="0"/>
                <w:sz w:val="24"/>
                <w:highlight w:val="none"/>
              </w:rPr>
            </w:pPr>
            <w:r>
              <w:rPr>
                <w:rFonts w:hint="eastAsia" w:ascii="宋体" w:hAnsi="宋体"/>
                <w:color w:val="000000"/>
                <w:kern w:val="0"/>
                <w:sz w:val="24"/>
                <w:highlight w:val="none"/>
              </w:rPr>
              <w:t>150</w:t>
            </w:r>
            <w:r>
              <w:rPr>
                <w:rFonts w:ascii="宋体" w:hAnsi="宋体"/>
                <w:color w:val="000000"/>
                <w:kern w:val="0"/>
                <w:sz w:val="24"/>
                <w:highlight w:val="none"/>
              </w:rPr>
              <w:t>套</w:t>
            </w:r>
          </w:p>
        </w:tc>
        <w:tc>
          <w:tcPr>
            <w:tcW w:w="1276" w:type="dxa"/>
            <w:tcBorders>
              <w:top w:val="nil"/>
              <w:left w:val="single" w:color="auto" w:sz="4" w:space="0"/>
              <w:bottom w:val="single" w:color="auto" w:sz="8" w:space="0"/>
              <w:right w:val="single" w:color="auto" w:sz="8" w:space="0"/>
            </w:tcBorders>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20套</w:t>
            </w:r>
          </w:p>
        </w:tc>
      </w:tr>
      <w:tr>
        <w:tblPrEx>
          <w:tblLayout w:type="fixed"/>
          <w:tblCellMar>
            <w:top w:w="0" w:type="dxa"/>
            <w:left w:w="0" w:type="dxa"/>
            <w:bottom w:w="0" w:type="dxa"/>
            <w:right w:w="0" w:type="dxa"/>
          </w:tblCellMar>
        </w:tblPrEx>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3</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三</w:t>
            </w:r>
            <w:r>
              <w:rPr>
                <w:rFonts w:ascii="宋体" w:hAnsi="宋体"/>
                <w:color w:val="000000"/>
                <w:kern w:val="0"/>
                <w:sz w:val="24"/>
                <w:highlight w:val="none"/>
              </w:rPr>
              <w:t>档</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上一年度纳税达2500万</w:t>
            </w:r>
            <w:r>
              <w:rPr>
                <w:rFonts w:hint="eastAsia" w:ascii="宋体" w:hAnsi="宋体"/>
                <w:color w:val="000000"/>
                <w:kern w:val="0"/>
                <w:sz w:val="24"/>
                <w:highlight w:val="none"/>
              </w:rPr>
              <w:t>以上或统计贡献行业排名前30%，</w:t>
            </w:r>
            <w:r>
              <w:rPr>
                <w:rFonts w:ascii="宋体" w:hAnsi="宋体"/>
                <w:color w:val="000000"/>
                <w:kern w:val="0"/>
                <w:sz w:val="24"/>
                <w:highlight w:val="none"/>
              </w:rPr>
              <w:t>且人才规模达200人</w:t>
            </w:r>
            <w:r>
              <w:rPr>
                <w:rFonts w:hint="eastAsia" w:ascii="宋体" w:hAnsi="宋体"/>
                <w:color w:val="000000"/>
                <w:kern w:val="0"/>
                <w:sz w:val="24"/>
                <w:highlight w:val="none"/>
              </w:rPr>
              <w:t>。</w:t>
            </w:r>
          </w:p>
        </w:tc>
        <w:tc>
          <w:tcPr>
            <w:tcW w:w="1276"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eastAsia="Segoe UI"/>
                <w:color w:val="000000"/>
                <w:kern w:val="0"/>
                <w:sz w:val="24"/>
                <w:highlight w:val="none"/>
              </w:rPr>
            </w:pPr>
            <w:r>
              <w:rPr>
                <w:rFonts w:hint="eastAsia" w:ascii="宋体" w:hAnsi="宋体"/>
                <w:color w:val="000000"/>
                <w:kern w:val="0"/>
                <w:sz w:val="24"/>
                <w:highlight w:val="none"/>
              </w:rPr>
              <w:t>100</w:t>
            </w:r>
            <w:r>
              <w:rPr>
                <w:rFonts w:ascii="宋体" w:hAnsi="宋体"/>
                <w:color w:val="000000"/>
                <w:kern w:val="0"/>
                <w:sz w:val="24"/>
                <w:highlight w:val="none"/>
              </w:rPr>
              <w:t>套</w:t>
            </w:r>
          </w:p>
        </w:tc>
        <w:tc>
          <w:tcPr>
            <w:tcW w:w="1276" w:type="dxa"/>
            <w:tcBorders>
              <w:top w:val="nil"/>
              <w:left w:val="single" w:color="auto" w:sz="4" w:space="0"/>
              <w:bottom w:val="single" w:color="auto" w:sz="8" w:space="0"/>
              <w:right w:val="single" w:color="auto" w:sz="8" w:space="0"/>
            </w:tcBorders>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15套</w:t>
            </w:r>
          </w:p>
        </w:tc>
      </w:tr>
      <w:tr>
        <w:tblPrEx>
          <w:tblLayout w:type="fixed"/>
          <w:tblCellMar>
            <w:top w:w="0" w:type="dxa"/>
            <w:left w:w="0" w:type="dxa"/>
            <w:bottom w:w="0" w:type="dxa"/>
            <w:right w:w="0" w:type="dxa"/>
          </w:tblCellMar>
        </w:tblPrEx>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4</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四</w:t>
            </w:r>
            <w:r>
              <w:rPr>
                <w:rFonts w:ascii="宋体" w:hAnsi="宋体"/>
                <w:color w:val="000000"/>
                <w:kern w:val="0"/>
                <w:sz w:val="24"/>
                <w:highlight w:val="none"/>
              </w:rPr>
              <w:t>档</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w:t>
            </w:r>
            <w:r>
              <w:rPr>
                <w:rFonts w:hint="eastAsia" w:ascii="宋体" w:hAnsi="宋体"/>
                <w:color w:val="000000"/>
                <w:kern w:val="0"/>
                <w:sz w:val="24"/>
                <w:highlight w:val="none"/>
              </w:rPr>
              <w:t>8</w:t>
            </w:r>
            <w:r>
              <w:rPr>
                <w:rFonts w:ascii="宋体" w:hAnsi="宋体"/>
                <w:color w:val="000000"/>
                <w:kern w:val="0"/>
                <w:sz w:val="24"/>
                <w:highlight w:val="none"/>
              </w:rPr>
              <w:t>00万元</w:t>
            </w:r>
            <w:r>
              <w:rPr>
                <w:rFonts w:hint="eastAsia" w:ascii="宋体" w:hAnsi="宋体"/>
                <w:color w:val="000000"/>
                <w:kern w:val="0"/>
                <w:sz w:val="24"/>
                <w:highlight w:val="none"/>
              </w:rPr>
              <w:t>以上或统计贡献行业排名前40%，</w:t>
            </w:r>
            <w:r>
              <w:rPr>
                <w:rFonts w:ascii="宋体" w:hAnsi="宋体"/>
                <w:color w:val="000000"/>
                <w:kern w:val="0"/>
                <w:sz w:val="24"/>
                <w:highlight w:val="none"/>
              </w:rPr>
              <w:t>且人才规模达100人</w:t>
            </w:r>
            <w:r>
              <w:rPr>
                <w:rFonts w:hint="eastAsia" w:ascii="宋体" w:hAnsi="宋体"/>
                <w:color w:val="000000"/>
                <w:kern w:val="0"/>
                <w:sz w:val="24"/>
                <w:highlight w:val="none"/>
              </w:rPr>
              <w:t>。</w:t>
            </w:r>
          </w:p>
        </w:tc>
        <w:tc>
          <w:tcPr>
            <w:tcW w:w="1276"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eastAsia="Segoe UI"/>
                <w:color w:val="000000"/>
                <w:kern w:val="0"/>
                <w:sz w:val="24"/>
                <w:highlight w:val="none"/>
              </w:rPr>
            </w:pPr>
            <w:r>
              <w:rPr>
                <w:rFonts w:hint="eastAsia" w:ascii="宋体" w:hAnsi="宋体"/>
                <w:color w:val="000000"/>
                <w:kern w:val="0"/>
                <w:sz w:val="24"/>
                <w:highlight w:val="none"/>
              </w:rPr>
              <w:t>75</w:t>
            </w:r>
            <w:r>
              <w:rPr>
                <w:rFonts w:ascii="宋体" w:hAnsi="宋体"/>
                <w:color w:val="000000"/>
                <w:kern w:val="0"/>
                <w:sz w:val="24"/>
                <w:highlight w:val="none"/>
              </w:rPr>
              <w:t>套</w:t>
            </w:r>
          </w:p>
        </w:tc>
        <w:tc>
          <w:tcPr>
            <w:tcW w:w="1276" w:type="dxa"/>
            <w:tcBorders>
              <w:top w:val="nil"/>
              <w:left w:val="single" w:color="auto" w:sz="4" w:space="0"/>
              <w:bottom w:val="single" w:color="auto" w:sz="8" w:space="0"/>
              <w:right w:val="single" w:color="auto" w:sz="8" w:space="0"/>
            </w:tcBorders>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10套</w:t>
            </w:r>
          </w:p>
        </w:tc>
      </w:tr>
      <w:tr>
        <w:tblPrEx>
          <w:tblLayout w:type="fixed"/>
          <w:tblCellMar>
            <w:top w:w="0" w:type="dxa"/>
            <w:left w:w="0" w:type="dxa"/>
            <w:bottom w:w="0" w:type="dxa"/>
            <w:right w:w="0" w:type="dxa"/>
          </w:tblCellMar>
        </w:tblPrEx>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5</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五</w:t>
            </w:r>
            <w:r>
              <w:rPr>
                <w:rFonts w:ascii="宋体" w:hAnsi="宋体"/>
                <w:color w:val="000000"/>
                <w:kern w:val="0"/>
                <w:sz w:val="24"/>
                <w:highlight w:val="none"/>
              </w:rPr>
              <w:t>档</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w:t>
            </w:r>
            <w:r>
              <w:rPr>
                <w:rFonts w:hint="eastAsia" w:ascii="宋体" w:hAnsi="宋体"/>
                <w:color w:val="000000"/>
                <w:kern w:val="0"/>
                <w:sz w:val="24"/>
                <w:highlight w:val="none"/>
              </w:rPr>
              <w:t>4</w:t>
            </w:r>
            <w:r>
              <w:rPr>
                <w:rFonts w:ascii="宋体" w:hAnsi="宋体"/>
                <w:color w:val="000000"/>
                <w:kern w:val="0"/>
                <w:sz w:val="24"/>
                <w:highlight w:val="none"/>
              </w:rPr>
              <w:t>00万元</w:t>
            </w:r>
            <w:r>
              <w:rPr>
                <w:rFonts w:hint="eastAsia" w:ascii="宋体" w:hAnsi="宋体"/>
                <w:color w:val="000000"/>
                <w:kern w:val="0"/>
                <w:sz w:val="24"/>
                <w:highlight w:val="none"/>
              </w:rPr>
              <w:t>以上或统计贡献行业排名前40%后，</w:t>
            </w:r>
            <w:r>
              <w:rPr>
                <w:rFonts w:ascii="宋体" w:hAnsi="宋体"/>
                <w:color w:val="000000"/>
                <w:kern w:val="0"/>
                <w:sz w:val="24"/>
                <w:highlight w:val="none"/>
              </w:rPr>
              <w:t>且人</w:t>
            </w:r>
            <w:r>
              <w:rPr>
                <w:rFonts w:hint="eastAsia" w:ascii="宋体" w:hAnsi="宋体"/>
                <w:color w:val="000000"/>
                <w:kern w:val="0"/>
                <w:sz w:val="24"/>
                <w:highlight w:val="none"/>
              </w:rPr>
              <w:t>才</w:t>
            </w:r>
            <w:r>
              <w:rPr>
                <w:rFonts w:ascii="宋体" w:hAnsi="宋体"/>
                <w:color w:val="000000"/>
                <w:kern w:val="0"/>
                <w:sz w:val="24"/>
                <w:highlight w:val="none"/>
              </w:rPr>
              <w:t>规模达</w:t>
            </w:r>
            <w:r>
              <w:rPr>
                <w:rFonts w:hint="eastAsia" w:ascii="宋体" w:hAnsi="宋体"/>
                <w:color w:val="000000"/>
                <w:kern w:val="0"/>
                <w:sz w:val="24"/>
                <w:highlight w:val="none"/>
              </w:rPr>
              <w:t>30</w:t>
            </w:r>
            <w:r>
              <w:rPr>
                <w:rFonts w:ascii="宋体" w:hAnsi="宋体"/>
                <w:color w:val="000000"/>
                <w:kern w:val="0"/>
                <w:sz w:val="24"/>
                <w:highlight w:val="none"/>
              </w:rPr>
              <w:t>人</w:t>
            </w:r>
            <w:r>
              <w:rPr>
                <w:rFonts w:hint="eastAsia" w:ascii="宋体" w:hAnsi="宋体"/>
                <w:color w:val="000000"/>
                <w:kern w:val="0"/>
                <w:sz w:val="24"/>
                <w:highlight w:val="none"/>
              </w:rPr>
              <w:t>。</w:t>
            </w:r>
          </w:p>
        </w:tc>
        <w:tc>
          <w:tcPr>
            <w:tcW w:w="1276"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eastAsia="Segoe UI"/>
                <w:color w:val="000000"/>
                <w:kern w:val="0"/>
                <w:sz w:val="24"/>
                <w:highlight w:val="none"/>
              </w:rPr>
            </w:pPr>
            <w:r>
              <w:rPr>
                <w:rFonts w:hint="eastAsia" w:ascii="宋体" w:hAnsi="宋体"/>
                <w:color w:val="000000"/>
                <w:kern w:val="0"/>
                <w:sz w:val="24"/>
                <w:highlight w:val="none"/>
              </w:rPr>
              <w:t>60</w:t>
            </w:r>
            <w:r>
              <w:rPr>
                <w:rFonts w:ascii="宋体" w:hAnsi="宋体"/>
                <w:color w:val="000000"/>
                <w:kern w:val="0"/>
                <w:sz w:val="24"/>
                <w:highlight w:val="none"/>
              </w:rPr>
              <w:t>套</w:t>
            </w:r>
          </w:p>
        </w:tc>
        <w:tc>
          <w:tcPr>
            <w:tcW w:w="1276"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color w:val="000000"/>
                <w:kern w:val="0"/>
                <w:sz w:val="24"/>
                <w:highlight w:val="none"/>
              </w:rPr>
            </w:pPr>
            <w:r>
              <w:rPr>
                <w:rFonts w:ascii="宋体" w:hAnsi="宋体"/>
                <w:color w:val="000000"/>
                <w:kern w:val="0"/>
                <w:sz w:val="24"/>
                <w:highlight w:val="none"/>
              </w:rPr>
              <w:t>6套</w:t>
            </w:r>
          </w:p>
        </w:tc>
      </w:tr>
      <w:tr>
        <w:tblPrEx>
          <w:tblLayout w:type="fixed"/>
          <w:tblCellMar>
            <w:top w:w="0" w:type="dxa"/>
            <w:left w:w="0" w:type="dxa"/>
            <w:bottom w:w="0" w:type="dxa"/>
            <w:right w:w="0" w:type="dxa"/>
          </w:tblCellMar>
        </w:tblPrEx>
        <w:trPr>
          <w:trHeight w:val="115"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color w:val="000000"/>
                <w:kern w:val="0"/>
                <w:sz w:val="24"/>
                <w:highlight w:val="none"/>
              </w:rPr>
            </w:pPr>
            <w:r>
              <w:rPr>
                <w:rFonts w:hint="eastAsia" w:ascii="宋体" w:hAnsi="宋体"/>
                <w:color w:val="000000"/>
                <w:kern w:val="0"/>
                <w:sz w:val="24"/>
                <w:highlight w:val="none"/>
              </w:rPr>
              <w:t>6</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六</w:t>
            </w:r>
            <w:r>
              <w:rPr>
                <w:rFonts w:ascii="宋体" w:hAnsi="宋体"/>
                <w:color w:val="000000"/>
                <w:kern w:val="0"/>
                <w:sz w:val="24"/>
                <w:highlight w:val="none"/>
              </w:rPr>
              <w:t>档</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color w:val="000000"/>
                <w:kern w:val="0"/>
                <w:sz w:val="24"/>
                <w:highlight w:val="none"/>
              </w:rPr>
            </w:pPr>
            <w:r>
              <w:rPr>
                <w:rFonts w:ascii="宋体" w:hAnsi="宋体"/>
                <w:color w:val="000000"/>
                <w:kern w:val="0"/>
                <w:sz w:val="24"/>
                <w:highlight w:val="none"/>
              </w:rPr>
              <w:t>上一年度纳税</w:t>
            </w:r>
            <w:r>
              <w:rPr>
                <w:rFonts w:hint="eastAsia" w:ascii="宋体" w:hAnsi="宋体"/>
                <w:color w:val="000000"/>
                <w:kern w:val="0"/>
                <w:sz w:val="24"/>
                <w:highlight w:val="none"/>
              </w:rPr>
              <w:t>100</w:t>
            </w:r>
            <w:r>
              <w:rPr>
                <w:rFonts w:ascii="宋体" w:hAnsi="宋体"/>
                <w:color w:val="000000"/>
                <w:kern w:val="0"/>
                <w:sz w:val="24"/>
                <w:highlight w:val="none"/>
              </w:rPr>
              <w:t>万元</w:t>
            </w:r>
            <w:r>
              <w:rPr>
                <w:rFonts w:hint="eastAsia" w:ascii="宋体" w:hAnsi="宋体"/>
                <w:color w:val="000000"/>
                <w:kern w:val="0"/>
                <w:sz w:val="24"/>
                <w:highlight w:val="none"/>
              </w:rPr>
              <w:t>以上或统计贡献在库但无排名，</w:t>
            </w:r>
            <w:r>
              <w:rPr>
                <w:rFonts w:ascii="宋体" w:hAnsi="宋体"/>
                <w:color w:val="000000"/>
                <w:kern w:val="0"/>
                <w:sz w:val="24"/>
                <w:highlight w:val="none"/>
              </w:rPr>
              <w:t>且人才规模</w:t>
            </w:r>
            <w:r>
              <w:rPr>
                <w:rFonts w:hint="eastAsia" w:ascii="宋体" w:hAnsi="宋体"/>
                <w:color w:val="000000"/>
                <w:kern w:val="0"/>
                <w:sz w:val="24"/>
                <w:highlight w:val="none"/>
              </w:rPr>
              <w:t>20</w:t>
            </w:r>
            <w:r>
              <w:rPr>
                <w:rFonts w:ascii="宋体" w:hAnsi="宋体"/>
                <w:color w:val="000000"/>
                <w:kern w:val="0"/>
                <w:sz w:val="24"/>
                <w:highlight w:val="none"/>
              </w:rPr>
              <w:t>人</w:t>
            </w:r>
            <w:r>
              <w:rPr>
                <w:rFonts w:hint="eastAsia" w:ascii="宋体" w:hAnsi="宋体"/>
                <w:color w:val="000000"/>
                <w:kern w:val="0"/>
                <w:sz w:val="24"/>
                <w:highlight w:val="none"/>
              </w:rPr>
              <w:t>。</w:t>
            </w:r>
          </w:p>
        </w:tc>
        <w:tc>
          <w:tcPr>
            <w:tcW w:w="1276"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color w:val="000000"/>
                <w:kern w:val="0"/>
                <w:sz w:val="24"/>
                <w:highlight w:val="none"/>
              </w:rPr>
            </w:pPr>
            <w:r>
              <w:rPr>
                <w:rFonts w:hint="eastAsia" w:ascii="宋体" w:hAnsi="宋体"/>
                <w:color w:val="000000"/>
                <w:kern w:val="0"/>
                <w:sz w:val="24"/>
                <w:highlight w:val="none"/>
              </w:rPr>
              <w:t>40</w:t>
            </w:r>
            <w:r>
              <w:rPr>
                <w:rFonts w:ascii="宋体" w:hAnsi="宋体"/>
                <w:color w:val="000000"/>
                <w:kern w:val="0"/>
                <w:sz w:val="24"/>
                <w:highlight w:val="none"/>
              </w:rPr>
              <w:t>套</w:t>
            </w:r>
          </w:p>
        </w:tc>
        <w:tc>
          <w:tcPr>
            <w:tcW w:w="1276"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4套</w:t>
            </w:r>
          </w:p>
        </w:tc>
      </w:tr>
    </w:tbl>
    <w:p>
      <w:pPr>
        <w:widowControl/>
        <w:shd w:val="clear" w:color="auto" w:fill="FFFFFF"/>
        <w:spacing w:line="360" w:lineRule="auto"/>
        <w:rPr>
          <w:rFonts w:hint="eastAsia" w:ascii="宋体" w:hAnsi="宋体"/>
          <w:b/>
          <w:color w:val="000000"/>
          <w:kern w:val="0"/>
          <w:sz w:val="36"/>
          <w:szCs w:val="36"/>
          <w:highlight w:val="none"/>
        </w:rPr>
      </w:pPr>
    </w:p>
    <w:p>
      <w:pPr>
        <w:widowControl/>
        <w:shd w:val="clear" w:color="auto" w:fill="FFFFFF"/>
        <w:spacing w:line="360" w:lineRule="auto"/>
        <w:ind w:firstLine="463" w:firstLineChars="128"/>
        <w:jc w:val="center"/>
        <w:rPr>
          <w:rFonts w:hint="eastAsia" w:ascii="宋体" w:hAnsi="宋体" w:cs="Segoe UI"/>
          <w:color w:val="000000"/>
          <w:kern w:val="0"/>
          <w:sz w:val="24"/>
          <w:szCs w:val="24"/>
          <w:highlight w:val="none"/>
        </w:rPr>
      </w:pPr>
      <w:r>
        <w:rPr>
          <w:rFonts w:hint="eastAsia" w:ascii="宋体" w:hAnsi="宋体"/>
          <w:b/>
          <w:color w:val="000000"/>
          <w:kern w:val="0"/>
          <w:sz w:val="36"/>
          <w:szCs w:val="36"/>
          <w:highlight w:val="none"/>
        </w:rPr>
        <w:t>Ⅲ 金融类企业</w:t>
      </w:r>
      <w:r>
        <w:rPr>
          <w:rFonts w:hint="eastAsia" w:ascii="宋体" w:hAnsi="宋体" w:cs="Segoe UI"/>
          <w:color w:val="000000"/>
          <w:kern w:val="0"/>
          <w:sz w:val="24"/>
          <w:szCs w:val="24"/>
          <w:highlight w:val="none"/>
        </w:rPr>
        <w:t>（</w:t>
      </w:r>
      <w:r>
        <w:rPr>
          <w:rFonts w:hint="eastAsia" w:ascii="宋体" w:hAnsi="宋体"/>
          <w:color w:val="000000"/>
          <w:kern w:val="0"/>
          <w:sz w:val="24"/>
          <w:highlight w:val="none"/>
        </w:rPr>
        <w:t>区工信局</w:t>
      </w:r>
      <w:r>
        <w:rPr>
          <w:rFonts w:hint="eastAsia" w:ascii="宋体" w:hAnsi="宋体" w:cs="Segoe UI"/>
          <w:color w:val="000000"/>
          <w:kern w:val="0"/>
          <w:sz w:val="24"/>
          <w:szCs w:val="24"/>
          <w:highlight w:val="none"/>
        </w:rPr>
        <w:t>）</w:t>
      </w:r>
    </w:p>
    <w:p>
      <w:pPr>
        <w:widowControl/>
        <w:shd w:val="clear" w:color="auto" w:fill="FFFFFF"/>
        <w:spacing w:line="360" w:lineRule="auto"/>
        <w:ind w:firstLine="565" w:firstLineChars="128"/>
        <w:jc w:val="center"/>
        <w:rPr>
          <w:rFonts w:hint="eastAsia" w:ascii="宋体" w:hAnsi="宋体"/>
          <w:b/>
          <w:color w:val="000000"/>
          <w:kern w:val="0"/>
          <w:sz w:val="44"/>
          <w:szCs w:val="44"/>
          <w:highlight w:val="none"/>
        </w:rPr>
      </w:pPr>
    </w:p>
    <w:p>
      <w:pPr>
        <w:widowControl/>
        <w:shd w:val="clear" w:color="auto" w:fill="FFFFFF"/>
        <w:spacing w:line="360" w:lineRule="auto"/>
        <w:ind w:firstLine="482" w:firstLineChars="200"/>
        <w:jc w:val="left"/>
        <w:rPr>
          <w:rFonts w:ascii="宋体" w:hAnsi="宋体" w:cs="Segoe UI"/>
          <w:b/>
          <w:color w:val="000000"/>
          <w:kern w:val="0"/>
          <w:sz w:val="24"/>
          <w:highlight w:val="none"/>
        </w:rPr>
      </w:pPr>
      <w:r>
        <w:rPr>
          <w:rFonts w:hint="eastAsia" w:ascii="宋体" w:hAnsi="宋体" w:cs="Segoe UI"/>
          <w:b/>
          <w:color w:val="000000"/>
          <w:kern w:val="0"/>
          <w:sz w:val="24"/>
          <w:szCs w:val="24"/>
          <w:highlight w:val="none"/>
        </w:rPr>
        <w:t>（一）分类标准</w:t>
      </w:r>
      <w:r>
        <w:rPr>
          <w:rFonts w:hint="eastAsia" w:ascii="宋体" w:hAnsi="宋体" w:cs="Segoe UI"/>
          <w:b/>
          <w:color w:val="000000"/>
          <w:kern w:val="0"/>
          <w:sz w:val="24"/>
          <w:highlight w:val="none"/>
        </w:rPr>
        <w:t>（符合其中一项即可）</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金融企业总部，是指经国家金融监管部门批准，在南山区注册并具有独立法人资格，对一定区域内的企业行使投资控股、运营决策、集中销售、财务结算等管理服务职能的总机构，包括银行、信托公司、金融租赁公司、财务公司、消费金融公司、汽车金融公司、证券公司、基金管理公司、期货公司、保险公司、保险资产管理公司、相互保险组织等经营性金融企业，以及经核准或授权开展金融企业不良资产批量收购、处置业务的地方资产管理公司；</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2、金融企业一级分支机构，是指隶属于银行、证券公司、保险公司、基金管理公司、期货公司、信托公司、金融租赁公司等金融企业总部的深圳市级分行（分公司）；</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商业银行专营机构，是指商业银行针对本行特定领域业务所设立的、有别于传统分支行的机构，并具备以下特征：针对某一业务单元或服务对象设立；独立面向社会公众或交易对手开展经营活动；经总行授权，在人力资源管理、业务考核、经营资源调配、风险管理与内部控制等方面独立于本行经营部门或当地分支行。商业银行专营机构类型包括但不限于小企业金融服务中心、信用卡中心、票据中心、资金运营中心等；</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4、股权投资基金，是指依法设立并以股权投资为主要经营业务的企业。股权投资管理企业是指受股权投资基金委托，以股权投资管理为主要经营业务的企业；</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5、获有关监管部门批准的融资租赁公司、小额贷款公司、融资担保公司等创新型法人金融机构。</w:t>
      </w:r>
    </w:p>
    <w:p>
      <w:pPr>
        <w:spacing w:line="360" w:lineRule="auto"/>
        <w:ind w:firstLine="482" w:firstLineChars="200"/>
        <w:jc w:val="left"/>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（二）申报条件（须同时具备）</w:t>
      </w:r>
    </w:p>
    <w:p>
      <w:pPr>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1、工商注册和税务登记均在南山区（金融机构的分支机构除外）；</w:t>
      </w:r>
    </w:p>
    <w:p>
      <w:pPr>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2、申报类别符合上述的分类标准；</w:t>
      </w:r>
    </w:p>
    <w:p>
      <w:pPr>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 xml:space="preserve">3、在南山区上年度纳税达500万元及以上； </w:t>
      </w:r>
    </w:p>
    <w:p>
      <w:pPr>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4、人才规模达20人(以通告日期社保登记为准，下同)。</w:t>
      </w:r>
    </w:p>
    <w:p>
      <w:pPr>
        <w:spacing w:line="360" w:lineRule="auto"/>
        <w:ind w:firstLine="482" w:firstLineChars="200"/>
        <w:jc w:val="left"/>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（三）评分细则</w:t>
      </w:r>
    </w:p>
    <w:p>
      <w:pPr>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1、税收贡献、人才规模两项指标分别先按百分制计算出分数（A、B），再分别按权重比例计算出权重分（Ax70%、Bx30%）。</w:t>
      </w:r>
    </w:p>
    <w:p>
      <w:pPr>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2、税收贡献，上一年度（1月1日-12月31日）税款缴纳时间为准，不考虑税款的所属期，含代扣代缴税费。</w:t>
      </w:r>
    </w:p>
    <w:p>
      <w:pPr>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具体细则如下：</w:t>
      </w:r>
    </w:p>
    <w:tbl>
      <w:tblPr>
        <w:tblStyle w:val="8"/>
        <w:tblW w:w="9180" w:type="dxa"/>
        <w:tblInd w:w="138" w:type="dxa"/>
        <w:tblLayout w:type="fixed"/>
        <w:tblCellMar>
          <w:top w:w="0" w:type="dxa"/>
          <w:left w:w="0" w:type="dxa"/>
          <w:bottom w:w="0" w:type="dxa"/>
          <w:right w:w="0" w:type="dxa"/>
        </w:tblCellMar>
      </w:tblPr>
      <w:tblGrid>
        <w:gridCol w:w="973"/>
        <w:gridCol w:w="1517"/>
        <w:gridCol w:w="5790"/>
        <w:gridCol w:w="900"/>
      </w:tblGrid>
      <w:tr>
        <w:tblPrEx>
          <w:tblLayout w:type="fixed"/>
          <w:tblCellMar>
            <w:top w:w="0" w:type="dxa"/>
            <w:left w:w="0" w:type="dxa"/>
            <w:bottom w:w="0" w:type="dxa"/>
            <w:right w:w="0" w:type="dxa"/>
          </w:tblCellMar>
        </w:tblPrEx>
        <w:trPr>
          <w:trHeight w:val="649" w:hRule="atLeast"/>
        </w:trPr>
        <w:tc>
          <w:tcPr>
            <w:tcW w:w="97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序号</w:t>
            </w:r>
          </w:p>
        </w:tc>
        <w:tc>
          <w:tcPr>
            <w:tcW w:w="1517" w:type="dxa"/>
            <w:tcBorders>
              <w:top w:val="single" w:color="auto" w:sz="8" w:space="0"/>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指标名称</w:t>
            </w:r>
          </w:p>
        </w:tc>
        <w:tc>
          <w:tcPr>
            <w:tcW w:w="5790" w:type="dxa"/>
            <w:tcBorders>
              <w:top w:val="single" w:color="auto" w:sz="8" w:space="0"/>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评分说明</w:t>
            </w:r>
          </w:p>
        </w:tc>
        <w:tc>
          <w:tcPr>
            <w:tcW w:w="900" w:type="dxa"/>
            <w:tcBorders>
              <w:top w:val="single" w:color="auto" w:sz="8" w:space="0"/>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得分</w:t>
            </w:r>
          </w:p>
        </w:tc>
      </w:tr>
      <w:tr>
        <w:tblPrEx>
          <w:tblLayout w:type="fixed"/>
          <w:tblCellMar>
            <w:top w:w="0" w:type="dxa"/>
            <w:left w:w="0" w:type="dxa"/>
            <w:bottom w:w="0" w:type="dxa"/>
            <w:right w:w="0" w:type="dxa"/>
          </w:tblCellMar>
        </w:tblPrEx>
        <w:trPr>
          <w:trHeight w:val="548" w:hRule="atLeast"/>
        </w:trPr>
        <w:tc>
          <w:tcPr>
            <w:tcW w:w="973"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1517"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税收贡献</w:t>
            </w:r>
          </w:p>
        </w:tc>
        <w:tc>
          <w:tcPr>
            <w:tcW w:w="5790"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在南山区纳税达500万元，得60分；纳税额每增加100万元加0.5分。</w:t>
            </w:r>
          </w:p>
        </w:tc>
        <w:tc>
          <w:tcPr>
            <w:tcW w:w="900"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A</w:t>
            </w:r>
          </w:p>
        </w:tc>
      </w:tr>
      <w:tr>
        <w:tblPrEx>
          <w:tblLayout w:type="fixed"/>
          <w:tblCellMar>
            <w:top w:w="0" w:type="dxa"/>
            <w:left w:w="0" w:type="dxa"/>
            <w:bottom w:w="0" w:type="dxa"/>
            <w:right w:w="0" w:type="dxa"/>
          </w:tblCellMar>
        </w:tblPrEx>
        <w:trPr>
          <w:trHeight w:val="854" w:hRule="atLeast"/>
        </w:trPr>
        <w:tc>
          <w:tcPr>
            <w:tcW w:w="973"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1517"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人才规模</w:t>
            </w:r>
          </w:p>
        </w:tc>
        <w:tc>
          <w:tcPr>
            <w:tcW w:w="5790"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人才规模达20人，得60分；每增加1人加0.5分。</w:t>
            </w:r>
          </w:p>
        </w:tc>
        <w:tc>
          <w:tcPr>
            <w:tcW w:w="900"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B</w:t>
            </w:r>
          </w:p>
        </w:tc>
      </w:tr>
      <w:tr>
        <w:tblPrEx>
          <w:tblLayout w:type="fixed"/>
          <w:tblCellMar>
            <w:top w:w="0" w:type="dxa"/>
            <w:left w:w="0" w:type="dxa"/>
            <w:bottom w:w="0" w:type="dxa"/>
            <w:right w:w="0" w:type="dxa"/>
          </w:tblCellMar>
        </w:tblPrEx>
        <w:trPr>
          <w:trHeight w:val="786" w:hRule="atLeast"/>
        </w:trPr>
        <w:tc>
          <w:tcPr>
            <w:tcW w:w="2490" w:type="dxa"/>
            <w:gridSpan w:val="2"/>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总评分</w:t>
            </w:r>
          </w:p>
        </w:tc>
        <w:tc>
          <w:tcPr>
            <w:tcW w:w="5790"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计算方法：Ax70%+Bx30%</w:t>
            </w:r>
          </w:p>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(总分相等的企业按上年度纳税金额高低排序)</w:t>
            </w:r>
          </w:p>
        </w:tc>
        <w:tc>
          <w:tcPr>
            <w:tcW w:w="900"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　</w:t>
            </w:r>
          </w:p>
        </w:tc>
      </w:tr>
    </w:tbl>
    <w:p>
      <w:pPr>
        <w:spacing w:line="360" w:lineRule="auto"/>
        <w:ind w:firstLine="480" w:firstLineChars="200"/>
        <w:jc w:val="left"/>
        <w:rPr>
          <w:rFonts w:ascii="宋体" w:hAnsi="宋体" w:cs="Segoe UI"/>
          <w:color w:val="000000"/>
          <w:kern w:val="0"/>
          <w:sz w:val="24"/>
          <w:szCs w:val="24"/>
          <w:highlight w:val="none"/>
        </w:rPr>
      </w:pPr>
    </w:p>
    <w:p>
      <w:pPr>
        <w:spacing w:line="360" w:lineRule="auto"/>
        <w:ind w:firstLine="482" w:firstLineChars="200"/>
        <w:jc w:val="left"/>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（四）申报材料</w:t>
      </w:r>
    </w:p>
    <w:tbl>
      <w:tblPr>
        <w:tblStyle w:val="8"/>
        <w:tblW w:w="9104" w:type="dxa"/>
        <w:tblInd w:w="-72" w:type="dxa"/>
        <w:tblLayout w:type="fixed"/>
        <w:tblCellMar>
          <w:top w:w="0" w:type="dxa"/>
          <w:left w:w="0" w:type="dxa"/>
          <w:bottom w:w="0" w:type="dxa"/>
          <w:right w:w="0" w:type="dxa"/>
        </w:tblCellMar>
      </w:tblPr>
      <w:tblGrid>
        <w:gridCol w:w="789"/>
        <w:gridCol w:w="5907"/>
        <w:gridCol w:w="2408"/>
      </w:tblGrid>
      <w:tr>
        <w:tblPrEx>
          <w:tblLayout w:type="fixed"/>
          <w:tblCellMar>
            <w:top w:w="0" w:type="dxa"/>
            <w:left w:w="0" w:type="dxa"/>
            <w:bottom w:w="0" w:type="dxa"/>
            <w:right w:w="0" w:type="dxa"/>
          </w:tblCellMar>
        </w:tblPrEx>
        <w:tc>
          <w:tcPr>
            <w:tcW w:w="7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序号</w:t>
            </w:r>
          </w:p>
        </w:tc>
        <w:tc>
          <w:tcPr>
            <w:tcW w:w="5907" w:type="dxa"/>
            <w:tcBorders>
              <w:top w:val="single" w:color="auto" w:sz="8" w:space="0"/>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材料名称</w:t>
            </w:r>
          </w:p>
        </w:tc>
        <w:tc>
          <w:tcPr>
            <w:tcW w:w="2408" w:type="dxa"/>
            <w:tcBorders>
              <w:top w:val="single" w:color="auto" w:sz="8" w:space="0"/>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ind w:firstLine="480" w:firstLineChars="20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材料形式</w:t>
            </w:r>
          </w:p>
        </w:tc>
      </w:tr>
      <w:tr>
        <w:tblPrEx>
          <w:tblLayout w:type="fixed"/>
          <w:tblCellMar>
            <w:top w:w="0" w:type="dxa"/>
            <w:left w:w="0" w:type="dxa"/>
            <w:bottom w:w="0" w:type="dxa"/>
            <w:right w:w="0" w:type="dxa"/>
          </w:tblCellMar>
        </w:tblPrEx>
        <w:tc>
          <w:tcPr>
            <w:tcW w:w="78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5907"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南山区人才安居定向配租补租申报表。</w:t>
            </w:r>
          </w:p>
        </w:tc>
        <w:tc>
          <w:tcPr>
            <w:tcW w:w="2408"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Layout w:type="fixed"/>
          <w:tblCellMar>
            <w:top w:w="0" w:type="dxa"/>
            <w:left w:w="0" w:type="dxa"/>
            <w:bottom w:w="0" w:type="dxa"/>
            <w:right w:w="0" w:type="dxa"/>
          </w:tblCellMar>
        </w:tblPrEx>
        <w:trPr>
          <w:trHeight w:val="694" w:hRule="atLeast"/>
        </w:trPr>
        <w:tc>
          <w:tcPr>
            <w:tcW w:w="78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5907"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三证合一新版营业执照（未换领三证合一新版营业执照的，提交原旧版营业执照、组织机构代码证书、税务登记证书）、法定代表人（或非法人企业负责人）身份证复印件。</w:t>
            </w:r>
          </w:p>
        </w:tc>
        <w:tc>
          <w:tcPr>
            <w:tcW w:w="2408"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Layout w:type="fixed"/>
          <w:tblCellMar>
            <w:top w:w="0" w:type="dxa"/>
            <w:left w:w="0" w:type="dxa"/>
            <w:bottom w:w="0" w:type="dxa"/>
            <w:right w:w="0" w:type="dxa"/>
          </w:tblCellMar>
        </w:tblPrEx>
        <w:trPr>
          <w:trHeight w:val="694" w:hRule="atLeast"/>
        </w:trPr>
        <w:tc>
          <w:tcPr>
            <w:tcW w:w="78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5907"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国家金融监管部门或省市金融工作部门颁发的金融许可证、法人许可证或业务许可证明的复印件。</w:t>
            </w:r>
          </w:p>
        </w:tc>
        <w:tc>
          <w:tcPr>
            <w:tcW w:w="2408"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Layout w:type="fixed"/>
          <w:tblCellMar>
            <w:top w:w="0" w:type="dxa"/>
            <w:left w:w="0" w:type="dxa"/>
            <w:bottom w:w="0" w:type="dxa"/>
            <w:right w:w="0" w:type="dxa"/>
          </w:tblCellMar>
        </w:tblPrEx>
        <w:tc>
          <w:tcPr>
            <w:tcW w:w="78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w:t>
            </w:r>
          </w:p>
        </w:tc>
        <w:tc>
          <w:tcPr>
            <w:tcW w:w="5907"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上年度的纳税证明（2018年1月1日至12月31日）。</w:t>
            </w:r>
          </w:p>
        </w:tc>
        <w:tc>
          <w:tcPr>
            <w:tcW w:w="2408"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Layout w:type="fixed"/>
          <w:tblCellMar>
            <w:top w:w="0" w:type="dxa"/>
            <w:left w:w="0" w:type="dxa"/>
            <w:bottom w:w="0" w:type="dxa"/>
            <w:right w:w="0" w:type="dxa"/>
          </w:tblCellMar>
        </w:tblPrEx>
        <w:tc>
          <w:tcPr>
            <w:tcW w:w="78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w:t>
            </w:r>
          </w:p>
        </w:tc>
        <w:tc>
          <w:tcPr>
            <w:tcW w:w="5907"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企业信用信息资料（登陆深圳信用网）。</w:t>
            </w:r>
          </w:p>
        </w:tc>
        <w:tc>
          <w:tcPr>
            <w:tcW w:w="2408"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Layout w:type="fixed"/>
          <w:tblCellMar>
            <w:top w:w="0" w:type="dxa"/>
            <w:left w:w="0" w:type="dxa"/>
            <w:bottom w:w="0" w:type="dxa"/>
            <w:right w:w="0" w:type="dxa"/>
          </w:tblCellMar>
        </w:tblPrEx>
        <w:tc>
          <w:tcPr>
            <w:tcW w:w="789" w:type="dxa"/>
            <w:tcBorders>
              <w:top w:val="nil"/>
              <w:left w:val="single" w:color="auto" w:sz="8" w:space="0"/>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6</w:t>
            </w:r>
          </w:p>
        </w:tc>
        <w:tc>
          <w:tcPr>
            <w:tcW w:w="5907"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申报定向配租补租人才明细表。</w:t>
            </w:r>
          </w:p>
        </w:tc>
        <w:tc>
          <w:tcPr>
            <w:tcW w:w="2408" w:type="dxa"/>
            <w:tcBorders>
              <w:top w:val="nil"/>
              <w:left w:val="nil"/>
              <w:bottom w:val="single" w:color="auto" w:sz="8" w:space="0"/>
              <w:right w:val="single" w:color="auto" w:sz="8" w:space="0"/>
            </w:tcBorders>
            <w:tcMar>
              <w:left w:w="108"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在“申报系统”中直接填报，或下载模板填写上传</w:t>
            </w:r>
          </w:p>
        </w:tc>
      </w:tr>
    </w:tbl>
    <w:p>
      <w:pPr>
        <w:widowControl/>
        <w:shd w:val="clear" w:color="auto" w:fill="FFFFFF"/>
        <w:spacing w:line="360" w:lineRule="auto"/>
        <w:jc w:val="left"/>
        <w:rPr>
          <w:rFonts w:ascii="宋体" w:hAnsi="宋体" w:cs="Segoe UI"/>
          <w:color w:val="000000"/>
          <w:kern w:val="0"/>
          <w:sz w:val="24"/>
          <w:szCs w:val="24"/>
          <w:highlight w:val="none"/>
        </w:rPr>
      </w:pPr>
    </w:p>
    <w:p>
      <w:pPr>
        <w:spacing w:line="360" w:lineRule="auto"/>
        <w:ind w:firstLine="482" w:firstLineChars="200"/>
        <w:jc w:val="left"/>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（五）配额上限</w:t>
      </w:r>
    </w:p>
    <w:tbl>
      <w:tblPr>
        <w:tblStyle w:val="8"/>
        <w:tblW w:w="93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510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序号</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档次</w:t>
            </w:r>
          </w:p>
        </w:tc>
        <w:tc>
          <w:tcPr>
            <w:tcW w:w="51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纳税贡献及人才规模</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补租</w:t>
            </w:r>
          </w:p>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配额上限</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配租</w:t>
            </w:r>
          </w:p>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配额上限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第一档</w:t>
            </w:r>
          </w:p>
        </w:tc>
        <w:tc>
          <w:tcPr>
            <w:tcW w:w="5106"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上一年度纳税达10亿元且人才规模达800人。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300套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第二档</w:t>
            </w:r>
          </w:p>
        </w:tc>
        <w:tc>
          <w:tcPr>
            <w:tcW w:w="5106"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上一年度纳税达3亿元且人才规模达600人。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200套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第三档</w:t>
            </w:r>
          </w:p>
        </w:tc>
        <w:tc>
          <w:tcPr>
            <w:tcW w:w="5106"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上一年度纳税达1亿元且人才规模达400人。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150套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第四档</w:t>
            </w:r>
          </w:p>
        </w:tc>
        <w:tc>
          <w:tcPr>
            <w:tcW w:w="5106"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上一年度纳税达5000万元且人才规模达200人。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100套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第五档</w:t>
            </w:r>
          </w:p>
        </w:tc>
        <w:tc>
          <w:tcPr>
            <w:tcW w:w="5106"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上一年度纳税达2500万元且人才规模达100人。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50套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6</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第六档</w:t>
            </w:r>
          </w:p>
        </w:tc>
        <w:tc>
          <w:tcPr>
            <w:tcW w:w="5106"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上一年度纳税达1000万元且人才规模达50人。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25套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7</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第七档</w:t>
            </w:r>
          </w:p>
        </w:tc>
        <w:tc>
          <w:tcPr>
            <w:tcW w:w="5106" w:type="dxa"/>
            <w:tcBorders>
              <w:top w:val="single" w:color="auto" w:sz="4" w:space="0"/>
              <w:left w:val="single" w:color="auto" w:sz="4" w:space="0"/>
              <w:bottom w:val="single" w:color="auto" w:sz="4" w:space="0"/>
              <w:right w:val="single" w:color="auto" w:sz="4" w:space="0"/>
            </w:tcBorders>
            <w:vAlign w:val="top"/>
          </w:tcPr>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上一年度纳税达500万元且人才规模达20人。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10套</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5套</w:t>
            </w:r>
          </w:p>
        </w:tc>
      </w:tr>
    </w:tbl>
    <w:p>
      <w:pPr>
        <w:widowControl/>
        <w:shd w:val="clear" w:color="auto" w:fill="FFFFFF"/>
        <w:spacing w:line="360" w:lineRule="auto"/>
        <w:jc w:val="center"/>
        <w:rPr>
          <w:rFonts w:hint="eastAsia" w:ascii="宋体" w:hAnsi="宋体"/>
          <w:b/>
          <w:color w:val="000000"/>
          <w:kern w:val="0"/>
          <w:sz w:val="24"/>
          <w:highlight w:val="none"/>
        </w:rPr>
      </w:pPr>
    </w:p>
    <w:p>
      <w:pPr>
        <w:widowControl/>
        <w:shd w:val="clear" w:color="auto" w:fill="FFFFFF"/>
        <w:spacing w:line="360" w:lineRule="auto"/>
        <w:jc w:val="center"/>
        <w:rPr>
          <w:rFonts w:hint="eastAsia" w:ascii="宋体" w:hAnsi="宋体"/>
          <w:b/>
          <w:color w:val="000000"/>
          <w:kern w:val="0"/>
          <w:sz w:val="44"/>
          <w:szCs w:val="44"/>
          <w:highlight w:val="none"/>
        </w:rPr>
      </w:pPr>
    </w:p>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b/>
          <w:color w:val="000000"/>
          <w:kern w:val="0"/>
          <w:sz w:val="36"/>
          <w:szCs w:val="36"/>
          <w:highlight w:val="none"/>
        </w:rPr>
        <w:t>Ⅳ 科技类企业及科研院所</w:t>
      </w:r>
      <w:r>
        <w:rPr>
          <w:rFonts w:hint="eastAsia" w:ascii="宋体" w:hAnsi="宋体" w:cs="Segoe UI"/>
          <w:color w:val="000000"/>
          <w:kern w:val="0"/>
          <w:sz w:val="24"/>
          <w:szCs w:val="24"/>
          <w:highlight w:val="none"/>
        </w:rPr>
        <w:t>（区科创局）</w:t>
      </w:r>
    </w:p>
    <w:p>
      <w:pPr>
        <w:widowControl/>
        <w:shd w:val="clear" w:color="auto" w:fill="FFFFFF"/>
        <w:spacing w:line="360" w:lineRule="auto"/>
        <w:jc w:val="center"/>
        <w:rPr>
          <w:rFonts w:hint="eastAsia" w:ascii="宋体" w:hAnsi="宋体"/>
          <w:b/>
          <w:color w:val="000000"/>
          <w:kern w:val="0"/>
          <w:sz w:val="24"/>
          <w:highlight w:val="none"/>
        </w:rPr>
      </w:pPr>
    </w:p>
    <w:p>
      <w:pPr>
        <w:widowControl/>
        <w:shd w:val="clear" w:color="auto" w:fill="FFFFFF"/>
        <w:spacing w:line="360" w:lineRule="auto"/>
        <w:ind w:firstLine="482" w:firstLineChars="200"/>
        <w:jc w:val="left"/>
        <w:rPr>
          <w:rFonts w:hint="eastAsia" w:ascii="宋体" w:hAnsi="宋体" w:cs="Segoe UI"/>
          <w:b/>
          <w:color w:val="000000"/>
          <w:kern w:val="0"/>
          <w:sz w:val="24"/>
          <w:highlight w:val="none"/>
        </w:rPr>
      </w:pPr>
      <w:r>
        <w:rPr>
          <w:rFonts w:hint="eastAsia" w:ascii="宋体" w:hAnsi="宋体" w:cs="Segoe UI"/>
          <w:b/>
          <w:color w:val="000000"/>
          <w:kern w:val="0"/>
          <w:sz w:val="24"/>
          <w:szCs w:val="24"/>
          <w:highlight w:val="none"/>
        </w:rPr>
        <w:t>（一）分类标准</w:t>
      </w:r>
      <w:r>
        <w:rPr>
          <w:rFonts w:hint="eastAsia" w:ascii="宋体" w:hAnsi="宋体" w:cs="Segoe UI"/>
          <w:b/>
          <w:color w:val="000000"/>
          <w:kern w:val="0"/>
          <w:sz w:val="24"/>
          <w:highlight w:val="none"/>
        </w:rPr>
        <w:t>（符合其中一项即可）</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1、国家、省、市科技奖励获奖单位：（需符合其中一项）</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r>
        <w:rPr>
          <w:rFonts w:hint="eastAsia" w:ascii="宋体" w:hAnsi="宋体"/>
          <w:color w:val="000000"/>
          <w:sz w:val="24"/>
          <w:szCs w:val="24"/>
          <w:highlight w:val="none"/>
        </w:rPr>
        <w:t>上年度（</w:t>
      </w:r>
      <w:r>
        <w:rPr>
          <w:rFonts w:ascii="宋体" w:hAnsi="宋体"/>
          <w:color w:val="000000"/>
          <w:sz w:val="24"/>
          <w:szCs w:val="24"/>
          <w:highlight w:val="none"/>
        </w:rPr>
        <w:t>2018年）获得国家</w:t>
      </w:r>
      <w:r>
        <w:rPr>
          <w:rFonts w:hint="eastAsia" w:ascii="宋体" w:hAnsi="宋体"/>
          <w:color w:val="000000"/>
          <w:sz w:val="24"/>
          <w:szCs w:val="24"/>
          <w:highlight w:val="none"/>
        </w:rPr>
        <w:t>、省、市科技奖，中国专利金奖、银奖，广东省专利金奖的单位；</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（2）深圳市孔雀团队、南山区领航团队创办成立的企业；</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（3）上年度（2018年）参加南山区“创业之星”大赛获得前三名的科技企业；上年度（2018年）销售额达到100万元以上的近五年（2013-2017年）南山区“创业之星”大赛前三名科技企业。</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2、中小创新型科技企业；</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3、科研院所。</w:t>
      </w:r>
    </w:p>
    <w:p>
      <w:pPr>
        <w:widowControl/>
        <w:shd w:val="clear" w:color="auto" w:fill="FFFFFF"/>
        <w:spacing w:line="360" w:lineRule="auto"/>
        <w:ind w:firstLine="361" w:firstLineChars="15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（二）“国家、省、市获奖科技企业”申报条件、申报材料、配额上限</w:t>
      </w:r>
    </w:p>
    <w:p>
      <w:pPr>
        <w:spacing w:line="360" w:lineRule="auto"/>
        <w:ind w:firstLine="480" w:firstLineChars="200"/>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1、申报条件（须同时具备）</w:t>
      </w:r>
    </w:p>
    <w:p>
      <w:pPr>
        <w:spacing w:line="360" w:lineRule="auto"/>
        <w:ind w:firstLine="480" w:firstLineChars="200"/>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（1）工商注册和税务登记均在南山区；</w:t>
      </w:r>
    </w:p>
    <w:p>
      <w:pPr>
        <w:spacing w:line="360" w:lineRule="auto"/>
        <w:ind w:firstLine="480" w:firstLineChars="200"/>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（2）属于深圳战略性新兴产业或未来产业。</w:t>
      </w:r>
    </w:p>
    <w:p>
      <w:pPr>
        <w:spacing w:line="360" w:lineRule="auto"/>
        <w:ind w:firstLine="480" w:firstLineChars="200"/>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2、申报材料</w:t>
      </w:r>
    </w:p>
    <w:tbl>
      <w:tblPr>
        <w:tblStyle w:val="8"/>
        <w:tblW w:w="8946" w:type="dxa"/>
        <w:tblInd w:w="93" w:type="dxa"/>
        <w:tblLayout w:type="fixed"/>
        <w:tblCellMar>
          <w:top w:w="0" w:type="dxa"/>
          <w:left w:w="108" w:type="dxa"/>
          <w:bottom w:w="0" w:type="dxa"/>
          <w:right w:w="108" w:type="dxa"/>
        </w:tblCellMar>
      </w:tblPr>
      <w:tblGrid>
        <w:gridCol w:w="714"/>
        <w:gridCol w:w="5680"/>
        <w:gridCol w:w="2552"/>
      </w:tblGrid>
      <w:tr>
        <w:tblPrEx>
          <w:tblLayout w:type="fixed"/>
          <w:tblCellMar>
            <w:top w:w="0" w:type="dxa"/>
            <w:left w:w="108" w:type="dxa"/>
            <w:bottom w:w="0" w:type="dxa"/>
            <w:right w:w="108" w:type="dxa"/>
          </w:tblCellMar>
        </w:tblPrEx>
        <w:trPr>
          <w:trHeight w:val="52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5680" w:type="dxa"/>
            <w:tcBorders>
              <w:top w:val="single" w:color="auto" w:sz="4" w:space="0"/>
              <w:left w:val="nil"/>
              <w:bottom w:val="single" w:color="auto" w:sz="4" w:space="0"/>
              <w:right w:val="single" w:color="auto" w:sz="4" w:space="0"/>
            </w:tcBorders>
            <w:vAlign w:val="center"/>
          </w:tcPr>
          <w:p>
            <w:pPr>
              <w:widowControl/>
              <w:spacing w:line="360" w:lineRule="auto"/>
              <w:ind w:firstLine="480"/>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材料名称</w:t>
            </w:r>
          </w:p>
        </w:tc>
        <w:tc>
          <w:tcPr>
            <w:tcW w:w="255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材料形式</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5680" w:type="dxa"/>
            <w:tcBorders>
              <w:top w:val="nil"/>
              <w:left w:val="nil"/>
              <w:bottom w:val="single" w:color="auto" w:sz="4" w:space="0"/>
              <w:right w:val="single" w:color="auto" w:sz="4" w:space="0"/>
            </w:tcBorders>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南山区人才安居定向配租补租申报表。</w:t>
            </w:r>
          </w:p>
        </w:tc>
        <w:tc>
          <w:tcPr>
            <w:tcW w:w="2552" w:type="dxa"/>
            <w:tcBorders>
              <w:top w:val="nil"/>
              <w:left w:val="nil"/>
              <w:bottom w:val="single" w:color="auto" w:sz="4" w:space="0"/>
              <w:right w:val="single" w:color="auto" w:sz="4" w:space="0"/>
            </w:tcBorders>
            <w:vAlign w:val="center"/>
          </w:tcPr>
          <w:p>
            <w:pPr>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5680" w:type="dxa"/>
            <w:tcBorders>
              <w:top w:val="nil"/>
              <w:left w:val="nil"/>
              <w:bottom w:val="single" w:color="auto" w:sz="4" w:space="0"/>
              <w:right w:val="single" w:color="auto" w:sz="4" w:space="0"/>
            </w:tcBorders>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三证合一新版营业执照（未换领三证合一新版营业执照的，提交原旧版营业执照、组织机构代码证书、税务登记证书）、法定代表人（或非法人企业负责人）身份证复印件。</w:t>
            </w:r>
          </w:p>
        </w:tc>
        <w:tc>
          <w:tcPr>
            <w:tcW w:w="2552" w:type="dxa"/>
            <w:tcBorders>
              <w:top w:val="nil"/>
              <w:left w:val="nil"/>
              <w:bottom w:val="single" w:color="auto" w:sz="4" w:space="0"/>
              <w:right w:val="single" w:color="auto" w:sz="4" w:space="0"/>
            </w:tcBorders>
            <w:vAlign w:val="center"/>
          </w:tcPr>
          <w:p>
            <w:pPr>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5680" w:type="dxa"/>
            <w:tcBorders>
              <w:top w:val="nil"/>
              <w:left w:val="nil"/>
              <w:bottom w:val="single" w:color="auto" w:sz="4" w:space="0"/>
              <w:right w:val="single" w:color="auto" w:sz="4" w:space="0"/>
            </w:tcBorders>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上年度的纳税证明（2018年1月1日至12月31日）</w:t>
            </w:r>
          </w:p>
        </w:tc>
        <w:tc>
          <w:tcPr>
            <w:tcW w:w="2552" w:type="dxa"/>
            <w:tcBorders>
              <w:top w:val="nil"/>
              <w:left w:val="nil"/>
              <w:bottom w:val="single" w:color="auto" w:sz="4" w:space="0"/>
              <w:right w:val="single" w:color="auto" w:sz="4" w:space="0"/>
            </w:tcBorders>
            <w:vAlign w:val="center"/>
          </w:tcPr>
          <w:p>
            <w:pPr>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w:t>
            </w:r>
          </w:p>
        </w:tc>
        <w:tc>
          <w:tcPr>
            <w:tcW w:w="5680" w:type="dxa"/>
            <w:tcBorders>
              <w:top w:val="nil"/>
              <w:left w:val="nil"/>
              <w:bottom w:val="single" w:color="auto" w:sz="4" w:space="0"/>
              <w:right w:val="single" w:color="auto" w:sz="4" w:space="0"/>
            </w:tcBorders>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按具体情形分别提供以下材料：</w:t>
            </w:r>
          </w:p>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1）上年</w:t>
            </w:r>
            <w:r>
              <w:rPr>
                <w:rFonts w:hint="eastAsia" w:ascii="宋体" w:hAnsi="宋体" w:cs="Segoe UI"/>
                <w:color w:val="000000"/>
                <w:kern w:val="0"/>
                <w:sz w:val="24"/>
                <w:szCs w:val="24"/>
                <w:highlight w:val="none"/>
              </w:rPr>
              <w:t>度国家、省、市颁发的证书复印件；</w:t>
            </w:r>
          </w:p>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2）深圳市孔雀团队、南山区领航团队文件证</w:t>
            </w:r>
            <w:r>
              <w:rPr>
                <w:rFonts w:hint="eastAsia" w:ascii="宋体" w:hAnsi="宋体" w:cs="Segoe UI"/>
                <w:color w:val="000000"/>
                <w:kern w:val="0"/>
                <w:sz w:val="24"/>
                <w:szCs w:val="24"/>
                <w:highlight w:val="none"/>
              </w:rPr>
              <w:t>书复印件；</w:t>
            </w:r>
          </w:p>
          <w:p>
            <w:pPr>
              <w:widowControl/>
              <w:shd w:val="clear" w:color="auto" w:fill="FFFFFF"/>
              <w:spacing w:line="360" w:lineRule="auto"/>
              <w:jc w:val="left"/>
              <w:rPr>
                <w:rFonts w:ascii="仿宋_GB2312" w:hAnsi="仿宋" w:eastAsia="仿宋_GB2312"/>
                <w:color w:val="000000"/>
                <w:sz w:val="32"/>
                <w:szCs w:val="32"/>
                <w:highlight w:val="none"/>
              </w:rPr>
            </w:pP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3）“创业之星”</w:t>
            </w:r>
            <w:r>
              <w:rPr>
                <w:rFonts w:hint="eastAsia" w:ascii="宋体" w:hAnsi="宋体" w:cs="Segoe UI"/>
                <w:color w:val="000000"/>
                <w:kern w:val="0"/>
                <w:sz w:val="24"/>
                <w:szCs w:val="24"/>
                <w:highlight w:val="none"/>
              </w:rPr>
              <w:t>大赛获奖证书复印件，如属上年度销售额达到</w:t>
            </w:r>
            <w:r>
              <w:rPr>
                <w:rFonts w:ascii="宋体" w:hAnsi="宋体" w:cs="Segoe UI"/>
                <w:color w:val="000000"/>
                <w:kern w:val="0"/>
                <w:sz w:val="24"/>
                <w:szCs w:val="24"/>
                <w:highlight w:val="none"/>
              </w:rPr>
              <w:t>100万元以上的近</w:t>
            </w:r>
            <w:r>
              <w:rPr>
                <w:rFonts w:hint="eastAsia" w:ascii="宋体" w:hAnsi="宋体" w:cs="Segoe UI"/>
                <w:color w:val="000000"/>
                <w:kern w:val="0"/>
                <w:sz w:val="24"/>
                <w:szCs w:val="24"/>
                <w:highlight w:val="none"/>
              </w:rPr>
              <w:t>五年获奖企业的，还需提交上一年销售证明（提供上一年度单位财务审计报告）复印件。</w:t>
            </w:r>
          </w:p>
        </w:tc>
        <w:tc>
          <w:tcPr>
            <w:tcW w:w="2552" w:type="dxa"/>
            <w:tcBorders>
              <w:top w:val="nil"/>
              <w:left w:val="nil"/>
              <w:bottom w:val="single" w:color="auto" w:sz="4" w:space="0"/>
              <w:right w:val="single" w:color="auto" w:sz="4" w:space="0"/>
            </w:tcBorders>
            <w:vAlign w:val="center"/>
          </w:tcPr>
          <w:p>
            <w:pPr>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w:t>
            </w:r>
          </w:p>
        </w:tc>
        <w:tc>
          <w:tcPr>
            <w:tcW w:w="5680" w:type="dxa"/>
            <w:tcBorders>
              <w:top w:val="nil"/>
              <w:left w:val="nil"/>
              <w:bottom w:val="single" w:color="auto" w:sz="4" w:space="0"/>
              <w:right w:val="single" w:color="auto" w:sz="4" w:space="0"/>
            </w:tcBorders>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申报定向配租补租人才明细表。</w:t>
            </w:r>
          </w:p>
        </w:tc>
        <w:tc>
          <w:tcPr>
            <w:tcW w:w="2552" w:type="dxa"/>
            <w:tcBorders>
              <w:top w:val="nil"/>
              <w:left w:val="nil"/>
              <w:bottom w:val="single" w:color="auto" w:sz="4" w:space="0"/>
              <w:right w:val="single" w:color="auto" w:sz="4" w:space="0"/>
            </w:tcBorders>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在“申报系统”中直接填报，或下载模板填写上传</w:t>
            </w:r>
          </w:p>
        </w:tc>
      </w:tr>
    </w:tbl>
    <w:p>
      <w:pPr>
        <w:widowControl/>
        <w:shd w:val="clear" w:color="auto" w:fill="FFFFFF"/>
        <w:spacing w:line="360" w:lineRule="auto"/>
        <w:ind w:firstLine="352" w:firstLineChars="147"/>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3、配额上限</w:t>
      </w:r>
    </w:p>
    <w:tbl>
      <w:tblPr>
        <w:tblStyle w:val="8"/>
        <w:tblW w:w="9078" w:type="dxa"/>
        <w:tblInd w:w="102" w:type="dxa"/>
        <w:tblLayout w:type="fixed"/>
        <w:tblCellMar>
          <w:top w:w="0" w:type="dxa"/>
          <w:left w:w="0" w:type="dxa"/>
          <w:bottom w:w="0" w:type="dxa"/>
          <w:right w:w="0" w:type="dxa"/>
        </w:tblCellMar>
      </w:tblPr>
      <w:tblGrid>
        <w:gridCol w:w="726"/>
        <w:gridCol w:w="5943"/>
        <w:gridCol w:w="1275"/>
        <w:gridCol w:w="1134"/>
      </w:tblGrid>
      <w:tr>
        <w:tblPrEx>
          <w:tblLayout w:type="fixed"/>
          <w:tblCellMar>
            <w:top w:w="0" w:type="dxa"/>
            <w:left w:w="0" w:type="dxa"/>
            <w:bottom w:w="0" w:type="dxa"/>
            <w:right w:w="0" w:type="dxa"/>
          </w:tblCellMar>
        </w:tblPrEx>
        <w:tc>
          <w:tcPr>
            <w:tcW w:w="726"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b/>
                <w:color w:val="000000"/>
                <w:kern w:val="0"/>
                <w:sz w:val="24"/>
                <w:szCs w:val="24"/>
                <w:highlight w:val="none"/>
              </w:rPr>
            </w:pPr>
            <w:r>
              <w:rPr>
                <w:rFonts w:ascii="宋体" w:hAnsi="宋体" w:cs="Segoe UI"/>
                <w:b/>
                <w:color w:val="000000"/>
                <w:kern w:val="0"/>
                <w:sz w:val="24"/>
                <w:szCs w:val="24"/>
                <w:highlight w:val="none"/>
              </w:rPr>
              <w:t>序号</w:t>
            </w:r>
          </w:p>
        </w:tc>
        <w:tc>
          <w:tcPr>
            <w:tcW w:w="5943"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类别</w:t>
            </w:r>
          </w:p>
        </w:tc>
        <w:tc>
          <w:tcPr>
            <w:tcW w:w="127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补租</w:t>
            </w:r>
          </w:p>
          <w:p>
            <w:pPr>
              <w:widowControl/>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配额上限</w:t>
            </w:r>
          </w:p>
        </w:tc>
        <w:tc>
          <w:tcPr>
            <w:tcW w:w="1134" w:type="dxa"/>
            <w:tcBorders>
              <w:top w:val="single" w:color="auto" w:sz="8" w:space="0"/>
              <w:left w:val="nil"/>
              <w:bottom w:val="single" w:color="auto" w:sz="4" w:space="0"/>
              <w:right w:val="single" w:color="auto" w:sz="8" w:space="0"/>
            </w:tcBorders>
            <w:vAlign w:val="center"/>
          </w:tcPr>
          <w:p>
            <w:pPr>
              <w:widowControl/>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配租</w:t>
            </w:r>
          </w:p>
          <w:p>
            <w:pPr>
              <w:widowControl/>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配额上限</w:t>
            </w:r>
          </w:p>
        </w:tc>
      </w:tr>
      <w:tr>
        <w:tblPrEx>
          <w:tblLayout w:type="fixed"/>
          <w:tblCellMar>
            <w:top w:w="0" w:type="dxa"/>
            <w:left w:w="0" w:type="dxa"/>
            <w:bottom w:w="0" w:type="dxa"/>
            <w:right w:w="0" w:type="dxa"/>
          </w:tblCellMar>
        </w:tblPrEx>
        <w:trPr>
          <w:trHeight w:val="646" w:hRule="atLeast"/>
        </w:trPr>
        <w:tc>
          <w:tcPr>
            <w:tcW w:w="7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59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国家科技奖，中国专利金奖、银奖获奖单位。</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50套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10套</w:t>
            </w:r>
          </w:p>
        </w:tc>
      </w:tr>
      <w:tr>
        <w:tblPrEx>
          <w:tblLayout w:type="fixed"/>
          <w:tblCellMar>
            <w:top w:w="0" w:type="dxa"/>
            <w:left w:w="0" w:type="dxa"/>
            <w:bottom w:w="0" w:type="dxa"/>
            <w:right w:w="0" w:type="dxa"/>
          </w:tblCellMar>
        </w:tblPrEx>
        <w:trPr>
          <w:trHeight w:val="646" w:hRule="atLeast"/>
        </w:trPr>
        <w:tc>
          <w:tcPr>
            <w:tcW w:w="7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59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广东省科技奖、专利金奖获奖单位。</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45套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8套</w:t>
            </w:r>
          </w:p>
        </w:tc>
      </w:tr>
      <w:tr>
        <w:tblPrEx>
          <w:tblLayout w:type="fixed"/>
          <w:tblCellMar>
            <w:top w:w="0" w:type="dxa"/>
            <w:left w:w="0" w:type="dxa"/>
            <w:bottom w:w="0" w:type="dxa"/>
            <w:right w:w="0" w:type="dxa"/>
          </w:tblCellMar>
        </w:tblPrEx>
        <w:trPr>
          <w:trHeight w:val="646" w:hRule="atLeast"/>
        </w:trPr>
        <w:tc>
          <w:tcPr>
            <w:tcW w:w="7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59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深圳市科技奖获奖单位。</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40套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5套</w:t>
            </w:r>
          </w:p>
        </w:tc>
      </w:tr>
      <w:tr>
        <w:tblPrEx>
          <w:tblLayout w:type="fixed"/>
          <w:tblCellMar>
            <w:top w:w="0" w:type="dxa"/>
            <w:left w:w="0" w:type="dxa"/>
            <w:bottom w:w="0" w:type="dxa"/>
            <w:right w:w="0" w:type="dxa"/>
          </w:tblCellMar>
        </w:tblPrEx>
        <w:trPr>
          <w:trHeight w:val="646" w:hRule="atLeast"/>
        </w:trPr>
        <w:tc>
          <w:tcPr>
            <w:tcW w:w="72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w:t>
            </w:r>
          </w:p>
        </w:tc>
        <w:tc>
          <w:tcPr>
            <w:tcW w:w="594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市孔雀团队、区领航团队</w:t>
            </w:r>
            <w:r>
              <w:rPr>
                <w:rFonts w:ascii="宋体" w:hAnsi="宋体" w:cs="Segoe UI"/>
                <w:color w:val="000000"/>
                <w:kern w:val="0"/>
                <w:sz w:val="24"/>
                <w:szCs w:val="24"/>
                <w:highlight w:val="none"/>
              </w:rPr>
              <w:t>创办成立的科技企业</w:t>
            </w:r>
            <w:r>
              <w:rPr>
                <w:rFonts w:hint="eastAsia" w:ascii="宋体" w:hAnsi="宋体" w:cs="Segoe UI"/>
                <w:color w:val="000000"/>
                <w:kern w:val="0"/>
                <w:sz w:val="24"/>
                <w:szCs w:val="24"/>
                <w:highlight w:val="none"/>
              </w:rPr>
              <w:t>。</w:t>
            </w:r>
          </w:p>
        </w:tc>
        <w:tc>
          <w:tcPr>
            <w:tcW w:w="127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40套</w:t>
            </w:r>
          </w:p>
        </w:tc>
        <w:tc>
          <w:tcPr>
            <w:tcW w:w="1134" w:type="dxa"/>
            <w:tcBorders>
              <w:top w:val="single" w:color="auto" w:sz="4" w:space="0"/>
              <w:left w:val="nil"/>
              <w:bottom w:val="single" w:color="auto" w:sz="8" w:space="0"/>
              <w:right w:val="single" w:color="auto" w:sz="8"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5套</w:t>
            </w:r>
          </w:p>
        </w:tc>
      </w:tr>
      <w:tr>
        <w:tblPrEx>
          <w:tblLayout w:type="fixed"/>
          <w:tblCellMar>
            <w:top w:w="0" w:type="dxa"/>
            <w:left w:w="0" w:type="dxa"/>
            <w:bottom w:w="0" w:type="dxa"/>
            <w:right w:w="0" w:type="dxa"/>
          </w:tblCellMar>
        </w:tblPrEx>
        <w:trPr>
          <w:trHeight w:val="646" w:hRule="atLeast"/>
        </w:trPr>
        <w:tc>
          <w:tcPr>
            <w:tcW w:w="7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w:t>
            </w:r>
          </w:p>
        </w:tc>
        <w:tc>
          <w:tcPr>
            <w:tcW w:w="594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cs="Segoe UI"/>
                <w:color w:val="000000"/>
                <w:kern w:val="0"/>
                <w:sz w:val="24"/>
                <w:szCs w:val="24"/>
                <w:highlight w:val="none"/>
              </w:rPr>
            </w:pPr>
            <w:r>
              <w:rPr>
                <w:rFonts w:ascii="宋体" w:hAnsi="宋体" w:cs="Segoe UI"/>
                <w:color w:val="000000"/>
                <w:kern w:val="0"/>
                <w:sz w:val="24"/>
                <w:szCs w:val="24"/>
                <w:highlight w:val="none"/>
              </w:rPr>
              <w:t>“创业之星”大赛获奖科技企业。</w:t>
            </w:r>
          </w:p>
        </w:tc>
        <w:tc>
          <w:tcPr>
            <w:tcW w:w="12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20套</w:t>
            </w:r>
          </w:p>
        </w:tc>
        <w:tc>
          <w:tcPr>
            <w:tcW w:w="1134" w:type="dxa"/>
            <w:tcBorders>
              <w:top w:val="nil"/>
              <w:left w:val="nil"/>
              <w:bottom w:val="single" w:color="auto" w:sz="8" w:space="0"/>
              <w:right w:val="single" w:color="auto" w:sz="8" w:space="0"/>
            </w:tcBorders>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2套</w:t>
            </w:r>
          </w:p>
        </w:tc>
      </w:tr>
    </w:tbl>
    <w:p>
      <w:pPr>
        <w:widowControl/>
        <w:shd w:val="clear" w:color="auto" w:fill="FFFFFF"/>
        <w:spacing w:line="360" w:lineRule="auto"/>
        <w:ind w:firstLine="472" w:firstLineChars="196"/>
        <w:rPr>
          <w:rFonts w:hint="eastAsia" w:ascii="宋体" w:hAnsi="宋体"/>
          <w:b/>
          <w:color w:val="000000"/>
          <w:kern w:val="0"/>
          <w:sz w:val="24"/>
          <w:szCs w:val="24"/>
          <w:highlight w:val="none"/>
        </w:rPr>
      </w:pPr>
    </w:p>
    <w:p>
      <w:pPr>
        <w:widowControl/>
        <w:shd w:val="clear" w:color="auto" w:fill="FFFFFF"/>
        <w:spacing w:line="360" w:lineRule="auto"/>
        <w:ind w:firstLine="472" w:firstLineChars="196"/>
        <w:rPr>
          <w:rFonts w:hint="eastAsia" w:ascii="宋体" w:hAnsi="宋体"/>
          <w:b/>
          <w:color w:val="000000"/>
          <w:kern w:val="0"/>
          <w:sz w:val="24"/>
          <w:szCs w:val="24"/>
          <w:highlight w:val="none"/>
        </w:rPr>
      </w:pPr>
      <w:r>
        <w:rPr>
          <w:rFonts w:hint="eastAsia" w:ascii="宋体" w:hAnsi="宋体"/>
          <w:b/>
          <w:color w:val="000000"/>
          <w:kern w:val="0"/>
          <w:sz w:val="24"/>
          <w:szCs w:val="24"/>
          <w:highlight w:val="none"/>
        </w:rPr>
        <w:t>（三）“中小创新型科技企业”申报条件、评分细则、申报材料、配额上限</w:t>
      </w:r>
    </w:p>
    <w:p>
      <w:pPr>
        <w:widowControl/>
        <w:shd w:val="clear" w:color="auto" w:fill="FFFFFF"/>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1、申报条件（须同时具备）</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（1）工商注册和税务登记均在南山区的国家高新技术企业；</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（2）属于深圳战略性新兴产业或未来产业；</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（3）近三年（2016—2018年）累积获得5件以上（含5件）国内外发明专利授权，或上年度（2018年）10件以上（含10件）发明专利进入实审阶段，或近三年（2016—2018年）累积获得30件以上（含30件）软件著作权授权；</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（4）在南山区上年度纳税为50万元以上（含50万元）且500万元以下；</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（5）人才规模达20人以上</w:t>
      </w:r>
      <w:r>
        <w:rPr>
          <w:rFonts w:hint="eastAsia" w:ascii="宋体" w:hAnsi="宋体" w:cs="Segoe UI"/>
          <w:color w:val="000000"/>
          <w:kern w:val="0"/>
          <w:sz w:val="24"/>
          <w:szCs w:val="24"/>
          <w:highlight w:val="none"/>
        </w:rPr>
        <w:t>(以通告日期社保登记为准，下同)</w:t>
      </w:r>
      <w:r>
        <w:rPr>
          <w:rFonts w:hint="eastAsia" w:ascii="宋体" w:hAnsi="宋体" w:cs="Segoe UI"/>
          <w:color w:val="000000"/>
          <w:kern w:val="0"/>
          <w:sz w:val="24"/>
          <w:highlight w:val="none"/>
        </w:rPr>
        <w:t>。</w:t>
      </w: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2、评分细则</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（1）根据税收贡献、统计贡献、人才规模三项指标，按权重比例计算出分值：税收贡献x40%</w:t>
      </w:r>
      <w:r>
        <w:rPr>
          <w:rFonts w:hint="eastAsia" w:ascii="宋体" w:hAnsi="宋体"/>
          <w:color w:val="000000"/>
          <w:kern w:val="0"/>
          <w:sz w:val="24"/>
          <w:highlight w:val="none"/>
        </w:rPr>
        <w:t>+</w:t>
      </w:r>
      <w:r>
        <w:rPr>
          <w:rFonts w:hint="eastAsia" w:ascii="宋体" w:hAnsi="宋体" w:cs="Segoe UI"/>
          <w:color w:val="000000"/>
          <w:kern w:val="0"/>
          <w:sz w:val="24"/>
          <w:szCs w:val="24"/>
          <w:highlight w:val="none"/>
        </w:rPr>
        <w:t>统计贡献x40%</w:t>
      </w:r>
      <w:r>
        <w:rPr>
          <w:rFonts w:hint="eastAsia" w:ascii="宋体" w:hAnsi="宋体"/>
          <w:color w:val="000000"/>
          <w:kern w:val="0"/>
          <w:sz w:val="24"/>
          <w:highlight w:val="none"/>
        </w:rPr>
        <w:t>+人才规模</w:t>
      </w:r>
      <w:r>
        <w:rPr>
          <w:rFonts w:hint="eastAsia" w:ascii="宋体" w:hAnsi="宋体" w:cs="Segoe UI"/>
          <w:color w:val="000000"/>
          <w:kern w:val="0"/>
          <w:sz w:val="24"/>
          <w:szCs w:val="24"/>
          <w:highlight w:val="none"/>
        </w:rPr>
        <w:t>x20%（统计贡献由南山区统计局对其在库企业进行统一统计）；</w:t>
      </w:r>
    </w:p>
    <w:p>
      <w:pPr>
        <w:widowControl/>
        <w:shd w:val="clear" w:color="auto" w:fill="FFFFFF"/>
        <w:spacing w:line="360" w:lineRule="auto"/>
        <w:ind w:firstLine="48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2、统计贡献计算方法：统计</w:t>
      </w:r>
      <w:r>
        <w:rPr>
          <w:rFonts w:ascii="宋体" w:hAnsi="宋体" w:cs="Segoe UI"/>
          <w:color w:val="000000"/>
          <w:kern w:val="0"/>
          <w:sz w:val="24"/>
          <w:szCs w:val="24"/>
          <w:highlight w:val="none"/>
        </w:rPr>
        <w:t>贡献</w:t>
      </w:r>
      <w:r>
        <w:rPr>
          <w:rFonts w:hint="eastAsia" w:ascii="宋体" w:hAnsi="宋体" w:cs="Segoe UI"/>
          <w:color w:val="000000"/>
          <w:kern w:val="0"/>
          <w:sz w:val="24"/>
          <w:szCs w:val="24"/>
          <w:highlight w:val="none"/>
        </w:rPr>
        <w:t xml:space="preserve"> </w:t>
      </w:r>
      <w:r>
        <w:rPr>
          <w:rFonts w:ascii="宋体" w:hAnsi="宋体" w:cs="Segoe UI"/>
          <w:color w:val="000000"/>
          <w:kern w:val="0"/>
          <w:sz w:val="24"/>
          <w:szCs w:val="24"/>
          <w:highlight w:val="none"/>
        </w:rPr>
        <w:t>= 在库基本分</w:t>
      </w:r>
      <w:r>
        <w:rPr>
          <w:rFonts w:hint="eastAsia" w:ascii="宋体" w:hAnsi="宋体" w:cs="Segoe UI"/>
          <w:color w:val="000000"/>
          <w:kern w:val="0"/>
          <w:sz w:val="24"/>
          <w:szCs w:val="24"/>
          <w:highlight w:val="none"/>
        </w:rPr>
        <w:t>（50分）+ 排名</w:t>
      </w:r>
      <w:r>
        <w:rPr>
          <w:rFonts w:ascii="宋体" w:hAnsi="宋体" w:cs="Segoe UI"/>
          <w:color w:val="000000"/>
          <w:kern w:val="0"/>
          <w:sz w:val="24"/>
          <w:szCs w:val="24"/>
          <w:highlight w:val="none"/>
        </w:rPr>
        <w:t>加分</w:t>
      </w:r>
      <w:r>
        <w:rPr>
          <w:rFonts w:hint="eastAsia" w:ascii="宋体" w:hAnsi="宋体" w:cs="Segoe UI"/>
          <w:color w:val="000000"/>
          <w:kern w:val="0"/>
          <w:sz w:val="24"/>
          <w:szCs w:val="24"/>
          <w:highlight w:val="none"/>
        </w:rPr>
        <w:t>（50分）</w:t>
      </w:r>
      <w:r>
        <w:rPr>
          <w:rFonts w:hint="eastAsia" w:ascii="宋体" w:hAnsi="宋体" w:cs="Segoe UI"/>
          <w:color w:val="000000"/>
          <w:kern w:val="0"/>
          <w:sz w:val="24"/>
          <w:szCs w:val="24"/>
          <w:highlight w:val="none"/>
          <w:lang w:val="en-US" w:eastAsia="zh-CN"/>
        </w:rPr>
        <w:t>+增速加分（50）</w:t>
      </w:r>
      <w:r>
        <w:rPr>
          <w:rFonts w:hint="eastAsia" w:ascii="宋体" w:hAnsi="宋体" w:cs="Segoe UI"/>
          <w:color w:val="000000"/>
          <w:kern w:val="0"/>
          <w:sz w:val="24"/>
          <w:szCs w:val="24"/>
          <w:highlight w:val="none"/>
          <w:lang w:eastAsia="zh-CN"/>
        </w:rPr>
        <w:t>（说明：</w:t>
      </w:r>
      <w:r>
        <w:rPr>
          <w:rFonts w:hint="eastAsia" w:ascii="宋体" w:hAnsi="宋体" w:cs="Segoe UI"/>
          <w:color w:val="000000"/>
          <w:kern w:val="0"/>
          <w:sz w:val="24"/>
          <w:szCs w:val="24"/>
          <w:highlight w:val="none"/>
          <w:lang w:val="en-US" w:eastAsia="zh-CN"/>
        </w:rPr>
        <w:t>排名、增速均以上年度“定报”数据为准，不在库企业，无“统计贡献”分值）。</w:t>
      </w:r>
    </w:p>
    <w:p>
      <w:pPr>
        <w:widowControl/>
        <w:shd w:val="clear" w:color="auto" w:fill="FFFFFF"/>
        <w:spacing w:line="360" w:lineRule="auto"/>
        <w:ind w:firstLine="480"/>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①</w:t>
      </w:r>
      <w:r>
        <w:rPr>
          <w:rFonts w:hint="eastAsia" w:ascii="宋体" w:hAnsi="宋体" w:cs="Segoe UI"/>
          <w:color w:val="000000"/>
          <w:kern w:val="0"/>
          <w:sz w:val="24"/>
          <w:szCs w:val="24"/>
          <w:highlight w:val="none"/>
        </w:rPr>
        <w:t>基本</w:t>
      </w:r>
      <w:r>
        <w:rPr>
          <w:rFonts w:ascii="宋体" w:hAnsi="宋体" w:cs="Segoe UI"/>
          <w:color w:val="000000"/>
          <w:kern w:val="0"/>
          <w:sz w:val="24"/>
          <w:szCs w:val="24"/>
          <w:highlight w:val="none"/>
        </w:rPr>
        <w:t>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lang w:eastAsia="zh-CN"/>
        </w:rPr>
        <w:t>南山区在库企业，且年度经营数据达到国家规定限额标准，配合做好统计数据报送工作的，得基本分50分；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lang w:eastAsia="zh-CN"/>
        </w:rPr>
        <w:t>②</w:t>
      </w:r>
      <w:r>
        <w:rPr>
          <w:rFonts w:hint="eastAsia" w:ascii="宋体" w:hAnsi="宋体" w:cs="Segoe UI"/>
          <w:color w:val="000000"/>
          <w:kern w:val="0"/>
          <w:sz w:val="24"/>
          <w:szCs w:val="24"/>
          <w:highlight w:val="none"/>
        </w:rPr>
        <w:t>排名</w:t>
      </w:r>
      <w:r>
        <w:rPr>
          <w:rFonts w:ascii="宋体" w:hAnsi="宋体" w:cs="Segoe UI"/>
          <w:color w:val="000000"/>
          <w:kern w:val="0"/>
          <w:sz w:val="24"/>
          <w:szCs w:val="24"/>
          <w:highlight w:val="none"/>
        </w:rPr>
        <w:t>加分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：根据企业在本行业的年度排名，</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%的企业加</w:t>
      </w:r>
      <w:r>
        <w:rPr>
          <w:rFonts w:hint="eastAsia" w:ascii="宋体" w:hAnsi="宋体" w:cs="Segoe UI"/>
          <w:color w:val="000000"/>
          <w:kern w:val="0"/>
          <w:sz w:val="24"/>
          <w:szCs w:val="24"/>
          <w:highlight w:val="none"/>
        </w:rPr>
        <w:t>50分</w:t>
      </w:r>
      <w:r>
        <w:rPr>
          <w:rFonts w:ascii="宋体" w:hAnsi="宋体" w:cs="Segoe UI"/>
          <w:color w:val="000000"/>
          <w:kern w:val="0"/>
          <w:sz w:val="24"/>
          <w:szCs w:val="24"/>
          <w:highlight w:val="none"/>
        </w:rPr>
        <w:t>，行业排名前</w:t>
      </w:r>
      <w:r>
        <w:rPr>
          <w:rFonts w:hint="eastAsia" w:ascii="宋体" w:hAnsi="宋体" w:cs="Segoe UI"/>
          <w:color w:val="000000"/>
          <w:kern w:val="0"/>
          <w:sz w:val="24"/>
          <w:szCs w:val="24"/>
          <w:highlight w:val="none"/>
        </w:rPr>
        <w:t>20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的企业（不含</w:t>
      </w:r>
      <w:r>
        <w:rPr>
          <w:rFonts w:ascii="宋体" w:hAnsi="宋体" w:cs="Segoe UI"/>
          <w:color w:val="000000"/>
          <w:kern w:val="0"/>
          <w:sz w:val="24"/>
          <w:szCs w:val="24"/>
          <w:highlight w:val="none"/>
        </w:rPr>
        <w:t>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后同</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加</w:t>
      </w:r>
      <w:r>
        <w:rPr>
          <w:rFonts w:hint="eastAsia" w:ascii="宋体" w:hAnsi="宋体" w:cs="Segoe UI"/>
          <w:color w:val="000000"/>
          <w:kern w:val="0"/>
          <w:sz w:val="24"/>
          <w:szCs w:val="24"/>
          <w:highlight w:val="none"/>
        </w:rPr>
        <w:t>40分</w:t>
      </w:r>
      <w:r>
        <w:rPr>
          <w:rFonts w:ascii="宋体" w:hAnsi="宋体" w:cs="Segoe UI"/>
          <w:color w:val="000000"/>
          <w:kern w:val="0"/>
          <w:sz w:val="24"/>
          <w:szCs w:val="24"/>
          <w:highlight w:val="none"/>
        </w:rPr>
        <w:t>，行业排名前3</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加3</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，行业排名前4</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加2</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排名在</w:t>
      </w:r>
      <w:r>
        <w:rPr>
          <w:rFonts w:hint="eastAsia" w:ascii="宋体" w:hAnsi="宋体" w:cs="Segoe UI"/>
          <w:color w:val="000000"/>
          <w:kern w:val="0"/>
          <w:sz w:val="24"/>
          <w:szCs w:val="24"/>
          <w:highlight w:val="none"/>
        </w:rPr>
        <w:t>前40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之后</w:t>
      </w:r>
      <w:r>
        <w:rPr>
          <w:rFonts w:ascii="宋体" w:hAnsi="宋体" w:cs="Segoe UI"/>
          <w:color w:val="000000"/>
          <w:kern w:val="0"/>
          <w:sz w:val="24"/>
          <w:szCs w:val="24"/>
          <w:highlight w:val="none"/>
        </w:rPr>
        <w:t>的</w:t>
      </w:r>
      <w:r>
        <w:rPr>
          <w:rFonts w:hint="eastAsia" w:ascii="宋体" w:hAnsi="宋体" w:cs="Segoe UI"/>
          <w:color w:val="000000"/>
          <w:kern w:val="0"/>
          <w:sz w:val="24"/>
          <w:szCs w:val="24"/>
          <w:highlight w:val="none"/>
        </w:rPr>
        <w:t>加10分</w:t>
      </w:r>
      <w:r>
        <w:rPr>
          <w:rFonts w:ascii="宋体" w:hAnsi="宋体" w:cs="Segoe UI"/>
          <w:color w:val="000000"/>
          <w:kern w:val="0"/>
          <w:sz w:val="24"/>
          <w:szCs w:val="24"/>
          <w:highlight w:val="none"/>
        </w:rPr>
        <w:t>，在库但无报送数据的，</w:t>
      </w:r>
      <w:r>
        <w:rPr>
          <w:rFonts w:hint="eastAsia" w:ascii="宋体" w:hAnsi="宋体" w:cs="Segoe UI"/>
          <w:color w:val="000000"/>
          <w:kern w:val="0"/>
          <w:sz w:val="24"/>
          <w:szCs w:val="24"/>
          <w:highlight w:val="none"/>
        </w:rPr>
        <w:t>不</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无加分</w:t>
      </w:r>
      <w:r>
        <w:rPr>
          <w:rFonts w:hint="eastAsia" w:ascii="宋体" w:hAnsi="宋体" w:cs="Segoe UI"/>
          <w:color w:val="000000"/>
          <w:kern w:val="0"/>
          <w:sz w:val="24"/>
          <w:szCs w:val="24"/>
          <w:highlight w:val="none"/>
          <w:lang w:eastAsia="zh-CN"/>
        </w:rPr>
        <w:t>，</w:t>
      </w:r>
      <w:r>
        <w:rPr>
          <w:rFonts w:hint="eastAsia" w:ascii="宋体" w:hAnsi="宋体" w:cs="Segoe UI"/>
          <w:color w:val="000000"/>
          <w:kern w:val="0"/>
          <w:sz w:val="24"/>
          <w:szCs w:val="24"/>
          <w:highlight w:val="none"/>
        </w:rPr>
        <w:t>（说明：行业</w:t>
      </w:r>
      <w:r>
        <w:rPr>
          <w:rFonts w:ascii="宋体" w:hAnsi="宋体" w:cs="Segoe UI"/>
          <w:color w:val="000000"/>
          <w:kern w:val="0"/>
          <w:sz w:val="24"/>
          <w:szCs w:val="24"/>
          <w:highlight w:val="none"/>
        </w:rPr>
        <w:t>分类</w:t>
      </w:r>
      <w:r>
        <w:rPr>
          <w:rFonts w:hint="eastAsia" w:ascii="宋体" w:hAnsi="宋体" w:cs="Segoe UI"/>
          <w:color w:val="000000"/>
          <w:kern w:val="0"/>
          <w:sz w:val="24"/>
          <w:szCs w:val="24"/>
          <w:highlight w:val="none"/>
        </w:rPr>
        <w:t>按</w:t>
      </w:r>
      <w:r>
        <w:rPr>
          <w:rFonts w:ascii="宋体" w:hAnsi="宋体" w:cs="Segoe UI"/>
          <w:color w:val="000000"/>
          <w:kern w:val="0"/>
          <w:sz w:val="24"/>
          <w:szCs w:val="24"/>
          <w:highlight w:val="none"/>
        </w:rPr>
        <w:t>照</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国民经济行业分类标准</w:t>
      </w:r>
      <w:r>
        <w:rPr>
          <w:rFonts w:hint="eastAsia" w:ascii="宋体" w:hAnsi="宋体" w:cs="Segoe UI"/>
          <w:color w:val="000000"/>
          <w:kern w:val="0"/>
          <w:sz w:val="24"/>
          <w:szCs w:val="24"/>
          <w:highlight w:val="none"/>
        </w:rPr>
        <w:t>》以国家统计局联网直报系统中确定</w:t>
      </w:r>
      <w:r>
        <w:rPr>
          <w:rFonts w:ascii="宋体" w:hAnsi="宋体" w:cs="Segoe UI"/>
          <w:color w:val="000000"/>
          <w:kern w:val="0"/>
          <w:sz w:val="24"/>
          <w:szCs w:val="24"/>
          <w:highlight w:val="none"/>
        </w:rPr>
        <w:t>的行业代码为准</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的</w:t>
      </w:r>
      <w:r>
        <w:rPr>
          <w:rFonts w:ascii="宋体" w:hAnsi="宋体" w:cs="Segoe UI"/>
          <w:color w:val="000000"/>
          <w:kern w:val="0"/>
          <w:sz w:val="24"/>
          <w:szCs w:val="24"/>
          <w:highlight w:val="none"/>
        </w:rPr>
        <w:t>依据</w:t>
      </w:r>
      <w:r>
        <w:rPr>
          <w:rFonts w:hint="eastAsia" w:ascii="宋体" w:hAnsi="宋体" w:cs="Segoe UI"/>
          <w:color w:val="000000"/>
          <w:kern w:val="0"/>
          <w:sz w:val="24"/>
          <w:szCs w:val="24"/>
          <w:highlight w:val="none"/>
        </w:rPr>
        <w:t>：根据</w:t>
      </w:r>
      <w:r>
        <w:rPr>
          <w:rFonts w:ascii="宋体" w:hAnsi="宋体" w:cs="Segoe UI"/>
          <w:color w:val="000000"/>
          <w:kern w:val="0"/>
          <w:sz w:val="24"/>
          <w:szCs w:val="24"/>
          <w:highlight w:val="none"/>
        </w:rPr>
        <w:t>各行业的关键指标进行排名）</w:t>
      </w:r>
      <w:r>
        <w:rPr>
          <w:rFonts w:hint="eastAsia" w:ascii="宋体" w:hAnsi="宋体" w:cs="Segoe UI"/>
          <w:color w:val="000000"/>
          <w:kern w:val="0"/>
          <w:sz w:val="24"/>
          <w:szCs w:val="24"/>
          <w:highlight w:val="none"/>
        </w:rPr>
        <w:t>；</w:t>
      </w:r>
    </w:p>
    <w:p>
      <w:pPr>
        <w:widowControl/>
        <w:shd w:val="clear" w:color="auto" w:fill="FFFFFF"/>
        <w:spacing w:line="360" w:lineRule="auto"/>
        <w:ind w:firstLine="480"/>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③增速加分计算：</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eastAsia="zh-CN"/>
        </w:rPr>
        <w:t>行业排名前</w:t>
      </w:r>
      <w:r>
        <w:rPr>
          <w:rFonts w:hint="eastAsia" w:ascii="宋体" w:hAnsi="宋体" w:cs="Segoe UI"/>
          <w:color w:val="000000"/>
          <w:kern w:val="0"/>
          <w:sz w:val="24"/>
          <w:szCs w:val="24"/>
          <w:highlight w:val="none"/>
          <w:lang w:val="en-US" w:eastAsia="zh-CN"/>
        </w:rPr>
        <w:t>10%的企业：增速达15%及以上的，加50分，增速为10%（含）～15%的，加45分，增速为5%（含）～10%的，加40分，增速不足5%的，加30分；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行业排名前20%的企业：增速达25%及以上的，加45分，增速为15%（含）～25%的，加40分，增速为5%（含）～15%的，加35分，增速不足5%的，加30分；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行业排名前30%的企业：增速达35%及以上的，加40分，增速为20%（含）～35%的，加35分，增速为10%（含）～20%的，加30分，增速不足10%的，加25分；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行业排名前40%的企业：增速达45%及以上的，加35分，增速为30%（含）～45%的，加30分，增速为15%（含）～30%的，加25分，增速不足15%的，加20分；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行业排名前40%之后的企业：增速达60%及以上的，加30分，增速为30%（含）～60%的，加20分，增速不足30%的，加10分；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上年“年度入库企业”，按在库企业基础分及增速排名最低一档计算，即统计贡献为基础分50+增速加分10分。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（3）统计贡献行业排名由南山区统计局提供，企业在申报时无需填写，“申报系统”中自动生成，可自行查看；</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（4）税收贡献，上一年度（1月1日-12月31日）税款缴纳时间为准，不考虑税款的所属期，含代扣代缴税费。</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具体细则如下：</w:t>
      </w:r>
    </w:p>
    <w:tbl>
      <w:tblPr>
        <w:tblStyle w:val="8"/>
        <w:tblW w:w="9180" w:type="dxa"/>
        <w:tblInd w:w="-72" w:type="dxa"/>
        <w:tblLayout w:type="fixed"/>
        <w:tblCellMar>
          <w:top w:w="0" w:type="dxa"/>
          <w:left w:w="0" w:type="dxa"/>
          <w:bottom w:w="0" w:type="dxa"/>
          <w:right w:w="0" w:type="dxa"/>
        </w:tblCellMar>
      </w:tblPr>
      <w:tblGrid>
        <w:gridCol w:w="720"/>
        <w:gridCol w:w="1260"/>
        <w:gridCol w:w="6300"/>
        <w:gridCol w:w="900"/>
      </w:tblGrid>
      <w:tr>
        <w:tblPrEx>
          <w:tblLayout w:type="fixed"/>
          <w:tblCellMar>
            <w:top w:w="0" w:type="dxa"/>
            <w:left w:w="0" w:type="dxa"/>
            <w:bottom w:w="0" w:type="dxa"/>
            <w:right w:w="0" w:type="dxa"/>
          </w:tblCellMar>
        </w:tblPrEx>
        <w:trPr>
          <w:trHeight w:val="649" w:hRule="atLeast"/>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序号</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指标名称</w:t>
            </w:r>
          </w:p>
        </w:tc>
        <w:tc>
          <w:tcPr>
            <w:tcW w:w="63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评分说明</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得分</w:t>
            </w:r>
          </w:p>
        </w:tc>
      </w:tr>
      <w:tr>
        <w:tblPrEx>
          <w:tblLayout w:type="fixed"/>
          <w:tblCellMar>
            <w:top w:w="0" w:type="dxa"/>
            <w:left w:w="0" w:type="dxa"/>
            <w:bottom w:w="0" w:type="dxa"/>
            <w:right w:w="0" w:type="dxa"/>
          </w:tblCellMar>
        </w:tblPrEx>
        <w:trPr>
          <w:trHeight w:val="771"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税收贡献</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在南山区纳税达50万元，得55分；纳税额增加1万元增加0.1分，满分100分。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A</w:t>
            </w:r>
          </w:p>
        </w:tc>
      </w:tr>
      <w:tr>
        <w:tblPrEx>
          <w:tblLayout w:type="fixed"/>
          <w:tblCellMar>
            <w:top w:w="0" w:type="dxa"/>
            <w:left w:w="0" w:type="dxa"/>
            <w:bottom w:w="0" w:type="dxa"/>
            <w:right w:w="0" w:type="dxa"/>
          </w:tblCellMar>
        </w:tblPrEx>
        <w:trPr>
          <w:trHeight w:val="771"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s="Segoe UI"/>
                <w:color w:val="000000"/>
                <w:kern w:val="0"/>
                <w:sz w:val="24"/>
                <w:szCs w:val="24"/>
                <w:highlight w:val="none"/>
              </w:rPr>
              <w:t>统计贡献</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①</w:t>
            </w:r>
            <w:r>
              <w:rPr>
                <w:rFonts w:hint="eastAsia" w:ascii="宋体" w:hAnsi="宋体" w:cs="Segoe UI"/>
                <w:color w:val="000000"/>
                <w:kern w:val="0"/>
                <w:sz w:val="24"/>
                <w:szCs w:val="24"/>
                <w:highlight w:val="none"/>
              </w:rPr>
              <w:t>基本</w:t>
            </w:r>
            <w:r>
              <w:rPr>
                <w:rFonts w:ascii="宋体" w:hAnsi="宋体" w:cs="Segoe UI"/>
                <w:color w:val="000000"/>
                <w:kern w:val="0"/>
                <w:sz w:val="24"/>
                <w:szCs w:val="24"/>
                <w:highlight w:val="none"/>
              </w:rPr>
              <w:t>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lang w:eastAsia="zh-CN"/>
              </w:rPr>
              <w:t>南山区在库企业，且年度经营数据达到国家规定限额标准，配合做好统计数据报送工作的，得基本分50分；</w:t>
            </w:r>
          </w:p>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lang w:eastAsia="zh-CN"/>
              </w:rPr>
              <w:t>②</w:t>
            </w:r>
            <w:r>
              <w:rPr>
                <w:rFonts w:hint="eastAsia" w:ascii="宋体" w:hAnsi="宋体" w:cs="Segoe UI"/>
                <w:color w:val="000000"/>
                <w:kern w:val="0"/>
                <w:sz w:val="24"/>
                <w:szCs w:val="24"/>
                <w:highlight w:val="none"/>
              </w:rPr>
              <w:t>加分计算</w:t>
            </w:r>
            <w:r>
              <w:rPr>
                <w:rFonts w:ascii="宋体" w:hAnsi="宋体" w:cs="Segoe UI"/>
                <w:color w:val="000000"/>
                <w:kern w:val="0"/>
                <w:sz w:val="24"/>
                <w:szCs w:val="24"/>
                <w:highlight w:val="none"/>
              </w:rPr>
              <w:t>：根据企业在本行业的年度排名，</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%的企业加</w:t>
            </w:r>
            <w:r>
              <w:rPr>
                <w:rFonts w:hint="eastAsia" w:ascii="宋体" w:hAnsi="宋体" w:cs="Segoe UI"/>
                <w:color w:val="000000"/>
                <w:kern w:val="0"/>
                <w:sz w:val="24"/>
                <w:szCs w:val="24"/>
                <w:highlight w:val="none"/>
              </w:rPr>
              <w:t>50分</w:t>
            </w:r>
            <w:r>
              <w:rPr>
                <w:rFonts w:ascii="宋体" w:hAnsi="宋体" w:cs="Segoe UI"/>
                <w:color w:val="000000"/>
                <w:kern w:val="0"/>
                <w:sz w:val="24"/>
                <w:szCs w:val="24"/>
                <w:highlight w:val="none"/>
              </w:rPr>
              <w:t>，行业排名前</w:t>
            </w:r>
            <w:r>
              <w:rPr>
                <w:rFonts w:hint="eastAsia" w:ascii="宋体" w:hAnsi="宋体" w:cs="Segoe UI"/>
                <w:color w:val="000000"/>
                <w:kern w:val="0"/>
                <w:sz w:val="24"/>
                <w:szCs w:val="24"/>
                <w:highlight w:val="none"/>
              </w:rPr>
              <w:t>20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的企业（不含</w:t>
            </w:r>
            <w:r>
              <w:rPr>
                <w:rFonts w:ascii="宋体" w:hAnsi="宋体" w:cs="Segoe UI"/>
                <w:color w:val="000000"/>
                <w:kern w:val="0"/>
                <w:sz w:val="24"/>
                <w:szCs w:val="24"/>
                <w:highlight w:val="none"/>
              </w:rPr>
              <w:t>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后同</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加</w:t>
            </w:r>
            <w:r>
              <w:rPr>
                <w:rFonts w:hint="eastAsia" w:ascii="宋体" w:hAnsi="宋体" w:cs="Segoe UI"/>
                <w:color w:val="000000"/>
                <w:kern w:val="0"/>
                <w:sz w:val="24"/>
                <w:szCs w:val="24"/>
                <w:highlight w:val="none"/>
              </w:rPr>
              <w:t>40分</w:t>
            </w:r>
            <w:r>
              <w:rPr>
                <w:rFonts w:ascii="宋体" w:hAnsi="宋体" w:cs="Segoe UI"/>
                <w:color w:val="000000"/>
                <w:kern w:val="0"/>
                <w:sz w:val="24"/>
                <w:szCs w:val="24"/>
                <w:highlight w:val="none"/>
              </w:rPr>
              <w:t>，行业排名前3</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加3</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，行业排名前4</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加2</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排名在</w:t>
            </w:r>
            <w:r>
              <w:rPr>
                <w:rFonts w:hint="eastAsia" w:ascii="宋体" w:hAnsi="宋体" w:cs="Segoe UI"/>
                <w:color w:val="000000"/>
                <w:kern w:val="0"/>
                <w:sz w:val="24"/>
                <w:szCs w:val="24"/>
                <w:highlight w:val="none"/>
              </w:rPr>
              <w:t>前40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之后</w:t>
            </w:r>
            <w:r>
              <w:rPr>
                <w:rFonts w:ascii="宋体" w:hAnsi="宋体" w:cs="Segoe UI"/>
                <w:color w:val="000000"/>
                <w:kern w:val="0"/>
                <w:sz w:val="24"/>
                <w:szCs w:val="24"/>
                <w:highlight w:val="none"/>
              </w:rPr>
              <w:t>的</w:t>
            </w:r>
            <w:r>
              <w:rPr>
                <w:rFonts w:hint="eastAsia" w:ascii="宋体" w:hAnsi="宋体" w:cs="Segoe UI"/>
                <w:color w:val="000000"/>
                <w:kern w:val="0"/>
                <w:sz w:val="24"/>
                <w:szCs w:val="24"/>
                <w:highlight w:val="none"/>
              </w:rPr>
              <w:t>加10分</w:t>
            </w:r>
            <w:r>
              <w:rPr>
                <w:rFonts w:ascii="宋体" w:hAnsi="宋体" w:cs="Segoe UI"/>
                <w:color w:val="000000"/>
                <w:kern w:val="0"/>
                <w:sz w:val="24"/>
                <w:szCs w:val="24"/>
                <w:highlight w:val="none"/>
              </w:rPr>
              <w:t>，在库但无报送数据的，</w:t>
            </w:r>
            <w:r>
              <w:rPr>
                <w:rFonts w:hint="eastAsia" w:ascii="宋体" w:hAnsi="宋体" w:cs="Segoe UI"/>
                <w:color w:val="000000"/>
                <w:kern w:val="0"/>
                <w:sz w:val="24"/>
                <w:szCs w:val="24"/>
                <w:highlight w:val="none"/>
              </w:rPr>
              <w:t>不</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无加分。</w:t>
            </w:r>
          </w:p>
          <w:p>
            <w:pPr>
              <w:widowControl/>
              <w:shd w:val="clear" w:color="auto" w:fill="FFFFFF"/>
              <w:spacing w:line="360" w:lineRule="auto"/>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③增速加分计算：</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eastAsia="zh-CN"/>
              </w:rPr>
              <w:t>行业排名前</w:t>
            </w:r>
            <w:r>
              <w:rPr>
                <w:rFonts w:hint="eastAsia" w:ascii="宋体" w:hAnsi="宋体" w:cs="Segoe UI"/>
                <w:color w:val="000000"/>
                <w:kern w:val="0"/>
                <w:sz w:val="24"/>
                <w:szCs w:val="24"/>
                <w:highlight w:val="none"/>
                <w:lang w:val="en-US" w:eastAsia="zh-CN"/>
              </w:rPr>
              <w:t>10%的企业：增速达15%及以上的，加50分，增速为10%（含）～15%的，加45分，增速为5%（含）～10%的，加40分，增速不足5%的，加30分；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行业排名前20%的企业：增速达25%及以上的，加45分，增速为15%（含）～25%的，加40分，增速为5%（含）～15%的，加35分，增速不足5%的，加30分；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行业排名前30%的企业：增速达35%及以上的，加40分，增速为20%（含）～35%的，加35分，增速为10%（含）～20%的，加30分，增速不足10%的，加25分；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行业排名前40%的企业：增速达45%及以上的，加35分，增速为30%（含）～45%的，加30分，增速为15%（含）～30%的，加25分，增速不足15%的，加20分；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行业排名前40%之后的企业：增速达60%及以上的，加30分，增速为30%（含）～60%的，加20分，增速不足30%的，加10分；</w:t>
            </w:r>
          </w:p>
          <w:p>
            <w:pPr>
              <w:widowControl/>
              <w:spacing w:line="360" w:lineRule="auto"/>
              <w:jc w:val="left"/>
              <w:rPr>
                <w:rFonts w:hint="eastAsia" w:ascii="宋体" w:hAnsi="宋体"/>
                <w:color w:val="000000"/>
                <w:kern w:val="0"/>
                <w:sz w:val="24"/>
                <w:highlight w:val="none"/>
              </w:rPr>
            </w:pPr>
            <w:r>
              <w:rPr>
                <w:rFonts w:hint="eastAsia" w:ascii="宋体" w:hAnsi="宋体" w:cs="Segoe UI"/>
                <w:color w:val="000000"/>
                <w:kern w:val="0"/>
                <w:sz w:val="24"/>
                <w:szCs w:val="24"/>
                <w:highlight w:val="none"/>
                <w:lang w:val="en-US" w:eastAsia="zh-CN"/>
              </w:rPr>
              <w:t>上年“年度入库企业”，按在库企业基础分及增速排名最低一档计算，即统计贡献为基础分50+增速加分10分。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B</w:t>
            </w:r>
          </w:p>
        </w:tc>
      </w:tr>
      <w:tr>
        <w:tblPrEx>
          <w:tblLayout w:type="fixed"/>
          <w:tblCellMar>
            <w:top w:w="0" w:type="dxa"/>
            <w:left w:w="0" w:type="dxa"/>
            <w:bottom w:w="0" w:type="dxa"/>
            <w:right w:w="0" w:type="dxa"/>
          </w:tblCellMar>
        </w:tblPrEx>
        <w:trPr>
          <w:trHeight w:val="854"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人才规模</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人才规模达20人，得60分；每增加1人加0.2分，满分100分。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C</w:t>
            </w:r>
          </w:p>
        </w:tc>
      </w:tr>
      <w:tr>
        <w:tblPrEx>
          <w:tblLayout w:type="fixed"/>
          <w:tblCellMar>
            <w:top w:w="0" w:type="dxa"/>
            <w:left w:w="0" w:type="dxa"/>
            <w:bottom w:w="0" w:type="dxa"/>
            <w:right w:w="0" w:type="dxa"/>
          </w:tblCellMar>
        </w:tblPrEx>
        <w:trPr>
          <w:trHeight w:val="786" w:hRule="atLeast"/>
        </w:trPr>
        <w:tc>
          <w:tcPr>
            <w:tcW w:w="198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总评分</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计算方法：Ax40%+Bx40%+Cx20%</w:t>
            </w:r>
          </w:p>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(总分相等的企业按上年度纳税金额高低排序)</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　</w:t>
            </w:r>
          </w:p>
        </w:tc>
      </w:tr>
    </w:tbl>
    <w:p>
      <w:pPr>
        <w:widowControl/>
        <w:shd w:val="clear" w:color="auto" w:fill="FFFFFF"/>
        <w:tabs>
          <w:tab w:val="left" w:pos="5535"/>
        </w:tabs>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3、申报材料</w:t>
      </w:r>
      <w:r>
        <w:rPr>
          <w:rFonts w:hint="eastAsia" w:ascii="宋体" w:hAnsi="宋体" w:cs="Segoe UI"/>
          <w:b/>
          <w:color w:val="000000"/>
          <w:kern w:val="0"/>
          <w:sz w:val="24"/>
          <w:szCs w:val="24"/>
          <w:highlight w:val="none"/>
        </w:rPr>
        <w:tab/>
      </w:r>
    </w:p>
    <w:tbl>
      <w:tblPr>
        <w:tblStyle w:val="8"/>
        <w:tblW w:w="8379" w:type="dxa"/>
        <w:tblInd w:w="93" w:type="dxa"/>
        <w:tblLayout w:type="fixed"/>
        <w:tblCellMar>
          <w:top w:w="0" w:type="dxa"/>
          <w:left w:w="108" w:type="dxa"/>
          <w:bottom w:w="0" w:type="dxa"/>
          <w:right w:w="108" w:type="dxa"/>
        </w:tblCellMar>
      </w:tblPr>
      <w:tblGrid>
        <w:gridCol w:w="714"/>
        <w:gridCol w:w="5538"/>
        <w:gridCol w:w="2127"/>
      </w:tblGrid>
      <w:tr>
        <w:tblPrEx>
          <w:tblLayout w:type="fixed"/>
          <w:tblCellMar>
            <w:top w:w="0" w:type="dxa"/>
            <w:left w:w="108" w:type="dxa"/>
            <w:bottom w:w="0" w:type="dxa"/>
            <w:right w:w="108" w:type="dxa"/>
          </w:tblCellMar>
        </w:tblPrEx>
        <w:trPr>
          <w:trHeight w:val="52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5538" w:type="dxa"/>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 xml:space="preserve">         材料名称</w:t>
            </w:r>
          </w:p>
        </w:tc>
        <w:tc>
          <w:tcPr>
            <w:tcW w:w="2127" w:type="dxa"/>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 xml:space="preserve"> 材料形式</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553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南山区人才安居定向配租补租申报表。</w:t>
            </w:r>
          </w:p>
        </w:tc>
        <w:tc>
          <w:tcPr>
            <w:tcW w:w="2127"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553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三证合一新版营业执照（未换领三证合一新版营业执照的，提交原旧版营业执照、组织机构代码证书、税务登记证书）、法定代表人（或非法人企业负责人）身份证复印件。</w:t>
            </w:r>
          </w:p>
        </w:tc>
        <w:tc>
          <w:tcPr>
            <w:tcW w:w="2127"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553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ascii="宋体" w:hAnsi="宋体"/>
                <w:color w:val="000000"/>
                <w:kern w:val="0"/>
                <w:sz w:val="24"/>
                <w:highlight w:val="none"/>
              </w:rPr>
              <w:t>国家高新技术企业证书（发证日期在2016年1月1日以后）。</w:t>
            </w:r>
          </w:p>
        </w:tc>
        <w:tc>
          <w:tcPr>
            <w:tcW w:w="2127"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553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近三年（2016-2018年）国内外发明专利授权证书，或上年度（2018年）发明专利进入实审阶段通知书，或</w:t>
            </w:r>
            <w:r>
              <w:rPr>
                <w:rFonts w:hint="eastAsia" w:ascii="宋体" w:hAnsi="宋体" w:cs="Segoe UI"/>
                <w:color w:val="000000"/>
                <w:kern w:val="0"/>
                <w:sz w:val="24"/>
                <w:szCs w:val="24"/>
                <w:highlight w:val="none"/>
              </w:rPr>
              <w:t>近三年（2016—2018年）累积获得30件以上（含30件）软件著作权授权证明资料。</w:t>
            </w:r>
          </w:p>
        </w:tc>
        <w:tc>
          <w:tcPr>
            <w:tcW w:w="2127"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553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上年度纳税证明（2018年1月1日至12月31日）。</w:t>
            </w:r>
          </w:p>
        </w:tc>
        <w:tc>
          <w:tcPr>
            <w:tcW w:w="2127"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6</w:t>
            </w:r>
          </w:p>
        </w:tc>
        <w:tc>
          <w:tcPr>
            <w:tcW w:w="553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申报定向配租补租人才明细表。</w:t>
            </w:r>
          </w:p>
        </w:tc>
        <w:tc>
          <w:tcPr>
            <w:tcW w:w="2127"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sz w:val="24"/>
                <w:szCs w:val="24"/>
                <w:highlight w:val="none"/>
              </w:rPr>
              <w:t>在“申报系统”中直接填报，或下载模板填写上传</w:t>
            </w:r>
          </w:p>
        </w:tc>
      </w:tr>
    </w:tbl>
    <w:p>
      <w:pPr>
        <w:widowControl/>
        <w:shd w:val="clear" w:color="auto" w:fill="FFFFFF"/>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4、配额上限</w:t>
      </w:r>
    </w:p>
    <w:p>
      <w:pPr>
        <w:widowControl/>
        <w:shd w:val="clear" w:color="auto" w:fill="FFFFFF"/>
        <w:spacing w:line="360" w:lineRule="auto"/>
        <w:ind w:firstLine="480" w:firstLineChars="200"/>
        <w:rPr>
          <w:rFonts w:hint="eastAsia" w:ascii="宋体"/>
          <w:b/>
          <w:color w:val="000000"/>
          <w:kern w:val="0"/>
          <w:sz w:val="24"/>
          <w:highlight w:val="none"/>
        </w:rPr>
      </w:pPr>
      <w:r>
        <w:rPr>
          <w:rFonts w:hint="eastAsia" w:ascii="宋体" w:hAnsi="宋体" w:cs="Segoe UI"/>
          <w:color w:val="000000"/>
          <w:kern w:val="0"/>
          <w:sz w:val="24"/>
          <w:szCs w:val="24"/>
          <w:highlight w:val="none"/>
        </w:rPr>
        <w:t>补租配额统一上限40套，配租配额统一上限3套。</w:t>
      </w:r>
    </w:p>
    <w:p>
      <w:pPr>
        <w:widowControl/>
        <w:shd w:val="clear" w:color="auto" w:fill="FFFFFF"/>
        <w:spacing w:line="360" w:lineRule="auto"/>
        <w:ind w:firstLine="482" w:firstLineChars="200"/>
        <w:rPr>
          <w:rFonts w:hint="eastAsia" w:ascii="宋体"/>
          <w:b/>
          <w:color w:val="000000"/>
          <w:kern w:val="0"/>
          <w:sz w:val="24"/>
          <w:highlight w:val="none"/>
        </w:rPr>
      </w:pPr>
    </w:p>
    <w:p>
      <w:pPr>
        <w:widowControl/>
        <w:shd w:val="clear" w:color="auto" w:fill="FFFFFF"/>
        <w:spacing w:line="360" w:lineRule="auto"/>
        <w:ind w:firstLine="472" w:firstLineChars="196"/>
        <w:jc w:val="left"/>
        <w:rPr>
          <w:rFonts w:hint="eastAsia" w:ascii="宋体" w:hAnsi="宋体"/>
          <w:b/>
          <w:color w:val="000000"/>
          <w:kern w:val="0"/>
          <w:sz w:val="24"/>
          <w:szCs w:val="24"/>
          <w:highlight w:val="none"/>
        </w:rPr>
      </w:pPr>
      <w:r>
        <w:rPr>
          <w:rFonts w:hint="eastAsia" w:ascii="宋体" w:hAnsi="宋体"/>
          <w:b/>
          <w:color w:val="000000"/>
          <w:kern w:val="0"/>
          <w:sz w:val="24"/>
          <w:szCs w:val="24"/>
          <w:highlight w:val="none"/>
        </w:rPr>
        <w:t>（四）“科研院所”申报条件、评分细则、申报材料、配额上限</w:t>
      </w:r>
    </w:p>
    <w:p>
      <w:pPr>
        <w:spacing w:line="360" w:lineRule="auto"/>
        <w:ind w:firstLine="482" w:firstLineChars="200"/>
        <w:rPr>
          <w:rFonts w:ascii="宋体" w:hAnsi="宋体"/>
          <w:color w:val="000000"/>
          <w:sz w:val="24"/>
          <w:szCs w:val="24"/>
          <w:highlight w:val="none"/>
        </w:rPr>
      </w:pPr>
      <w:r>
        <w:rPr>
          <w:rFonts w:hint="eastAsia" w:ascii="宋体" w:hAnsi="宋体"/>
          <w:b/>
          <w:color w:val="000000"/>
          <w:sz w:val="24"/>
          <w:szCs w:val="24"/>
          <w:highlight w:val="none"/>
        </w:rPr>
        <w:t>1、申报条件</w:t>
      </w:r>
      <w:r>
        <w:rPr>
          <w:rFonts w:hint="eastAsia" w:ascii="宋体" w:hAnsi="宋体"/>
          <w:color w:val="000000"/>
          <w:sz w:val="24"/>
          <w:szCs w:val="24"/>
          <w:highlight w:val="none"/>
        </w:rPr>
        <w:t>（以下第（1）、（2）、（3）项必须同时具备，第（4）、（5）、（6）项必须具备其中之一）</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（1）工商注册和税务登记均在南山区的科研院所；</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（2）属于深圳战略性新兴产业或未来产业；</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（3）近三年（2016—2018年）累积获得5件以上（含5件）国内外发明专利授权，或上年度（2018年）10件以上（含10件）发明专利进入实审阶段；</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（4）近三年（2016—2018年）完成2项技术转移；</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（5）近三年（2016—2018年）完成1项科技成果产业化或成功孵化1家科技企业；</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（6）近三年（2016—2018年）新增市级以上创新载体2个。</w:t>
      </w:r>
    </w:p>
    <w:p>
      <w:pPr>
        <w:spacing w:line="360" w:lineRule="auto"/>
        <w:ind w:firstLine="482" w:firstLineChars="200"/>
        <w:rPr>
          <w:rFonts w:ascii="宋体" w:hAnsi="宋体"/>
          <w:b/>
          <w:color w:val="000000"/>
          <w:sz w:val="24"/>
          <w:szCs w:val="24"/>
          <w:highlight w:val="none"/>
        </w:rPr>
      </w:pPr>
      <w:r>
        <w:rPr>
          <w:rFonts w:hint="eastAsia" w:ascii="宋体" w:hAnsi="宋体"/>
          <w:b/>
          <w:color w:val="000000"/>
          <w:sz w:val="24"/>
          <w:szCs w:val="24"/>
          <w:highlight w:val="none"/>
        </w:rPr>
        <w:t>2、评分细则</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（1）根据税收贡献、人才规模（以通告日期社保登记为准，下同）两项指标，分别按百分制计算出分数，再按权重比例计算出分值：税收贡献x35%+人才规模x65%</w:t>
      </w:r>
      <w:r>
        <w:rPr>
          <w:rFonts w:hint="eastAsia" w:ascii="宋体" w:hAnsi="宋体" w:cs="Segoe UI"/>
          <w:color w:val="000000"/>
          <w:kern w:val="0"/>
          <w:sz w:val="24"/>
          <w:szCs w:val="24"/>
          <w:highlight w:val="none"/>
        </w:rPr>
        <w:t>；</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（2）税收贡献，上一年度（1月1日-12月31日）税款缴纳时间为准，不考虑税款的所属期，含代扣代缴税费。</w:t>
      </w:r>
    </w:p>
    <w:p>
      <w:pPr>
        <w:widowControl/>
        <w:shd w:val="clear" w:color="auto" w:fill="FFFFFF"/>
        <w:spacing w:line="360" w:lineRule="auto"/>
        <w:ind w:firstLine="64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具体细则如下：</w:t>
      </w:r>
    </w:p>
    <w:tbl>
      <w:tblPr>
        <w:tblStyle w:val="8"/>
        <w:tblW w:w="8931" w:type="dxa"/>
        <w:tblInd w:w="-34" w:type="dxa"/>
        <w:tblLayout w:type="fixed"/>
        <w:tblCellMar>
          <w:top w:w="0" w:type="dxa"/>
          <w:left w:w="0" w:type="dxa"/>
          <w:bottom w:w="0" w:type="dxa"/>
          <w:right w:w="0" w:type="dxa"/>
        </w:tblCellMar>
      </w:tblPr>
      <w:tblGrid>
        <w:gridCol w:w="851"/>
        <w:gridCol w:w="1276"/>
        <w:gridCol w:w="6095"/>
        <w:gridCol w:w="709"/>
      </w:tblGrid>
      <w:tr>
        <w:tblPrEx>
          <w:tblLayout w:type="fixed"/>
          <w:tblCellMar>
            <w:top w:w="0" w:type="dxa"/>
            <w:left w:w="0" w:type="dxa"/>
            <w:bottom w:w="0" w:type="dxa"/>
            <w:right w:w="0" w:type="dxa"/>
          </w:tblCellMar>
        </w:tblPrEx>
        <w:trPr>
          <w:trHeight w:val="834"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指标名称</w:t>
            </w:r>
          </w:p>
        </w:tc>
        <w:tc>
          <w:tcPr>
            <w:tcW w:w="60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评分说明</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得分</w:t>
            </w:r>
          </w:p>
        </w:tc>
      </w:tr>
      <w:tr>
        <w:tblPrEx>
          <w:tblLayout w:type="fixed"/>
          <w:tblCellMar>
            <w:top w:w="0" w:type="dxa"/>
            <w:left w:w="0" w:type="dxa"/>
            <w:bottom w:w="0" w:type="dxa"/>
            <w:right w:w="0" w:type="dxa"/>
          </w:tblCellMar>
        </w:tblPrEx>
        <w:trPr>
          <w:trHeight w:val="771"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1</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税收贡献</w:t>
            </w:r>
          </w:p>
        </w:tc>
        <w:tc>
          <w:tcPr>
            <w:tcW w:w="60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szCs w:val="24"/>
                <w:highlight w:val="none"/>
              </w:rPr>
            </w:pPr>
            <w:r>
              <w:rPr>
                <w:rFonts w:hint="eastAsia" w:ascii="宋体" w:hAnsi="宋体"/>
                <w:color w:val="000000"/>
                <w:kern w:val="0"/>
                <w:sz w:val="24"/>
                <w:szCs w:val="24"/>
                <w:highlight w:val="none"/>
              </w:rPr>
              <w:t>上年度纳税50万元（含）以下的，得50分；每增加1万元加1分，满分为100分。</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A</w:t>
            </w:r>
          </w:p>
        </w:tc>
      </w:tr>
      <w:tr>
        <w:tblPrEx>
          <w:tblLayout w:type="fixed"/>
          <w:tblCellMar>
            <w:top w:w="0" w:type="dxa"/>
            <w:left w:w="0" w:type="dxa"/>
            <w:bottom w:w="0" w:type="dxa"/>
            <w:right w:w="0" w:type="dxa"/>
          </w:tblCellMar>
        </w:tblPrEx>
        <w:trPr>
          <w:trHeight w:val="771" w:hRule="atLeast"/>
        </w:trPr>
        <w:tc>
          <w:tcPr>
            <w:tcW w:w="8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2</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人才规模</w:t>
            </w:r>
          </w:p>
        </w:tc>
        <w:tc>
          <w:tcPr>
            <w:tcW w:w="60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szCs w:val="24"/>
                <w:highlight w:val="none"/>
              </w:rPr>
            </w:pPr>
            <w:r>
              <w:rPr>
                <w:rFonts w:hint="eastAsia" w:ascii="宋体" w:hAnsi="宋体"/>
                <w:color w:val="000000"/>
                <w:kern w:val="0"/>
                <w:sz w:val="24"/>
                <w:szCs w:val="24"/>
                <w:highlight w:val="none"/>
              </w:rPr>
              <w:t>人才规模达30人（含）以上，得100分；10人（含）至30人的，得80分；10人以下的，得50分。</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B</w:t>
            </w:r>
          </w:p>
        </w:tc>
      </w:tr>
      <w:tr>
        <w:tblPrEx>
          <w:tblLayout w:type="fixed"/>
          <w:tblCellMar>
            <w:top w:w="0" w:type="dxa"/>
            <w:left w:w="0" w:type="dxa"/>
            <w:bottom w:w="0" w:type="dxa"/>
            <w:right w:w="0" w:type="dxa"/>
          </w:tblCellMar>
        </w:tblPrEx>
        <w:trPr>
          <w:trHeight w:val="576" w:hRule="atLeast"/>
        </w:trPr>
        <w:tc>
          <w:tcPr>
            <w:tcW w:w="212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总评分</w:t>
            </w:r>
          </w:p>
        </w:tc>
        <w:tc>
          <w:tcPr>
            <w:tcW w:w="60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计算方法：Ax35%+Bx65%</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olor w:val="000000"/>
                <w:kern w:val="0"/>
                <w:sz w:val="24"/>
                <w:szCs w:val="24"/>
                <w:highlight w:val="none"/>
              </w:rPr>
            </w:pPr>
          </w:p>
        </w:tc>
      </w:tr>
    </w:tbl>
    <w:p>
      <w:pPr>
        <w:widowControl/>
        <w:shd w:val="clear" w:color="auto" w:fill="FFFFFF"/>
        <w:spacing w:line="360" w:lineRule="auto"/>
        <w:ind w:firstLine="472" w:firstLineChars="196"/>
        <w:jc w:val="left"/>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3、申报材料</w:t>
      </w:r>
    </w:p>
    <w:tbl>
      <w:tblPr>
        <w:tblStyle w:val="8"/>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5113"/>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41" w:type="dxa"/>
            <w:vAlign w:val="center"/>
          </w:tcPr>
          <w:p>
            <w:pPr>
              <w:widowControl/>
              <w:spacing w:before="100" w:beforeAutospacing="1" w:after="100" w:afterAutospacing="1" w:line="360" w:lineRule="auto"/>
              <w:jc w:val="center"/>
              <w:rPr>
                <w:rFonts w:ascii="宋体" w:hAnsi="宋体" w:cs="Segoe UI"/>
                <w:b/>
                <w:bCs/>
                <w:color w:val="000000"/>
                <w:kern w:val="0"/>
                <w:sz w:val="24"/>
                <w:szCs w:val="24"/>
                <w:highlight w:val="none"/>
              </w:rPr>
            </w:pPr>
            <w:r>
              <w:rPr>
                <w:rFonts w:hint="eastAsia" w:ascii="宋体" w:hAnsi="宋体" w:cs="Segoe UI"/>
                <w:b/>
                <w:bCs/>
                <w:color w:val="000000"/>
                <w:kern w:val="0"/>
                <w:sz w:val="24"/>
                <w:szCs w:val="24"/>
                <w:highlight w:val="none"/>
              </w:rPr>
              <w:t>序号</w:t>
            </w:r>
          </w:p>
        </w:tc>
        <w:tc>
          <w:tcPr>
            <w:tcW w:w="5113" w:type="dxa"/>
            <w:vAlign w:val="center"/>
          </w:tcPr>
          <w:p>
            <w:pPr>
              <w:widowControl/>
              <w:spacing w:before="100" w:beforeAutospacing="1" w:after="100" w:afterAutospacing="1" w:line="360" w:lineRule="auto"/>
              <w:ind w:firstLine="482" w:firstLineChars="200"/>
              <w:jc w:val="center"/>
              <w:rPr>
                <w:rFonts w:ascii="宋体" w:hAnsi="宋体" w:cs="Segoe UI"/>
                <w:b/>
                <w:bCs/>
                <w:color w:val="000000"/>
                <w:kern w:val="0"/>
                <w:sz w:val="24"/>
                <w:szCs w:val="24"/>
                <w:highlight w:val="none"/>
              </w:rPr>
            </w:pPr>
            <w:r>
              <w:rPr>
                <w:rFonts w:hint="eastAsia" w:ascii="宋体" w:hAnsi="宋体" w:cs="Segoe UI"/>
                <w:b/>
                <w:bCs/>
                <w:color w:val="000000"/>
                <w:kern w:val="0"/>
                <w:sz w:val="24"/>
                <w:szCs w:val="24"/>
                <w:highlight w:val="none"/>
              </w:rPr>
              <w:t>材料名称</w:t>
            </w:r>
          </w:p>
        </w:tc>
        <w:tc>
          <w:tcPr>
            <w:tcW w:w="3119" w:type="dxa"/>
            <w:vAlign w:val="center"/>
          </w:tcPr>
          <w:p>
            <w:pPr>
              <w:widowControl/>
              <w:spacing w:before="100" w:beforeAutospacing="1" w:after="100" w:afterAutospacing="1" w:line="360" w:lineRule="auto"/>
              <w:ind w:firstLine="482" w:firstLineChars="200"/>
              <w:jc w:val="center"/>
              <w:rPr>
                <w:rFonts w:ascii="宋体" w:hAnsi="宋体" w:cs="Segoe UI"/>
                <w:b/>
                <w:bCs/>
                <w:color w:val="000000"/>
                <w:kern w:val="0"/>
                <w:sz w:val="24"/>
                <w:szCs w:val="24"/>
                <w:highlight w:val="none"/>
              </w:rPr>
            </w:pPr>
            <w:r>
              <w:rPr>
                <w:rFonts w:hint="eastAsia" w:ascii="宋体" w:hAnsi="宋体" w:cs="Segoe UI"/>
                <w:b/>
                <w:bCs/>
                <w:color w:val="000000"/>
                <w:kern w:val="0"/>
                <w:sz w:val="24"/>
                <w:szCs w:val="24"/>
                <w:highlight w:val="none"/>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41" w:type="dxa"/>
            <w:vAlign w:val="center"/>
          </w:tcPr>
          <w:p>
            <w:pPr>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1</w:t>
            </w:r>
          </w:p>
        </w:tc>
        <w:tc>
          <w:tcPr>
            <w:tcW w:w="5113" w:type="dxa"/>
            <w:vAlign w:val="center"/>
          </w:tcPr>
          <w:p>
            <w:pPr>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南山区人才安居定向配租补租申报表。</w:t>
            </w:r>
          </w:p>
        </w:tc>
        <w:tc>
          <w:tcPr>
            <w:tcW w:w="3119" w:type="dxa"/>
            <w:vAlign w:val="center"/>
          </w:tcPr>
          <w:p>
            <w:pPr>
              <w:spacing w:line="360" w:lineRule="auto"/>
              <w:jc w:val="center"/>
              <w:rPr>
                <w:rFonts w:ascii="宋体" w:hAnsi="宋体"/>
                <w:color w:val="000000"/>
                <w:sz w:val="24"/>
                <w:szCs w:val="24"/>
                <w:highlight w:val="none"/>
              </w:rPr>
            </w:pPr>
            <w:r>
              <w:rPr>
                <w:rFonts w:hint="eastAsia" w:ascii="宋体" w:hAnsi="宋体"/>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41" w:type="dxa"/>
            <w:vAlign w:val="center"/>
          </w:tcPr>
          <w:p>
            <w:pPr>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2</w:t>
            </w:r>
          </w:p>
        </w:tc>
        <w:tc>
          <w:tcPr>
            <w:tcW w:w="5113" w:type="dxa"/>
            <w:vAlign w:val="center"/>
          </w:tcPr>
          <w:p>
            <w:pPr>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三证合一新版营业执照（未换领三证合一新版营业执照的，提交原旧版营业执照、组织机构代码证书、税务登记证书）、法定代表人（或非法人企业负责人）身份证复印件。</w:t>
            </w:r>
          </w:p>
        </w:tc>
        <w:tc>
          <w:tcPr>
            <w:tcW w:w="3119" w:type="dxa"/>
            <w:vAlign w:val="center"/>
          </w:tcPr>
          <w:p>
            <w:pPr>
              <w:spacing w:line="360" w:lineRule="auto"/>
              <w:jc w:val="center"/>
              <w:rPr>
                <w:rFonts w:ascii="宋体" w:hAnsi="宋体"/>
                <w:color w:val="000000"/>
                <w:sz w:val="24"/>
                <w:szCs w:val="24"/>
                <w:highlight w:val="none"/>
              </w:rPr>
            </w:pPr>
            <w:r>
              <w:rPr>
                <w:rFonts w:hint="eastAsia" w:ascii="宋体" w:hAnsi="宋体"/>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41" w:type="dxa"/>
            <w:vAlign w:val="center"/>
          </w:tcPr>
          <w:p>
            <w:pPr>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3</w:t>
            </w:r>
          </w:p>
        </w:tc>
        <w:tc>
          <w:tcPr>
            <w:tcW w:w="5113" w:type="dxa"/>
            <w:vAlign w:val="center"/>
          </w:tcPr>
          <w:p>
            <w:pPr>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近三年（2016-2018年）国内外发明专利授权证书或上年度（2018年）</w:t>
            </w:r>
            <w:r>
              <w:rPr>
                <w:rFonts w:hint="eastAsia" w:ascii="宋体" w:hAnsi="宋体" w:cs="Segoe UI"/>
                <w:color w:val="000000"/>
                <w:kern w:val="0"/>
                <w:sz w:val="24"/>
                <w:szCs w:val="24"/>
                <w:highlight w:val="none"/>
              </w:rPr>
              <w:t>发明专利进入实审阶段通知书。</w:t>
            </w:r>
          </w:p>
        </w:tc>
        <w:tc>
          <w:tcPr>
            <w:tcW w:w="3119" w:type="dxa"/>
            <w:vAlign w:val="center"/>
          </w:tcPr>
          <w:p>
            <w:pPr>
              <w:spacing w:line="360" w:lineRule="auto"/>
              <w:jc w:val="center"/>
              <w:rPr>
                <w:rFonts w:ascii="宋体" w:hAnsi="宋体"/>
                <w:color w:val="000000"/>
                <w:sz w:val="24"/>
                <w:szCs w:val="24"/>
                <w:highlight w:val="none"/>
              </w:rPr>
            </w:pPr>
            <w:r>
              <w:rPr>
                <w:rFonts w:hint="eastAsia" w:ascii="宋体" w:hAnsi="宋体"/>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41" w:type="dxa"/>
            <w:vAlign w:val="center"/>
          </w:tcPr>
          <w:p>
            <w:pPr>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4</w:t>
            </w:r>
          </w:p>
        </w:tc>
        <w:tc>
          <w:tcPr>
            <w:tcW w:w="5113" w:type="dxa"/>
            <w:vAlign w:val="center"/>
          </w:tcPr>
          <w:p>
            <w:pPr>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上年度的纳税证明（2018年1月1日至12月31日）。</w:t>
            </w:r>
          </w:p>
        </w:tc>
        <w:tc>
          <w:tcPr>
            <w:tcW w:w="3119" w:type="dxa"/>
            <w:vAlign w:val="center"/>
          </w:tcPr>
          <w:p>
            <w:pPr>
              <w:spacing w:line="360" w:lineRule="auto"/>
              <w:jc w:val="center"/>
              <w:rPr>
                <w:rFonts w:ascii="宋体" w:hAnsi="宋体"/>
                <w:color w:val="000000"/>
                <w:sz w:val="24"/>
                <w:szCs w:val="24"/>
                <w:highlight w:val="none"/>
              </w:rPr>
            </w:pPr>
            <w:r>
              <w:rPr>
                <w:rFonts w:hint="eastAsia" w:ascii="宋体" w:hAnsi="宋体"/>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41" w:type="dxa"/>
            <w:vAlign w:val="center"/>
          </w:tcPr>
          <w:p>
            <w:pPr>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5</w:t>
            </w:r>
          </w:p>
        </w:tc>
        <w:tc>
          <w:tcPr>
            <w:tcW w:w="5113" w:type="dxa"/>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按具体情形分别提供以下材料：</w:t>
            </w:r>
          </w:p>
          <w:p>
            <w:pPr>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（1）技术转移合同及实施情况报告；</w:t>
            </w:r>
          </w:p>
          <w:p>
            <w:pPr>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（2）科技成果产业化证明材料或已成功孵化的企业证明材料；</w:t>
            </w:r>
          </w:p>
          <w:p>
            <w:pPr>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（3）创新载体资质证明材料（批文、立项合同等文件）。</w:t>
            </w:r>
          </w:p>
        </w:tc>
        <w:tc>
          <w:tcPr>
            <w:tcW w:w="3119" w:type="dxa"/>
            <w:vAlign w:val="center"/>
          </w:tcPr>
          <w:p>
            <w:pPr>
              <w:spacing w:line="360" w:lineRule="auto"/>
              <w:jc w:val="center"/>
              <w:rPr>
                <w:rFonts w:ascii="宋体" w:hAnsi="宋体"/>
                <w:color w:val="000000"/>
                <w:sz w:val="24"/>
                <w:szCs w:val="24"/>
                <w:highlight w:val="none"/>
              </w:rPr>
            </w:pPr>
            <w:r>
              <w:rPr>
                <w:rFonts w:hint="eastAsia" w:ascii="宋体" w:hAnsi="宋体"/>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41" w:type="dxa"/>
            <w:vAlign w:val="center"/>
          </w:tcPr>
          <w:p>
            <w:pPr>
              <w:spacing w:line="36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6</w:t>
            </w:r>
          </w:p>
        </w:tc>
        <w:tc>
          <w:tcPr>
            <w:tcW w:w="5113" w:type="dxa"/>
            <w:vAlign w:val="center"/>
          </w:tcPr>
          <w:p>
            <w:pPr>
              <w:spacing w:line="360" w:lineRule="auto"/>
              <w:rPr>
                <w:rFonts w:ascii="宋体" w:hAnsi="宋体"/>
                <w:color w:val="000000"/>
                <w:kern w:val="0"/>
                <w:sz w:val="24"/>
                <w:szCs w:val="24"/>
                <w:highlight w:val="none"/>
              </w:rPr>
            </w:pPr>
            <w:r>
              <w:rPr>
                <w:rFonts w:hint="eastAsia" w:ascii="宋体" w:hAnsi="宋体"/>
                <w:color w:val="000000"/>
                <w:kern w:val="0"/>
                <w:sz w:val="24"/>
                <w:szCs w:val="24"/>
                <w:highlight w:val="none"/>
              </w:rPr>
              <w:t>申报定向配租补租人才明细表。</w:t>
            </w:r>
          </w:p>
        </w:tc>
        <w:tc>
          <w:tcPr>
            <w:tcW w:w="3119" w:type="dxa"/>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在“申报系统”中直接填报，或下载模板填写上传</w:t>
            </w:r>
          </w:p>
        </w:tc>
      </w:tr>
    </w:tbl>
    <w:p>
      <w:pPr>
        <w:spacing w:line="360" w:lineRule="auto"/>
        <w:ind w:firstLine="472" w:firstLineChars="196"/>
        <w:rPr>
          <w:rFonts w:ascii="宋体" w:hAnsi="宋体"/>
          <w:b/>
          <w:color w:val="000000"/>
          <w:kern w:val="0"/>
          <w:sz w:val="24"/>
          <w:szCs w:val="24"/>
          <w:highlight w:val="none"/>
        </w:rPr>
      </w:pPr>
      <w:r>
        <w:rPr>
          <w:rFonts w:hint="eastAsia" w:ascii="宋体" w:hAnsi="宋体"/>
          <w:b/>
          <w:color w:val="000000"/>
          <w:kern w:val="0"/>
          <w:sz w:val="24"/>
          <w:szCs w:val="24"/>
          <w:highlight w:val="none"/>
        </w:rPr>
        <w:t>4、配额上限</w:t>
      </w:r>
    </w:p>
    <w:p>
      <w:pPr>
        <w:widowControl/>
        <w:shd w:val="clear" w:color="auto" w:fill="FFFFFF"/>
        <w:spacing w:line="360" w:lineRule="auto"/>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补租配额统一上限50套、配租配额统一上限5套。</w:t>
      </w:r>
    </w:p>
    <w:p>
      <w:pPr>
        <w:widowControl/>
        <w:shd w:val="clear" w:color="auto" w:fill="FFFFFF"/>
        <w:spacing w:line="360" w:lineRule="auto"/>
        <w:rPr>
          <w:rFonts w:hint="eastAsia" w:ascii="宋体" w:hAnsi="宋体" w:cs="Segoe UI"/>
          <w:color w:val="000000"/>
          <w:kern w:val="0"/>
          <w:sz w:val="24"/>
          <w:szCs w:val="24"/>
          <w:highlight w:val="none"/>
        </w:rPr>
      </w:pPr>
    </w:p>
    <w:p>
      <w:pPr>
        <w:widowControl/>
        <w:shd w:val="clear" w:color="auto" w:fill="FFFFFF"/>
        <w:spacing w:line="360" w:lineRule="auto"/>
        <w:jc w:val="center"/>
        <w:rPr>
          <w:rFonts w:hint="eastAsia" w:ascii="宋体" w:hAnsi="宋体"/>
          <w:b/>
          <w:color w:val="000000"/>
          <w:kern w:val="0"/>
          <w:sz w:val="36"/>
          <w:szCs w:val="36"/>
          <w:highlight w:val="none"/>
        </w:rPr>
      </w:pPr>
      <w:r>
        <w:rPr>
          <w:rFonts w:hint="eastAsia" w:ascii="宋体" w:hAnsi="宋体"/>
          <w:b/>
          <w:color w:val="000000"/>
          <w:kern w:val="0"/>
          <w:sz w:val="36"/>
          <w:szCs w:val="36"/>
          <w:highlight w:val="none"/>
        </w:rPr>
        <w:t>Ⅴ 军民</w:t>
      </w:r>
      <w:r>
        <w:rPr>
          <w:rFonts w:ascii="宋体" w:hAnsi="宋体"/>
          <w:b/>
          <w:color w:val="000000"/>
          <w:kern w:val="0"/>
          <w:sz w:val="36"/>
          <w:szCs w:val="36"/>
          <w:highlight w:val="none"/>
        </w:rPr>
        <w:t>融合类</w:t>
      </w:r>
      <w:r>
        <w:rPr>
          <w:rFonts w:hint="eastAsia" w:ascii="宋体" w:hAnsi="宋体"/>
          <w:b/>
          <w:color w:val="000000"/>
          <w:kern w:val="0"/>
          <w:sz w:val="36"/>
          <w:szCs w:val="36"/>
          <w:highlight w:val="none"/>
        </w:rPr>
        <w:t>企业及机构</w:t>
      </w:r>
      <w:r>
        <w:rPr>
          <w:rFonts w:hint="eastAsia" w:ascii="宋体" w:hAnsi="宋体"/>
          <w:color w:val="000000"/>
          <w:kern w:val="0"/>
          <w:sz w:val="24"/>
          <w:highlight w:val="none"/>
        </w:rPr>
        <w:t>(区科创局)</w:t>
      </w:r>
    </w:p>
    <w:p>
      <w:pPr>
        <w:widowControl/>
        <w:shd w:val="clear" w:color="auto" w:fill="FFFFFF"/>
        <w:spacing w:line="360" w:lineRule="auto"/>
        <w:ind w:firstLine="472" w:firstLineChars="196"/>
        <w:jc w:val="left"/>
        <w:rPr>
          <w:rFonts w:hint="eastAsia" w:ascii="宋体" w:hAnsi="宋体"/>
          <w:b/>
          <w:color w:val="000000"/>
          <w:kern w:val="0"/>
          <w:sz w:val="24"/>
          <w:highlight w:val="none"/>
        </w:rPr>
      </w:pPr>
    </w:p>
    <w:p>
      <w:pPr>
        <w:widowControl/>
        <w:shd w:val="clear" w:color="auto" w:fill="FFFFFF"/>
        <w:spacing w:line="360" w:lineRule="auto"/>
        <w:ind w:firstLine="472" w:firstLineChars="196"/>
        <w:jc w:val="left"/>
        <w:rPr>
          <w:rFonts w:hint="eastAsia" w:ascii="宋体" w:hAnsi="宋体" w:cs="Segoe UI"/>
          <w:b/>
          <w:color w:val="000000"/>
          <w:kern w:val="0"/>
          <w:sz w:val="24"/>
          <w:highlight w:val="none"/>
        </w:rPr>
      </w:pPr>
      <w:r>
        <w:rPr>
          <w:rFonts w:hint="eastAsia" w:ascii="宋体" w:hAnsi="宋体" w:cs="Segoe UI"/>
          <w:b/>
          <w:color w:val="000000"/>
          <w:kern w:val="0"/>
          <w:sz w:val="24"/>
          <w:szCs w:val="24"/>
          <w:highlight w:val="none"/>
        </w:rPr>
        <w:t>（一）分类标准</w:t>
      </w:r>
      <w:r>
        <w:rPr>
          <w:rFonts w:hint="eastAsia" w:ascii="宋体" w:hAnsi="宋体" w:cs="Segoe UI"/>
          <w:b/>
          <w:color w:val="000000"/>
          <w:kern w:val="0"/>
          <w:sz w:val="24"/>
          <w:highlight w:val="none"/>
        </w:rPr>
        <w:t>（符合其中一项即可）</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1、军民融合企业；</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2、军民</w:t>
      </w:r>
      <w:r>
        <w:rPr>
          <w:rFonts w:ascii="宋体" w:hAnsi="宋体" w:cs="Segoe UI"/>
          <w:color w:val="000000"/>
          <w:kern w:val="0"/>
          <w:sz w:val="24"/>
          <w:szCs w:val="24"/>
          <w:highlight w:val="none"/>
        </w:rPr>
        <w:t>融合服务机构</w:t>
      </w:r>
      <w:r>
        <w:rPr>
          <w:rFonts w:hint="eastAsia" w:ascii="宋体" w:hAnsi="宋体" w:cs="Segoe UI"/>
          <w:color w:val="000000"/>
          <w:kern w:val="0"/>
          <w:sz w:val="24"/>
          <w:szCs w:val="24"/>
          <w:highlight w:val="none"/>
        </w:rPr>
        <w:t>。</w:t>
      </w:r>
    </w:p>
    <w:p>
      <w:pPr>
        <w:widowControl/>
        <w:shd w:val="clear" w:color="auto" w:fill="FFFFFF"/>
        <w:spacing w:line="360" w:lineRule="auto"/>
        <w:ind w:firstLine="361" w:firstLineChars="15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（二）“军民融合类企业”申报条件、评分细则</w:t>
      </w:r>
      <w:r>
        <w:rPr>
          <w:rFonts w:ascii="宋体" w:hAnsi="宋体" w:cs="Segoe UI"/>
          <w:b/>
          <w:color w:val="000000"/>
          <w:kern w:val="0"/>
          <w:sz w:val="24"/>
          <w:szCs w:val="24"/>
          <w:highlight w:val="none"/>
        </w:rPr>
        <w:t>、</w:t>
      </w:r>
      <w:r>
        <w:rPr>
          <w:rFonts w:hint="eastAsia" w:ascii="宋体" w:hAnsi="宋体" w:cs="Segoe UI"/>
          <w:b/>
          <w:color w:val="000000"/>
          <w:kern w:val="0"/>
          <w:sz w:val="24"/>
          <w:szCs w:val="24"/>
          <w:highlight w:val="none"/>
        </w:rPr>
        <w:t>申报材料、配额上限</w:t>
      </w:r>
    </w:p>
    <w:p>
      <w:pPr>
        <w:widowControl/>
        <w:shd w:val="clear" w:color="auto" w:fill="FFFFFF"/>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1、申报条件（须同时具备）</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（1）工商注册和税务登记均在南山区；</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（2）取得武器装备科研生产单位保密资格认证、武器装备科研生产许可证认证、装备承制单位资格认证（武器装备质量管理体系认证、装备承制单位资格审查）且</w:t>
      </w:r>
      <w:r>
        <w:rPr>
          <w:rFonts w:ascii="宋体" w:hAnsi="宋体" w:cs="Segoe UI"/>
          <w:color w:val="000000"/>
          <w:kern w:val="0"/>
          <w:sz w:val="24"/>
          <w:szCs w:val="24"/>
          <w:highlight w:val="none"/>
        </w:rPr>
        <w:t>在有效期内</w:t>
      </w:r>
      <w:r>
        <w:rPr>
          <w:rFonts w:hint="eastAsia" w:ascii="宋体" w:hAnsi="宋体" w:cs="Segoe UI"/>
          <w:color w:val="000000"/>
          <w:kern w:val="0"/>
          <w:sz w:val="24"/>
          <w:szCs w:val="24"/>
          <w:highlight w:val="none"/>
        </w:rPr>
        <w:t>；</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（3）在南山区上年度纳税为</w:t>
      </w:r>
      <w:r>
        <w:rPr>
          <w:rFonts w:ascii="宋体" w:hAnsi="宋体" w:cs="Segoe UI"/>
          <w:color w:val="000000"/>
          <w:kern w:val="0"/>
          <w:sz w:val="24"/>
          <w:szCs w:val="24"/>
          <w:highlight w:val="none"/>
        </w:rPr>
        <w:t>100</w:t>
      </w:r>
      <w:r>
        <w:rPr>
          <w:rFonts w:hint="eastAsia" w:ascii="宋体" w:hAnsi="宋体" w:cs="Segoe UI"/>
          <w:color w:val="000000"/>
          <w:kern w:val="0"/>
          <w:sz w:val="24"/>
          <w:szCs w:val="24"/>
          <w:highlight w:val="none"/>
        </w:rPr>
        <w:t>万元以上（含</w:t>
      </w:r>
      <w:r>
        <w:rPr>
          <w:rFonts w:ascii="宋体" w:hAnsi="宋体" w:cs="Segoe UI"/>
          <w:color w:val="000000"/>
          <w:kern w:val="0"/>
          <w:sz w:val="24"/>
          <w:szCs w:val="24"/>
          <w:highlight w:val="none"/>
        </w:rPr>
        <w:t>1</w:t>
      </w:r>
      <w:r>
        <w:rPr>
          <w:rFonts w:hint="eastAsia" w:ascii="宋体" w:hAnsi="宋体" w:cs="Segoe UI"/>
          <w:color w:val="000000"/>
          <w:kern w:val="0"/>
          <w:sz w:val="24"/>
          <w:szCs w:val="24"/>
          <w:highlight w:val="none"/>
        </w:rPr>
        <w:t>00万元）；</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（4）人才</w:t>
      </w:r>
      <w:r>
        <w:rPr>
          <w:rFonts w:ascii="宋体" w:hAnsi="宋体" w:cs="Segoe UI"/>
          <w:color w:val="000000"/>
          <w:kern w:val="0"/>
          <w:sz w:val="24"/>
          <w:szCs w:val="24"/>
          <w:highlight w:val="none"/>
        </w:rPr>
        <w:t>规模</w:t>
      </w:r>
      <w:r>
        <w:rPr>
          <w:rFonts w:hint="eastAsia" w:ascii="宋体" w:hAnsi="宋体" w:cs="Segoe UI"/>
          <w:color w:val="000000"/>
          <w:kern w:val="0"/>
          <w:sz w:val="24"/>
          <w:szCs w:val="24"/>
          <w:highlight w:val="none"/>
        </w:rPr>
        <w:t>20人</w:t>
      </w:r>
      <w:r>
        <w:rPr>
          <w:rFonts w:ascii="宋体" w:hAnsi="宋体" w:cs="Segoe UI"/>
          <w:color w:val="000000"/>
          <w:kern w:val="0"/>
          <w:sz w:val="24"/>
          <w:szCs w:val="24"/>
          <w:highlight w:val="none"/>
        </w:rPr>
        <w:t>以上</w:t>
      </w:r>
      <w:r>
        <w:rPr>
          <w:rFonts w:hint="eastAsia" w:ascii="宋体" w:hAnsi="宋体" w:cs="Segoe UI"/>
          <w:color w:val="000000"/>
          <w:kern w:val="0"/>
          <w:sz w:val="24"/>
          <w:szCs w:val="24"/>
          <w:highlight w:val="none"/>
        </w:rPr>
        <w:t>。</w:t>
      </w:r>
    </w:p>
    <w:p>
      <w:pPr>
        <w:widowControl/>
        <w:shd w:val="clear" w:color="auto" w:fill="FFFFFF"/>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2、评分细则</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（1）根据税收贡献、统计贡献、人才规模三项指标，按权重比例计算出分值：税收贡献x40%</w:t>
      </w:r>
      <w:r>
        <w:rPr>
          <w:rFonts w:hint="eastAsia" w:ascii="宋体" w:hAnsi="宋体"/>
          <w:color w:val="000000"/>
          <w:kern w:val="0"/>
          <w:sz w:val="24"/>
          <w:highlight w:val="none"/>
        </w:rPr>
        <w:t>+</w:t>
      </w:r>
      <w:r>
        <w:rPr>
          <w:rFonts w:hint="eastAsia" w:ascii="宋体" w:hAnsi="宋体" w:cs="Segoe UI"/>
          <w:color w:val="000000"/>
          <w:kern w:val="0"/>
          <w:sz w:val="24"/>
          <w:szCs w:val="24"/>
          <w:highlight w:val="none"/>
        </w:rPr>
        <w:t>统计贡献x40%</w:t>
      </w:r>
      <w:r>
        <w:rPr>
          <w:rFonts w:hint="eastAsia" w:ascii="宋体" w:hAnsi="宋体"/>
          <w:color w:val="000000"/>
          <w:kern w:val="0"/>
          <w:sz w:val="24"/>
          <w:highlight w:val="none"/>
        </w:rPr>
        <w:t>+人才规模</w:t>
      </w:r>
      <w:r>
        <w:rPr>
          <w:rFonts w:hint="eastAsia" w:ascii="宋体" w:hAnsi="宋体" w:cs="Segoe UI"/>
          <w:color w:val="000000"/>
          <w:kern w:val="0"/>
          <w:sz w:val="24"/>
          <w:szCs w:val="24"/>
          <w:highlight w:val="none"/>
        </w:rPr>
        <w:t>x20%（统计贡献由南山区统计局对其在库企业进行统一统计）；</w:t>
      </w:r>
    </w:p>
    <w:p>
      <w:pPr>
        <w:widowControl/>
        <w:shd w:val="clear" w:color="auto" w:fill="FFFFFF"/>
        <w:spacing w:line="360" w:lineRule="auto"/>
        <w:ind w:firstLine="48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2、统计贡献计算方法：统计</w:t>
      </w:r>
      <w:r>
        <w:rPr>
          <w:rFonts w:ascii="宋体" w:hAnsi="宋体" w:cs="Segoe UI"/>
          <w:color w:val="000000"/>
          <w:kern w:val="0"/>
          <w:sz w:val="24"/>
          <w:szCs w:val="24"/>
          <w:highlight w:val="none"/>
        </w:rPr>
        <w:t>贡献</w:t>
      </w:r>
      <w:r>
        <w:rPr>
          <w:rFonts w:hint="eastAsia" w:ascii="宋体" w:hAnsi="宋体" w:cs="Segoe UI"/>
          <w:color w:val="000000"/>
          <w:kern w:val="0"/>
          <w:sz w:val="24"/>
          <w:szCs w:val="24"/>
          <w:highlight w:val="none"/>
        </w:rPr>
        <w:t xml:space="preserve"> </w:t>
      </w:r>
      <w:r>
        <w:rPr>
          <w:rFonts w:ascii="宋体" w:hAnsi="宋体" w:cs="Segoe UI"/>
          <w:color w:val="000000"/>
          <w:kern w:val="0"/>
          <w:sz w:val="24"/>
          <w:szCs w:val="24"/>
          <w:highlight w:val="none"/>
        </w:rPr>
        <w:t>= 在库基本分</w:t>
      </w:r>
      <w:r>
        <w:rPr>
          <w:rFonts w:hint="eastAsia" w:ascii="宋体" w:hAnsi="宋体" w:cs="Segoe UI"/>
          <w:color w:val="000000"/>
          <w:kern w:val="0"/>
          <w:sz w:val="24"/>
          <w:szCs w:val="24"/>
          <w:highlight w:val="none"/>
        </w:rPr>
        <w:t>（50分）+ 排名</w:t>
      </w:r>
      <w:r>
        <w:rPr>
          <w:rFonts w:ascii="宋体" w:hAnsi="宋体" w:cs="Segoe UI"/>
          <w:color w:val="000000"/>
          <w:kern w:val="0"/>
          <w:sz w:val="24"/>
          <w:szCs w:val="24"/>
          <w:highlight w:val="none"/>
        </w:rPr>
        <w:t>加分</w:t>
      </w:r>
      <w:r>
        <w:rPr>
          <w:rFonts w:hint="eastAsia" w:ascii="宋体" w:hAnsi="宋体" w:cs="Segoe UI"/>
          <w:color w:val="000000"/>
          <w:kern w:val="0"/>
          <w:sz w:val="24"/>
          <w:szCs w:val="24"/>
          <w:highlight w:val="none"/>
        </w:rPr>
        <w:t>（50分）</w:t>
      </w:r>
      <w:r>
        <w:rPr>
          <w:rFonts w:hint="eastAsia" w:ascii="宋体" w:hAnsi="宋体" w:cs="Segoe UI"/>
          <w:color w:val="000000"/>
          <w:kern w:val="0"/>
          <w:sz w:val="24"/>
          <w:szCs w:val="24"/>
          <w:highlight w:val="none"/>
          <w:lang w:val="en-US" w:eastAsia="zh-CN"/>
        </w:rPr>
        <w:t>+增速加分（50）</w:t>
      </w:r>
      <w:r>
        <w:rPr>
          <w:rFonts w:hint="eastAsia" w:ascii="宋体" w:hAnsi="宋体" w:cs="Segoe UI"/>
          <w:color w:val="000000"/>
          <w:kern w:val="0"/>
          <w:sz w:val="24"/>
          <w:szCs w:val="24"/>
          <w:highlight w:val="none"/>
          <w:lang w:eastAsia="zh-CN"/>
        </w:rPr>
        <w:t>（说明：</w:t>
      </w:r>
      <w:r>
        <w:rPr>
          <w:rFonts w:hint="eastAsia" w:ascii="宋体" w:hAnsi="宋体" w:cs="Segoe UI"/>
          <w:color w:val="000000"/>
          <w:kern w:val="0"/>
          <w:sz w:val="24"/>
          <w:szCs w:val="24"/>
          <w:highlight w:val="none"/>
          <w:lang w:val="en-US" w:eastAsia="zh-CN"/>
        </w:rPr>
        <w:t>排名、增速均以上年度“定报”数据为准，不在库企业，无“统计贡献”分值）。</w:t>
      </w:r>
    </w:p>
    <w:p>
      <w:pPr>
        <w:widowControl/>
        <w:shd w:val="clear" w:color="auto" w:fill="FFFFFF"/>
        <w:spacing w:line="360" w:lineRule="auto"/>
        <w:ind w:firstLine="480"/>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①</w:t>
      </w:r>
      <w:r>
        <w:rPr>
          <w:rFonts w:hint="eastAsia" w:ascii="宋体" w:hAnsi="宋体" w:cs="Segoe UI"/>
          <w:color w:val="000000"/>
          <w:kern w:val="0"/>
          <w:sz w:val="24"/>
          <w:szCs w:val="24"/>
          <w:highlight w:val="none"/>
        </w:rPr>
        <w:t>基本</w:t>
      </w:r>
      <w:r>
        <w:rPr>
          <w:rFonts w:ascii="宋体" w:hAnsi="宋体" w:cs="Segoe UI"/>
          <w:color w:val="000000"/>
          <w:kern w:val="0"/>
          <w:sz w:val="24"/>
          <w:szCs w:val="24"/>
          <w:highlight w:val="none"/>
        </w:rPr>
        <w:t>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lang w:eastAsia="zh-CN"/>
        </w:rPr>
        <w:t>南山区在库企业，且年度经营数据达到国家规定限额标准，配合做好统计数据报送工作的，得基本分50分；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lang w:eastAsia="zh-CN"/>
        </w:rPr>
        <w:t>②</w:t>
      </w:r>
      <w:r>
        <w:rPr>
          <w:rFonts w:hint="eastAsia" w:ascii="宋体" w:hAnsi="宋体" w:cs="Segoe UI"/>
          <w:color w:val="000000"/>
          <w:kern w:val="0"/>
          <w:sz w:val="24"/>
          <w:szCs w:val="24"/>
          <w:highlight w:val="none"/>
        </w:rPr>
        <w:t>排名</w:t>
      </w:r>
      <w:r>
        <w:rPr>
          <w:rFonts w:ascii="宋体" w:hAnsi="宋体" w:cs="Segoe UI"/>
          <w:color w:val="000000"/>
          <w:kern w:val="0"/>
          <w:sz w:val="24"/>
          <w:szCs w:val="24"/>
          <w:highlight w:val="none"/>
        </w:rPr>
        <w:t>加分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：根据企业在本行业的年度排名，</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%的企业加</w:t>
      </w:r>
      <w:r>
        <w:rPr>
          <w:rFonts w:hint="eastAsia" w:ascii="宋体" w:hAnsi="宋体" w:cs="Segoe UI"/>
          <w:color w:val="000000"/>
          <w:kern w:val="0"/>
          <w:sz w:val="24"/>
          <w:szCs w:val="24"/>
          <w:highlight w:val="none"/>
        </w:rPr>
        <w:t>50分</w:t>
      </w:r>
      <w:r>
        <w:rPr>
          <w:rFonts w:ascii="宋体" w:hAnsi="宋体" w:cs="Segoe UI"/>
          <w:color w:val="000000"/>
          <w:kern w:val="0"/>
          <w:sz w:val="24"/>
          <w:szCs w:val="24"/>
          <w:highlight w:val="none"/>
        </w:rPr>
        <w:t>，行业排名前</w:t>
      </w:r>
      <w:r>
        <w:rPr>
          <w:rFonts w:hint="eastAsia" w:ascii="宋体" w:hAnsi="宋体" w:cs="Segoe UI"/>
          <w:color w:val="000000"/>
          <w:kern w:val="0"/>
          <w:sz w:val="24"/>
          <w:szCs w:val="24"/>
          <w:highlight w:val="none"/>
        </w:rPr>
        <w:t>20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的企业（不含</w:t>
      </w:r>
      <w:r>
        <w:rPr>
          <w:rFonts w:ascii="宋体" w:hAnsi="宋体" w:cs="Segoe UI"/>
          <w:color w:val="000000"/>
          <w:kern w:val="0"/>
          <w:sz w:val="24"/>
          <w:szCs w:val="24"/>
          <w:highlight w:val="none"/>
        </w:rPr>
        <w:t>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后同</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加</w:t>
      </w:r>
      <w:r>
        <w:rPr>
          <w:rFonts w:hint="eastAsia" w:ascii="宋体" w:hAnsi="宋体" w:cs="Segoe UI"/>
          <w:color w:val="000000"/>
          <w:kern w:val="0"/>
          <w:sz w:val="24"/>
          <w:szCs w:val="24"/>
          <w:highlight w:val="none"/>
        </w:rPr>
        <w:t>40分</w:t>
      </w:r>
      <w:r>
        <w:rPr>
          <w:rFonts w:ascii="宋体" w:hAnsi="宋体" w:cs="Segoe UI"/>
          <w:color w:val="000000"/>
          <w:kern w:val="0"/>
          <w:sz w:val="24"/>
          <w:szCs w:val="24"/>
          <w:highlight w:val="none"/>
        </w:rPr>
        <w:t>，行业排名前3</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加3</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，行业排名前4</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加2</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排名在</w:t>
      </w:r>
      <w:r>
        <w:rPr>
          <w:rFonts w:hint="eastAsia" w:ascii="宋体" w:hAnsi="宋体" w:cs="Segoe UI"/>
          <w:color w:val="000000"/>
          <w:kern w:val="0"/>
          <w:sz w:val="24"/>
          <w:szCs w:val="24"/>
          <w:highlight w:val="none"/>
        </w:rPr>
        <w:t>前40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之后</w:t>
      </w:r>
      <w:r>
        <w:rPr>
          <w:rFonts w:ascii="宋体" w:hAnsi="宋体" w:cs="Segoe UI"/>
          <w:color w:val="000000"/>
          <w:kern w:val="0"/>
          <w:sz w:val="24"/>
          <w:szCs w:val="24"/>
          <w:highlight w:val="none"/>
        </w:rPr>
        <w:t>的</w:t>
      </w:r>
      <w:r>
        <w:rPr>
          <w:rFonts w:hint="eastAsia" w:ascii="宋体" w:hAnsi="宋体" w:cs="Segoe UI"/>
          <w:color w:val="000000"/>
          <w:kern w:val="0"/>
          <w:sz w:val="24"/>
          <w:szCs w:val="24"/>
          <w:highlight w:val="none"/>
        </w:rPr>
        <w:t>加10分</w:t>
      </w:r>
      <w:r>
        <w:rPr>
          <w:rFonts w:ascii="宋体" w:hAnsi="宋体" w:cs="Segoe UI"/>
          <w:color w:val="000000"/>
          <w:kern w:val="0"/>
          <w:sz w:val="24"/>
          <w:szCs w:val="24"/>
          <w:highlight w:val="none"/>
        </w:rPr>
        <w:t>，在库但无报送数据的，</w:t>
      </w:r>
      <w:r>
        <w:rPr>
          <w:rFonts w:hint="eastAsia" w:ascii="宋体" w:hAnsi="宋体" w:cs="Segoe UI"/>
          <w:color w:val="000000"/>
          <w:kern w:val="0"/>
          <w:sz w:val="24"/>
          <w:szCs w:val="24"/>
          <w:highlight w:val="none"/>
        </w:rPr>
        <w:t>不</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无加分</w:t>
      </w:r>
      <w:r>
        <w:rPr>
          <w:rFonts w:hint="eastAsia" w:ascii="宋体" w:hAnsi="宋体" w:cs="Segoe UI"/>
          <w:color w:val="000000"/>
          <w:kern w:val="0"/>
          <w:sz w:val="24"/>
          <w:szCs w:val="24"/>
          <w:highlight w:val="none"/>
          <w:lang w:eastAsia="zh-CN"/>
        </w:rPr>
        <w:t>，</w:t>
      </w:r>
      <w:r>
        <w:rPr>
          <w:rFonts w:hint="eastAsia" w:ascii="宋体" w:hAnsi="宋体" w:cs="Segoe UI"/>
          <w:color w:val="000000"/>
          <w:kern w:val="0"/>
          <w:sz w:val="24"/>
          <w:szCs w:val="24"/>
          <w:highlight w:val="none"/>
        </w:rPr>
        <w:t>（说明：行业</w:t>
      </w:r>
      <w:r>
        <w:rPr>
          <w:rFonts w:ascii="宋体" w:hAnsi="宋体" w:cs="Segoe UI"/>
          <w:color w:val="000000"/>
          <w:kern w:val="0"/>
          <w:sz w:val="24"/>
          <w:szCs w:val="24"/>
          <w:highlight w:val="none"/>
        </w:rPr>
        <w:t>分类</w:t>
      </w:r>
      <w:r>
        <w:rPr>
          <w:rFonts w:hint="eastAsia" w:ascii="宋体" w:hAnsi="宋体" w:cs="Segoe UI"/>
          <w:color w:val="000000"/>
          <w:kern w:val="0"/>
          <w:sz w:val="24"/>
          <w:szCs w:val="24"/>
          <w:highlight w:val="none"/>
        </w:rPr>
        <w:t>按</w:t>
      </w:r>
      <w:r>
        <w:rPr>
          <w:rFonts w:ascii="宋体" w:hAnsi="宋体" w:cs="Segoe UI"/>
          <w:color w:val="000000"/>
          <w:kern w:val="0"/>
          <w:sz w:val="24"/>
          <w:szCs w:val="24"/>
          <w:highlight w:val="none"/>
        </w:rPr>
        <w:t>照</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国民经济行业分类标准</w:t>
      </w:r>
      <w:r>
        <w:rPr>
          <w:rFonts w:hint="eastAsia" w:ascii="宋体" w:hAnsi="宋体" w:cs="Segoe UI"/>
          <w:color w:val="000000"/>
          <w:kern w:val="0"/>
          <w:sz w:val="24"/>
          <w:szCs w:val="24"/>
          <w:highlight w:val="none"/>
        </w:rPr>
        <w:t>》以国家统计局联网直报系统中确定</w:t>
      </w:r>
      <w:r>
        <w:rPr>
          <w:rFonts w:ascii="宋体" w:hAnsi="宋体" w:cs="Segoe UI"/>
          <w:color w:val="000000"/>
          <w:kern w:val="0"/>
          <w:sz w:val="24"/>
          <w:szCs w:val="24"/>
          <w:highlight w:val="none"/>
        </w:rPr>
        <w:t>的行业代码为准</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的</w:t>
      </w:r>
      <w:r>
        <w:rPr>
          <w:rFonts w:ascii="宋体" w:hAnsi="宋体" w:cs="Segoe UI"/>
          <w:color w:val="000000"/>
          <w:kern w:val="0"/>
          <w:sz w:val="24"/>
          <w:szCs w:val="24"/>
          <w:highlight w:val="none"/>
        </w:rPr>
        <w:t>依据</w:t>
      </w:r>
      <w:r>
        <w:rPr>
          <w:rFonts w:hint="eastAsia" w:ascii="宋体" w:hAnsi="宋体" w:cs="Segoe UI"/>
          <w:color w:val="000000"/>
          <w:kern w:val="0"/>
          <w:sz w:val="24"/>
          <w:szCs w:val="24"/>
          <w:highlight w:val="none"/>
        </w:rPr>
        <w:t>：根据</w:t>
      </w:r>
      <w:r>
        <w:rPr>
          <w:rFonts w:ascii="宋体" w:hAnsi="宋体" w:cs="Segoe UI"/>
          <w:color w:val="000000"/>
          <w:kern w:val="0"/>
          <w:sz w:val="24"/>
          <w:szCs w:val="24"/>
          <w:highlight w:val="none"/>
        </w:rPr>
        <w:t>各行业的关键指标进行排名）</w:t>
      </w:r>
      <w:r>
        <w:rPr>
          <w:rFonts w:hint="eastAsia" w:ascii="宋体" w:hAnsi="宋体" w:cs="Segoe UI"/>
          <w:color w:val="000000"/>
          <w:kern w:val="0"/>
          <w:sz w:val="24"/>
          <w:szCs w:val="24"/>
          <w:highlight w:val="none"/>
        </w:rPr>
        <w:t>；</w:t>
      </w:r>
    </w:p>
    <w:p>
      <w:pPr>
        <w:widowControl/>
        <w:shd w:val="clear" w:color="auto" w:fill="FFFFFF"/>
        <w:spacing w:line="360" w:lineRule="auto"/>
        <w:ind w:firstLine="480"/>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③增速加分计算：</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eastAsia="zh-CN"/>
        </w:rPr>
        <w:t>行业排名前</w:t>
      </w:r>
      <w:r>
        <w:rPr>
          <w:rFonts w:hint="eastAsia" w:ascii="宋体" w:hAnsi="宋体" w:cs="Segoe UI"/>
          <w:color w:val="000000"/>
          <w:kern w:val="0"/>
          <w:sz w:val="24"/>
          <w:szCs w:val="24"/>
          <w:highlight w:val="none"/>
          <w:lang w:val="en-US" w:eastAsia="zh-CN"/>
        </w:rPr>
        <w:t>10%的企业：增速达15%及以上的，加50分，增速为10%（含）～15%的，加45分，增速为5%（含）～10%的，加40分，增速不足5%的，加30分；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行业排名前20%的企业：增速达25%及以上的，加45分，增速为15%（含）～25%的，加40分，增速为5%（含）～15%的，加35分，增速不足5%的，加30分；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行业排名前30%的企业：增速达35%及以上的，加40分，增速为20%（含）～35%的，加35分，增速为10%（含）～20%的，加30分，增速不足10%的，加25分；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行业排名前40%的企业：增速达45%及以上的，加35分，增速为30%（含）～45%的，加30分，增速为15%（含）～30%的，加25分，增速不足15%的，加20分；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行业排名前40%之后的企业：增速达60%及以上的，加30分，增速为30%（含）～60%的，加20分，增速不足30%的，加10分；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上年“年度入库企业”，按在库企业基础分及增速排名最低一档计算，即统计贡献为基础分50+增速加分10分。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（3）统计贡献行业排名由南山区统计局提供，企业在申报时无需填写，“申报系统”中自动生成，可自行查看；</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（4）税收贡献，上一年度（1月1日-12月31日）税款缴纳时间为准，不考虑税款的所属期，含代扣代缴税费。</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具体细则如下：</w:t>
      </w:r>
    </w:p>
    <w:tbl>
      <w:tblPr>
        <w:tblStyle w:val="8"/>
        <w:tblW w:w="9180" w:type="dxa"/>
        <w:tblInd w:w="-72" w:type="dxa"/>
        <w:tblLayout w:type="fixed"/>
        <w:tblCellMar>
          <w:top w:w="0" w:type="dxa"/>
          <w:left w:w="0" w:type="dxa"/>
          <w:bottom w:w="0" w:type="dxa"/>
          <w:right w:w="0" w:type="dxa"/>
        </w:tblCellMar>
      </w:tblPr>
      <w:tblGrid>
        <w:gridCol w:w="720"/>
        <w:gridCol w:w="1260"/>
        <w:gridCol w:w="6300"/>
        <w:gridCol w:w="900"/>
      </w:tblGrid>
      <w:tr>
        <w:tblPrEx>
          <w:tblLayout w:type="fixed"/>
          <w:tblCellMar>
            <w:top w:w="0" w:type="dxa"/>
            <w:left w:w="0" w:type="dxa"/>
            <w:bottom w:w="0" w:type="dxa"/>
            <w:right w:w="0" w:type="dxa"/>
          </w:tblCellMar>
        </w:tblPrEx>
        <w:trPr>
          <w:trHeight w:val="649" w:hRule="atLeast"/>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序号</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指标名称</w:t>
            </w:r>
          </w:p>
        </w:tc>
        <w:tc>
          <w:tcPr>
            <w:tcW w:w="63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评分说明</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得分</w:t>
            </w:r>
          </w:p>
        </w:tc>
      </w:tr>
      <w:tr>
        <w:tblPrEx>
          <w:tblLayout w:type="fixed"/>
          <w:tblCellMar>
            <w:top w:w="0" w:type="dxa"/>
            <w:left w:w="0" w:type="dxa"/>
            <w:bottom w:w="0" w:type="dxa"/>
            <w:right w:w="0" w:type="dxa"/>
          </w:tblCellMar>
        </w:tblPrEx>
        <w:trPr>
          <w:trHeight w:val="771"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税收贡献</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在南山区纳税达</w:t>
            </w:r>
            <w:r>
              <w:rPr>
                <w:rFonts w:ascii="宋体" w:hAnsi="宋体"/>
                <w:color w:val="000000"/>
                <w:kern w:val="0"/>
                <w:sz w:val="24"/>
                <w:highlight w:val="none"/>
              </w:rPr>
              <w:t>1</w:t>
            </w:r>
            <w:r>
              <w:rPr>
                <w:rFonts w:hint="eastAsia" w:ascii="宋体" w:hAnsi="宋体"/>
                <w:color w:val="000000"/>
                <w:kern w:val="0"/>
                <w:sz w:val="24"/>
                <w:highlight w:val="none"/>
              </w:rPr>
              <w:t>00万元，得60分；纳税额每增加1万元加1分。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A</w:t>
            </w:r>
          </w:p>
        </w:tc>
      </w:tr>
      <w:tr>
        <w:tblPrEx>
          <w:tblLayout w:type="fixed"/>
          <w:tblCellMar>
            <w:top w:w="0" w:type="dxa"/>
            <w:left w:w="0" w:type="dxa"/>
            <w:bottom w:w="0" w:type="dxa"/>
            <w:right w:w="0" w:type="dxa"/>
          </w:tblCellMar>
        </w:tblPrEx>
        <w:trPr>
          <w:trHeight w:val="771"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s="Segoe UI"/>
                <w:color w:val="000000"/>
                <w:kern w:val="0"/>
                <w:sz w:val="24"/>
                <w:szCs w:val="24"/>
                <w:highlight w:val="none"/>
              </w:rPr>
              <w:t>统计贡献</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①</w:t>
            </w:r>
            <w:r>
              <w:rPr>
                <w:rFonts w:hint="eastAsia" w:ascii="宋体" w:hAnsi="宋体" w:cs="Segoe UI"/>
                <w:color w:val="000000"/>
                <w:kern w:val="0"/>
                <w:sz w:val="24"/>
                <w:szCs w:val="24"/>
                <w:highlight w:val="none"/>
              </w:rPr>
              <w:t>基本</w:t>
            </w:r>
            <w:r>
              <w:rPr>
                <w:rFonts w:ascii="宋体" w:hAnsi="宋体" w:cs="Segoe UI"/>
                <w:color w:val="000000"/>
                <w:kern w:val="0"/>
                <w:sz w:val="24"/>
                <w:szCs w:val="24"/>
                <w:highlight w:val="none"/>
              </w:rPr>
              <w:t>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lang w:eastAsia="zh-CN"/>
              </w:rPr>
              <w:t>南山区在库企业，且年度经营数据达到国家规定限额标准，配合做好统计数据报送工作的，得基本分50分；</w:t>
            </w:r>
          </w:p>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lang w:eastAsia="zh-CN"/>
              </w:rPr>
              <w:t>②</w:t>
            </w:r>
            <w:r>
              <w:rPr>
                <w:rFonts w:hint="eastAsia" w:ascii="宋体" w:hAnsi="宋体" w:cs="Segoe UI"/>
                <w:color w:val="000000"/>
                <w:kern w:val="0"/>
                <w:sz w:val="24"/>
                <w:szCs w:val="24"/>
                <w:highlight w:val="none"/>
              </w:rPr>
              <w:t>加分计算</w:t>
            </w:r>
            <w:r>
              <w:rPr>
                <w:rFonts w:ascii="宋体" w:hAnsi="宋体" w:cs="Segoe UI"/>
                <w:color w:val="000000"/>
                <w:kern w:val="0"/>
                <w:sz w:val="24"/>
                <w:szCs w:val="24"/>
                <w:highlight w:val="none"/>
              </w:rPr>
              <w:t>：根据企业在本行业的年度排名，</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%的企业加</w:t>
            </w:r>
            <w:r>
              <w:rPr>
                <w:rFonts w:hint="eastAsia" w:ascii="宋体" w:hAnsi="宋体" w:cs="Segoe UI"/>
                <w:color w:val="000000"/>
                <w:kern w:val="0"/>
                <w:sz w:val="24"/>
                <w:szCs w:val="24"/>
                <w:highlight w:val="none"/>
              </w:rPr>
              <w:t>50分</w:t>
            </w:r>
            <w:r>
              <w:rPr>
                <w:rFonts w:ascii="宋体" w:hAnsi="宋体" w:cs="Segoe UI"/>
                <w:color w:val="000000"/>
                <w:kern w:val="0"/>
                <w:sz w:val="24"/>
                <w:szCs w:val="24"/>
                <w:highlight w:val="none"/>
              </w:rPr>
              <w:t>，行业排名前</w:t>
            </w:r>
            <w:r>
              <w:rPr>
                <w:rFonts w:hint="eastAsia" w:ascii="宋体" w:hAnsi="宋体" w:cs="Segoe UI"/>
                <w:color w:val="000000"/>
                <w:kern w:val="0"/>
                <w:sz w:val="24"/>
                <w:szCs w:val="24"/>
                <w:highlight w:val="none"/>
              </w:rPr>
              <w:t>20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的企业（不含</w:t>
            </w:r>
            <w:r>
              <w:rPr>
                <w:rFonts w:ascii="宋体" w:hAnsi="宋体" w:cs="Segoe UI"/>
                <w:color w:val="000000"/>
                <w:kern w:val="0"/>
                <w:sz w:val="24"/>
                <w:szCs w:val="24"/>
                <w:highlight w:val="none"/>
              </w:rPr>
              <w:t>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后同</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加</w:t>
            </w:r>
            <w:r>
              <w:rPr>
                <w:rFonts w:hint="eastAsia" w:ascii="宋体" w:hAnsi="宋体" w:cs="Segoe UI"/>
                <w:color w:val="000000"/>
                <w:kern w:val="0"/>
                <w:sz w:val="24"/>
                <w:szCs w:val="24"/>
                <w:highlight w:val="none"/>
              </w:rPr>
              <w:t>40分</w:t>
            </w:r>
            <w:r>
              <w:rPr>
                <w:rFonts w:ascii="宋体" w:hAnsi="宋体" w:cs="Segoe UI"/>
                <w:color w:val="000000"/>
                <w:kern w:val="0"/>
                <w:sz w:val="24"/>
                <w:szCs w:val="24"/>
                <w:highlight w:val="none"/>
              </w:rPr>
              <w:t>，行业排名前3</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加3</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，行业排名前4</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加2</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排名在</w:t>
            </w:r>
            <w:r>
              <w:rPr>
                <w:rFonts w:hint="eastAsia" w:ascii="宋体" w:hAnsi="宋体" w:cs="Segoe UI"/>
                <w:color w:val="000000"/>
                <w:kern w:val="0"/>
                <w:sz w:val="24"/>
                <w:szCs w:val="24"/>
                <w:highlight w:val="none"/>
              </w:rPr>
              <w:t>前40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之后</w:t>
            </w:r>
            <w:r>
              <w:rPr>
                <w:rFonts w:ascii="宋体" w:hAnsi="宋体" w:cs="Segoe UI"/>
                <w:color w:val="000000"/>
                <w:kern w:val="0"/>
                <w:sz w:val="24"/>
                <w:szCs w:val="24"/>
                <w:highlight w:val="none"/>
              </w:rPr>
              <w:t>的</w:t>
            </w:r>
            <w:r>
              <w:rPr>
                <w:rFonts w:hint="eastAsia" w:ascii="宋体" w:hAnsi="宋体" w:cs="Segoe UI"/>
                <w:color w:val="000000"/>
                <w:kern w:val="0"/>
                <w:sz w:val="24"/>
                <w:szCs w:val="24"/>
                <w:highlight w:val="none"/>
              </w:rPr>
              <w:t>加10分</w:t>
            </w:r>
            <w:r>
              <w:rPr>
                <w:rFonts w:ascii="宋体" w:hAnsi="宋体" w:cs="Segoe UI"/>
                <w:color w:val="000000"/>
                <w:kern w:val="0"/>
                <w:sz w:val="24"/>
                <w:szCs w:val="24"/>
                <w:highlight w:val="none"/>
              </w:rPr>
              <w:t>，在库但无报送数据的，</w:t>
            </w:r>
            <w:r>
              <w:rPr>
                <w:rFonts w:hint="eastAsia" w:ascii="宋体" w:hAnsi="宋体" w:cs="Segoe UI"/>
                <w:color w:val="000000"/>
                <w:kern w:val="0"/>
                <w:sz w:val="24"/>
                <w:szCs w:val="24"/>
                <w:highlight w:val="none"/>
              </w:rPr>
              <w:t>不</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无加分。</w:t>
            </w:r>
          </w:p>
          <w:p>
            <w:pPr>
              <w:widowControl/>
              <w:shd w:val="clear" w:color="auto" w:fill="FFFFFF"/>
              <w:spacing w:line="360" w:lineRule="auto"/>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③增速加分计算：</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eastAsia="zh-CN"/>
              </w:rPr>
              <w:t>行业排名前</w:t>
            </w:r>
            <w:r>
              <w:rPr>
                <w:rFonts w:hint="eastAsia" w:ascii="宋体" w:hAnsi="宋体" w:cs="Segoe UI"/>
                <w:color w:val="000000"/>
                <w:kern w:val="0"/>
                <w:sz w:val="24"/>
                <w:szCs w:val="24"/>
                <w:highlight w:val="none"/>
                <w:lang w:val="en-US" w:eastAsia="zh-CN"/>
              </w:rPr>
              <w:t>10%的企业：增速达15%及以上的，加50分，增速为10%（含）～15%的，加45分，增速为5%（含）～10%的，加40分，增速不足5%的，加30分；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行业排名前20%的企业：增速达25%及以上的，加45分，增速为15%（含）～25%的，加40分，增速为5%（含）～15%的，加35分，增速不足5%的，加30分；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行业排名前30%的企业：增速达35%及以上的，加40分，增速为20%（含）～35%的，加35分，增速为10%（含）～20%的，加30分，增速不足10%的，加25分；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行业排名前40%的企业：增速达45%及以上的，加35分，增速为30%（含）～45%的，加30分，增速为15%（含）～30%的，加25分，增速不足15%的，加20分；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行业排名前40%之后的企业：增速达60%及以上的，加30分，增速为30%（含）～60%的，加20分，增速不足30%的，加10分；</w:t>
            </w:r>
          </w:p>
          <w:p>
            <w:pPr>
              <w:widowControl/>
              <w:spacing w:line="360" w:lineRule="auto"/>
              <w:jc w:val="left"/>
              <w:rPr>
                <w:rFonts w:hint="eastAsia" w:ascii="宋体" w:hAnsi="宋体"/>
                <w:color w:val="000000"/>
                <w:kern w:val="0"/>
                <w:sz w:val="24"/>
                <w:highlight w:val="none"/>
              </w:rPr>
            </w:pPr>
            <w:r>
              <w:rPr>
                <w:rFonts w:hint="eastAsia" w:ascii="宋体" w:hAnsi="宋体" w:cs="Segoe UI"/>
                <w:color w:val="000000"/>
                <w:kern w:val="0"/>
                <w:sz w:val="24"/>
                <w:szCs w:val="24"/>
                <w:highlight w:val="none"/>
                <w:lang w:val="en-US" w:eastAsia="zh-CN"/>
              </w:rPr>
              <w:t>上年“年度入库企业”，按在库企业基础分及增速排名最低一档计算，即统计贡献为基础分50+增速加分10分。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B</w:t>
            </w:r>
          </w:p>
        </w:tc>
      </w:tr>
      <w:tr>
        <w:tblPrEx>
          <w:tblLayout w:type="fixed"/>
          <w:tblCellMar>
            <w:top w:w="0" w:type="dxa"/>
            <w:left w:w="0" w:type="dxa"/>
            <w:bottom w:w="0" w:type="dxa"/>
            <w:right w:w="0" w:type="dxa"/>
          </w:tblCellMar>
        </w:tblPrEx>
        <w:trPr>
          <w:trHeight w:val="951"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人才规模</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人才规模达20人，得60分；每增加1人加0.2分，满分100分。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C</w:t>
            </w:r>
          </w:p>
        </w:tc>
      </w:tr>
      <w:tr>
        <w:tblPrEx>
          <w:tblLayout w:type="fixed"/>
          <w:tblCellMar>
            <w:top w:w="0" w:type="dxa"/>
            <w:left w:w="0" w:type="dxa"/>
            <w:bottom w:w="0" w:type="dxa"/>
            <w:right w:w="0" w:type="dxa"/>
          </w:tblCellMar>
        </w:tblPrEx>
        <w:trPr>
          <w:trHeight w:val="786" w:hRule="atLeast"/>
        </w:trPr>
        <w:tc>
          <w:tcPr>
            <w:tcW w:w="198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总评分</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计算方法：Ax40%+Bx40%+Cx20%</w:t>
            </w:r>
          </w:p>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(总分相等的企业按上年度纳税金额高低排序)</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　</w:t>
            </w:r>
          </w:p>
        </w:tc>
      </w:tr>
    </w:tbl>
    <w:p>
      <w:pPr>
        <w:widowControl/>
        <w:shd w:val="clear" w:color="auto" w:fill="FFFFFF"/>
        <w:spacing w:line="360" w:lineRule="auto"/>
        <w:ind w:firstLine="241" w:firstLineChars="10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 xml:space="preserve">3、申报材料 </w:t>
      </w:r>
    </w:p>
    <w:tbl>
      <w:tblPr>
        <w:tblStyle w:val="8"/>
        <w:tblW w:w="8946" w:type="dxa"/>
        <w:tblInd w:w="93" w:type="dxa"/>
        <w:tblLayout w:type="fixed"/>
        <w:tblCellMar>
          <w:top w:w="0" w:type="dxa"/>
          <w:left w:w="108" w:type="dxa"/>
          <w:bottom w:w="0" w:type="dxa"/>
          <w:right w:w="108" w:type="dxa"/>
        </w:tblCellMar>
      </w:tblPr>
      <w:tblGrid>
        <w:gridCol w:w="714"/>
        <w:gridCol w:w="5680"/>
        <w:gridCol w:w="2552"/>
      </w:tblGrid>
      <w:tr>
        <w:tblPrEx>
          <w:tblLayout w:type="fixed"/>
          <w:tblCellMar>
            <w:top w:w="0" w:type="dxa"/>
            <w:left w:w="108" w:type="dxa"/>
            <w:bottom w:w="0" w:type="dxa"/>
            <w:right w:w="108" w:type="dxa"/>
          </w:tblCellMar>
        </w:tblPrEx>
        <w:trPr>
          <w:trHeight w:val="52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b/>
                <w:color w:val="000000"/>
                <w:kern w:val="0"/>
                <w:sz w:val="24"/>
                <w:highlight w:val="none"/>
              </w:rPr>
            </w:pPr>
            <w:r>
              <w:rPr>
                <w:rFonts w:hint="eastAsia" w:ascii="宋体" w:hAnsi="宋体"/>
                <w:b/>
                <w:color w:val="000000"/>
                <w:kern w:val="0"/>
                <w:sz w:val="24"/>
                <w:highlight w:val="none"/>
              </w:rPr>
              <w:t>序号</w:t>
            </w:r>
          </w:p>
        </w:tc>
        <w:tc>
          <w:tcPr>
            <w:tcW w:w="5680" w:type="dxa"/>
            <w:tcBorders>
              <w:top w:val="single" w:color="auto" w:sz="4" w:space="0"/>
              <w:left w:val="nil"/>
              <w:bottom w:val="single" w:color="auto" w:sz="4" w:space="0"/>
              <w:right w:val="single" w:color="auto" w:sz="4" w:space="0"/>
            </w:tcBorders>
            <w:vAlign w:val="center"/>
          </w:tcPr>
          <w:p>
            <w:pPr>
              <w:widowControl/>
              <w:spacing w:line="360" w:lineRule="auto"/>
              <w:ind w:firstLine="480"/>
              <w:jc w:val="center"/>
              <w:rPr>
                <w:rFonts w:hint="eastAsia" w:ascii="宋体" w:hAnsi="宋体"/>
                <w:b/>
                <w:color w:val="000000"/>
                <w:kern w:val="0"/>
                <w:sz w:val="24"/>
                <w:highlight w:val="none"/>
              </w:rPr>
            </w:pPr>
            <w:r>
              <w:rPr>
                <w:rFonts w:hint="eastAsia" w:ascii="宋体" w:hAnsi="宋体"/>
                <w:b/>
                <w:color w:val="000000"/>
                <w:kern w:val="0"/>
                <w:sz w:val="24"/>
                <w:highlight w:val="none"/>
              </w:rPr>
              <w:t>材料名称</w:t>
            </w:r>
          </w:p>
        </w:tc>
        <w:tc>
          <w:tcPr>
            <w:tcW w:w="255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b/>
                <w:color w:val="000000"/>
                <w:kern w:val="0"/>
                <w:sz w:val="24"/>
                <w:highlight w:val="none"/>
              </w:rPr>
            </w:pPr>
            <w:r>
              <w:rPr>
                <w:rFonts w:hint="eastAsia" w:ascii="宋体" w:hAnsi="宋体"/>
                <w:b/>
                <w:color w:val="000000"/>
                <w:kern w:val="0"/>
                <w:sz w:val="24"/>
                <w:highlight w:val="none"/>
              </w:rPr>
              <w:t>材料形式</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5680" w:type="dxa"/>
            <w:tcBorders>
              <w:top w:val="nil"/>
              <w:left w:val="nil"/>
              <w:bottom w:val="single" w:color="auto" w:sz="4" w:space="0"/>
              <w:right w:val="single" w:color="auto" w:sz="4" w:space="0"/>
            </w:tcBorders>
            <w:vAlign w:val="center"/>
          </w:tcPr>
          <w:p>
            <w:pPr>
              <w:widowControl/>
              <w:shd w:val="clear" w:color="auto" w:fill="FFFFFF"/>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南山区人才安居定向配租补租申报表。</w:t>
            </w:r>
          </w:p>
        </w:tc>
        <w:tc>
          <w:tcPr>
            <w:tcW w:w="2552"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5680" w:type="dxa"/>
            <w:tcBorders>
              <w:top w:val="nil"/>
              <w:left w:val="nil"/>
              <w:bottom w:val="single" w:color="auto" w:sz="4" w:space="0"/>
              <w:right w:val="single" w:color="auto" w:sz="4" w:space="0"/>
            </w:tcBorders>
            <w:vAlign w:val="center"/>
          </w:tcPr>
          <w:p>
            <w:pPr>
              <w:widowControl/>
              <w:shd w:val="clear" w:color="auto" w:fill="FFFFFF"/>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三证合一新版营业执照（未换领三证合一新版营业执照的，提交原旧版营业执照、组织机构代码证书、税务登记证书）、法定代表人（或非法人企业负责人）身份证复印件。</w:t>
            </w:r>
          </w:p>
        </w:tc>
        <w:tc>
          <w:tcPr>
            <w:tcW w:w="2552"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5680" w:type="dxa"/>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上年度的纳税证明（2018年1月1日至12月31日）。</w:t>
            </w:r>
          </w:p>
        </w:tc>
        <w:tc>
          <w:tcPr>
            <w:tcW w:w="255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w:t>
            </w:r>
          </w:p>
        </w:tc>
        <w:tc>
          <w:tcPr>
            <w:tcW w:w="5680" w:type="dxa"/>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jc w:val="left"/>
              <w:rPr>
                <w:rFonts w:hint="eastAsia" w:ascii="宋体" w:hAnsi="宋体"/>
                <w:color w:val="000000"/>
                <w:kern w:val="0"/>
                <w:sz w:val="24"/>
                <w:highlight w:val="none"/>
              </w:rPr>
            </w:pPr>
            <w:r>
              <w:rPr>
                <w:rFonts w:hint="eastAsia" w:ascii="宋体" w:hAnsi="宋体" w:cs="Segoe UI"/>
                <w:color w:val="000000"/>
                <w:kern w:val="0"/>
                <w:sz w:val="24"/>
                <w:szCs w:val="24"/>
                <w:highlight w:val="none"/>
              </w:rPr>
              <w:t>同时</w:t>
            </w:r>
            <w:r>
              <w:rPr>
                <w:rFonts w:ascii="宋体" w:hAnsi="宋体" w:cs="Segoe UI"/>
                <w:color w:val="000000"/>
                <w:kern w:val="0"/>
                <w:sz w:val="24"/>
                <w:szCs w:val="24"/>
                <w:highlight w:val="none"/>
              </w:rPr>
              <w:t>获得</w:t>
            </w:r>
            <w:r>
              <w:rPr>
                <w:rFonts w:hint="eastAsia" w:ascii="宋体" w:hAnsi="宋体" w:cs="Segoe UI"/>
                <w:color w:val="000000"/>
                <w:kern w:val="0"/>
                <w:sz w:val="24"/>
                <w:szCs w:val="24"/>
                <w:highlight w:val="none"/>
              </w:rPr>
              <w:t>武器装备科研生产单位保密资格认证、武器装备科研生产许可证认证、装备承制单位资格认证（武器装备质量管理体系认证、装备承制单位资格审查）且</w:t>
            </w:r>
            <w:r>
              <w:rPr>
                <w:rFonts w:ascii="宋体" w:hAnsi="宋体" w:cs="Segoe UI"/>
                <w:color w:val="000000"/>
                <w:kern w:val="0"/>
                <w:sz w:val="24"/>
                <w:szCs w:val="24"/>
                <w:highlight w:val="none"/>
              </w:rPr>
              <w:t>在有效期内。</w:t>
            </w:r>
          </w:p>
        </w:tc>
        <w:tc>
          <w:tcPr>
            <w:tcW w:w="255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通过区</w:t>
            </w:r>
            <w:r>
              <w:rPr>
                <w:rFonts w:ascii="宋体" w:hAnsi="宋体"/>
                <w:color w:val="000000"/>
                <w:kern w:val="0"/>
                <w:sz w:val="24"/>
                <w:highlight w:val="none"/>
              </w:rPr>
              <w:t>科创局</w:t>
            </w:r>
            <w:r>
              <w:rPr>
                <w:rFonts w:hint="eastAsia" w:ascii="宋体" w:hAnsi="宋体"/>
                <w:color w:val="000000"/>
                <w:kern w:val="0"/>
                <w:sz w:val="24"/>
                <w:highlight w:val="none"/>
              </w:rPr>
              <w:t>指定的有相关资质的机构审核，无需上传</w:t>
            </w:r>
          </w:p>
        </w:tc>
      </w:tr>
      <w:tr>
        <w:tblPrEx>
          <w:tblLayout w:type="fixed"/>
          <w:tblCellMar>
            <w:top w:w="0" w:type="dxa"/>
            <w:left w:w="108" w:type="dxa"/>
            <w:bottom w:w="0" w:type="dxa"/>
            <w:right w:w="108" w:type="dxa"/>
          </w:tblCellMar>
        </w:tblPrEx>
        <w:trPr>
          <w:trHeight w:val="64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5680" w:type="dxa"/>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申报定向配租补租人才明细表。</w:t>
            </w:r>
          </w:p>
        </w:tc>
        <w:tc>
          <w:tcPr>
            <w:tcW w:w="255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sz w:val="24"/>
                <w:szCs w:val="24"/>
                <w:highlight w:val="none"/>
              </w:rPr>
              <w:t>在“申报系统”中直接填报，或下载模板填写上传</w:t>
            </w:r>
          </w:p>
        </w:tc>
      </w:tr>
    </w:tbl>
    <w:p>
      <w:pPr>
        <w:widowControl/>
        <w:shd w:val="clear" w:color="auto" w:fill="FFFFFF"/>
        <w:spacing w:line="360" w:lineRule="auto"/>
        <w:ind w:firstLine="354" w:firstLineChars="147"/>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4、配额上限</w:t>
      </w:r>
    </w:p>
    <w:tbl>
      <w:tblPr>
        <w:tblStyle w:val="8"/>
        <w:tblW w:w="9640" w:type="dxa"/>
        <w:tblInd w:w="-34" w:type="dxa"/>
        <w:tblLayout w:type="fixed"/>
        <w:tblCellMar>
          <w:top w:w="0" w:type="dxa"/>
          <w:left w:w="0" w:type="dxa"/>
          <w:bottom w:w="0" w:type="dxa"/>
          <w:right w:w="0" w:type="dxa"/>
        </w:tblCellMar>
      </w:tblPr>
      <w:tblGrid>
        <w:gridCol w:w="709"/>
        <w:gridCol w:w="993"/>
        <w:gridCol w:w="5386"/>
        <w:gridCol w:w="1276"/>
        <w:gridCol w:w="1276"/>
      </w:tblGrid>
      <w:tr>
        <w:tblPrEx>
          <w:tblLayout w:type="fixed"/>
          <w:tblCellMar>
            <w:top w:w="0" w:type="dxa"/>
            <w:left w:w="0" w:type="dxa"/>
            <w:bottom w:w="0" w:type="dxa"/>
            <w:right w:w="0" w:type="dxa"/>
          </w:tblCellMar>
        </w:tblPrEx>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b/>
                <w:color w:val="000000"/>
                <w:kern w:val="0"/>
                <w:sz w:val="24"/>
                <w:highlight w:val="none"/>
              </w:rPr>
              <w:t>序号</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b/>
                <w:color w:val="000000"/>
                <w:kern w:val="0"/>
                <w:sz w:val="24"/>
                <w:highlight w:val="none"/>
              </w:rPr>
              <w:t>档次</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eastAsia="Segoe UI"/>
                <w:color w:val="000000"/>
                <w:kern w:val="0"/>
                <w:sz w:val="24"/>
                <w:highlight w:val="none"/>
              </w:rPr>
            </w:pPr>
            <w:r>
              <w:rPr>
                <w:rFonts w:ascii="宋体" w:hAnsi="宋体"/>
                <w:b/>
                <w:color w:val="000000"/>
                <w:kern w:val="0"/>
                <w:sz w:val="24"/>
                <w:highlight w:val="none"/>
              </w:rPr>
              <w:t>纳税</w:t>
            </w:r>
            <w:r>
              <w:rPr>
                <w:rFonts w:hint="eastAsia" w:ascii="宋体" w:hAnsi="宋体"/>
                <w:b/>
                <w:color w:val="000000"/>
                <w:kern w:val="0"/>
                <w:sz w:val="24"/>
                <w:highlight w:val="none"/>
              </w:rPr>
              <w:t>、统计贡献</w:t>
            </w:r>
            <w:r>
              <w:rPr>
                <w:rFonts w:ascii="宋体" w:hAnsi="宋体"/>
                <w:b/>
                <w:color w:val="000000"/>
                <w:kern w:val="0"/>
                <w:sz w:val="24"/>
                <w:highlight w:val="none"/>
              </w:rPr>
              <w:t>及人才规模</w:t>
            </w:r>
          </w:p>
        </w:tc>
        <w:tc>
          <w:tcPr>
            <w:tcW w:w="1276"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spacing w:line="360" w:lineRule="auto"/>
              <w:jc w:val="center"/>
              <w:rPr>
                <w:rFonts w:hint="eastAsia" w:ascii="宋体" w:hAnsi="宋体"/>
                <w:b/>
                <w:color w:val="000000"/>
                <w:kern w:val="0"/>
                <w:sz w:val="24"/>
                <w:highlight w:val="none"/>
              </w:rPr>
            </w:pPr>
            <w:r>
              <w:rPr>
                <w:rFonts w:ascii="宋体" w:hAnsi="宋体"/>
                <w:b/>
                <w:color w:val="000000"/>
                <w:kern w:val="0"/>
                <w:sz w:val="24"/>
                <w:highlight w:val="none"/>
              </w:rPr>
              <w:t>补租</w:t>
            </w:r>
          </w:p>
          <w:p>
            <w:pPr>
              <w:widowControl/>
              <w:spacing w:line="360" w:lineRule="auto"/>
              <w:jc w:val="center"/>
              <w:rPr>
                <w:rFonts w:ascii="宋体" w:eastAsia="Segoe UI"/>
                <w:color w:val="000000"/>
                <w:kern w:val="0"/>
                <w:sz w:val="24"/>
                <w:highlight w:val="none"/>
              </w:rPr>
            </w:pPr>
            <w:r>
              <w:rPr>
                <w:rFonts w:hint="eastAsia" w:ascii="宋体" w:hAnsi="宋体"/>
                <w:b/>
                <w:color w:val="000000"/>
                <w:kern w:val="0"/>
                <w:sz w:val="24"/>
                <w:highlight w:val="none"/>
              </w:rPr>
              <w:t>配额</w:t>
            </w:r>
            <w:r>
              <w:rPr>
                <w:rFonts w:ascii="宋体" w:hAnsi="宋体"/>
                <w:b/>
                <w:color w:val="000000"/>
                <w:kern w:val="0"/>
                <w:sz w:val="24"/>
                <w:highlight w:val="none"/>
              </w:rPr>
              <w:t>上限</w:t>
            </w:r>
          </w:p>
        </w:tc>
        <w:tc>
          <w:tcPr>
            <w:tcW w:w="1276"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rFonts w:hint="eastAsia" w:ascii="宋体"/>
                <w:b/>
                <w:color w:val="000000"/>
                <w:kern w:val="0"/>
                <w:sz w:val="24"/>
                <w:highlight w:val="none"/>
              </w:rPr>
            </w:pPr>
            <w:r>
              <w:rPr>
                <w:rFonts w:ascii="宋体"/>
                <w:b/>
                <w:color w:val="000000"/>
                <w:kern w:val="0"/>
                <w:sz w:val="24"/>
                <w:highlight w:val="none"/>
              </w:rPr>
              <w:t>配租</w:t>
            </w:r>
          </w:p>
          <w:p>
            <w:pPr>
              <w:widowControl/>
              <w:spacing w:line="360" w:lineRule="auto"/>
              <w:jc w:val="center"/>
              <w:rPr>
                <w:rFonts w:ascii="宋体"/>
                <w:b/>
                <w:color w:val="000000"/>
                <w:kern w:val="0"/>
                <w:sz w:val="24"/>
                <w:highlight w:val="none"/>
              </w:rPr>
            </w:pPr>
            <w:r>
              <w:rPr>
                <w:rFonts w:hint="eastAsia" w:ascii="宋体"/>
                <w:b/>
                <w:color w:val="000000"/>
                <w:kern w:val="0"/>
                <w:sz w:val="24"/>
                <w:highlight w:val="none"/>
              </w:rPr>
              <w:t>配额</w:t>
            </w:r>
            <w:r>
              <w:rPr>
                <w:rFonts w:ascii="宋体"/>
                <w:b/>
                <w:color w:val="000000"/>
                <w:kern w:val="0"/>
                <w:sz w:val="24"/>
                <w:highlight w:val="none"/>
              </w:rPr>
              <w:t>上限</w:t>
            </w:r>
          </w:p>
        </w:tc>
      </w:tr>
      <w:tr>
        <w:tblPrEx>
          <w:tblLayout w:type="fixed"/>
          <w:tblCellMar>
            <w:top w:w="0" w:type="dxa"/>
            <w:left w:w="0" w:type="dxa"/>
            <w:bottom w:w="0" w:type="dxa"/>
            <w:right w:w="0" w:type="dxa"/>
          </w:tblCellMar>
        </w:tblPrEx>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1</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一</w:t>
            </w:r>
            <w:r>
              <w:rPr>
                <w:rFonts w:ascii="宋体" w:hAnsi="宋体"/>
                <w:color w:val="000000"/>
                <w:kern w:val="0"/>
                <w:sz w:val="24"/>
                <w:highlight w:val="none"/>
              </w:rPr>
              <w:t>档</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上一年度纳税达1亿元</w:t>
            </w:r>
            <w:r>
              <w:rPr>
                <w:rFonts w:hint="eastAsia" w:ascii="宋体" w:hAnsi="宋体"/>
                <w:color w:val="000000"/>
                <w:kern w:val="0"/>
                <w:sz w:val="24"/>
                <w:highlight w:val="none"/>
              </w:rPr>
              <w:t>以上或统计贡献行业排名前10%，</w:t>
            </w:r>
            <w:r>
              <w:rPr>
                <w:rFonts w:ascii="宋体" w:hAnsi="宋体"/>
                <w:color w:val="000000"/>
                <w:kern w:val="0"/>
                <w:sz w:val="24"/>
                <w:highlight w:val="none"/>
              </w:rPr>
              <w:t>且人才规模达600人</w:t>
            </w:r>
            <w:r>
              <w:rPr>
                <w:rFonts w:hint="eastAsia" w:ascii="宋体" w:hAnsi="宋体"/>
                <w:color w:val="000000"/>
                <w:kern w:val="0"/>
                <w:sz w:val="24"/>
                <w:highlight w:val="none"/>
              </w:rPr>
              <w:t>。</w:t>
            </w:r>
          </w:p>
        </w:tc>
        <w:tc>
          <w:tcPr>
            <w:tcW w:w="1276"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eastAsia="Segoe UI"/>
                <w:color w:val="000000"/>
                <w:kern w:val="0"/>
                <w:sz w:val="24"/>
                <w:highlight w:val="none"/>
              </w:rPr>
            </w:pPr>
            <w:r>
              <w:rPr>
                <w:rFonts w:hint="eastAsia" w:ascii="宋体" w:hAnsi="宋体"/>
                <w:color w:val="000000"/>
                <w:kern w:val="0"/>
                <w:sz w:val="24"/>
                <w:highlight w:val="none"/>
              </w:rPr>
              <w:t>200</w:t>
            </w:r>
            <w:r>
              <w:rPr>
                <w:rFonts w:ascii="宋体" w:hAnsi="宋体"/>
                <w:color w:val="000000"/>
                <w:kern w:val="0"/>
                <w:sz w:val="24"/>
                <w:highlight w:val="none"/>
              </w:rPr>
              <w:t>套</w:t>
            </w:r>
          </w:p>
        </w:tc>
        <w:tc>
          <w:tcPr>
            <w:tcW w:w="1276" w:type="dxa"/>
            <w:tcBorders>
              <w:top w:val="nil"/>
              <w:left w:val="single" w:color="auto" w:sz="4" w:space="0"/>
              <w:bottom w:val="single" w:color="auto" w:sz="8" w:space="0"/>
              <w:right w:val="single" w:color="auto" w:sz="8" w:space="0"/>
            </w:tcBorders>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30套</w:t>
            </w:r>
          </w:p>
        </w:tc>
      </w:tr>
      <w:tr>
        <w:tblPrEx>
          <w:tblLayout w:type="fixed"/>
          <w:tblCellMar>
            <w:top w:w="0" w:type="dxa"/>
            <w:left w:w="0" w:type="dxa"/>
            <w:bottom w:w="0" w:type="dxa"/>
            <w:right w:w="0" w:type="dxa"/>
          </w:tblCellMar>
        </w:tblPrEx>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2</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二</w:t>
            </w:r>
            <w:r>
              <w:rPr>
                <w:rFonts w:ascii="宋体" w:hAnsi="宋体"/>
                <w:color w:val="000000"/>
                <w:kern w:val="0"/>
                <w:sz w:val="24"/>
                <w:highlight w:val="none"/>
              </w:rPr>
              <w:t>档</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上一年度纳税达5000万元</w:t>
            </w:r>
            <w:r>
              <w:rPr>
                <w:rFonts w:hint="eastAsia" w:ascii="宋体" w:hAnsi="宋体"/>
                <w:color w:val="000000"/>
                <w:kern w:val="0"/>
                <w:sz w:val="24"/>
                <w:highlight w:val="none"/>
              </w:rPr>
              <w:t>以上或统计贡献行业排名前20%，</w:t>
            </w:r>
            <w:r>
              <w:rPr>
                <w:rFonts w:ascii="宋体" w:hAnsi="宋体"/>
                <w:color w:val="000000"/>
                <w:kern w:val="0"/>
                <w:sz w:val="24"/>
                <w:highlight w:val="none"/>
              </w:rPr>
              <w:t>且人才规模达400人</w:t>
            </w:r>
            <w:r>
              <w:rPr>
                <w:rFonts w:hint="eastAsia" w:ascii="宋体" w:hAnsi="宋体"/>
                <w:color w:val="000000"/>
                <w:kern w:val="0"/>
                <w:sz w:val="24"/>
                <w:highlight w:val="none"/>
              </w:rPr>
              <w:t>。</w:t>
            </w:r>
          </w:p>
        </w:tc>
        <w:tc>
          <w:tcPr>
            <w:tcW w:w="1276"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eastAsia="Segoe UI"/>
                <w:color w:val="000000"/>
                <w:kern w:val="0"/>
                <w:sz w:val="24"/>
                <w:highlight w:val="none"/>
              </w:rPr>
            </w:pPr>
            <w:r>
              <w:rPr>
                <w:rFonts w:hint="eastAsia" w:ascii="宋体" w:hAnsi="宋体"/>
                <w:color w:val="000000"/>
                <w:kern w:val="0"/>
                <w:sz w:val="24"/>
                <w:highlight w:val="none"/>
              </w:rPr>
              <w:t>150</w:t>
            </w:r>
            <w:r>
              <w:rPr>
                <w:rFonts w:ascii="宋体" w:hAnsi="宋体"/>
                <w:color w:val="000000"/>
                <w:kern w:val="0"/>
                <w:sz w:val="24"/>
                <w:highlight w:val="none"/>
              </w:rPr>
              <w:t>套</w:t>
            </w:r>
          </w:p>
        </w:tc>
        <w:tc>
          <w:tcPr>
            <w:tcW w:w="1276" w:type="dxa"/>
            <w:tcBorders>
              <w:top w:val="nil"/>
              <w:left w:val="single" w:color="auto" w:sz="4" w:space="0"/>
              <w:bottom w:val="single" w:color="auto" w:sz="8" w:space="0"/>
              <w:right w:val="single" w:color="auto" w:sz="8" w:space="0"/>
            </w:tcBorders>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20套</w:t>
            </w:r>
          </w:p>
        </w:tc>
      </w:tr>
      <w:tr>
        <w:tblPrEx>
          <w:tblLayout w:type="fixed"/>
          <w:tblCellMar>
            <w:top w:w="0" w:type="dxa"/>
            <w:left w:w="0" w:type="dxa"/>
            <w:bottom w:w="0" w:type="dxa"/>
            <w:right w:w="0" w:type="dxa"/>
          </w:tblCellMar>
        </w:tblPrEx>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3</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三</w:t>
            </w:r>
            <w:r>
              <w:rPr>
                <w:rFonts w:ascii="宋体" w:hAnsi="宋体"/>
                <w:color w:val="000000"/>
                <w:kern w:val="0"/>
                <w:sz w:val="24"/>
                <w:highlight w:val="none"/>
              </w:rPr>
              <w:t>档</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上一年度纳税达2500万</w:t>
            </w:r>
            <w:r>
              <w:rPr>
                <w:rFonts w:hint="eastAsia" w:ascii="宋体" w:hAnsi="宋体"/>
                <w:color w:val="000000"/>
                <w:kern w:val="0"/>
                <w:sz w:val="24"/>
                <w:highlight w:val="none"/>
              </w:rPr>
              <w:t>以上或统计贡献行业排名前30%，</w:t>
            </w:r>
            <w:r>
              <w:rPr>
                <w:rFonts w:ascii="宋体" w:hAnsi="宋体"/>
                <w:color w:val="000000"/>
                <w:kern w:val="0"/>
                <w:sz w:val="24"/>
                <w:highlight w:val="none"/>
              </w:rPr>
              <w:t>且人才规模达200人</w:t>
            </w:r>
            <w:r>
              <w:rPr>
                <w:rFonts w:hint="eastAsia" w:ascii="宋体" w:hAnsi="宋体"/>
                <w:color w:val="000000"/>
                <w:kern w:val="0"/>
                <w:sz w:val="24"/>
                <w:highlight w:val="none"/>
              </w:rPr>
              <w:t>。</w:t>
            </w:r>
          </w:p>
        </w:tc>
        <w:tc>
          <w:tcPr>
            <w:tcW w:w="1276"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eastAsia="Segoe UI"/>
                <w:color w:val="000000"/>
                <w:kern w:val="0"/>
                <w:sz w:val="24"/>
                <w:highlight w:val="none"/>
              </w:rPr>
            </w:pPr>
            <w:r>
              <w:rPr>
                <w:rFonts w:hint="eastAsia" w:ascii="宋体" w:hAnsi="宋体"/>
                <w:color w:val="000000"/>
                <w:kern w:val="0"/>
                <w:sz w:val="24"/>
                <w:highlight w:val="none"/>
              </w:rPr>
              <w:t>100</w:t>
            </w:r>
            <w:r>
              <w:rPr>
                <w:rFonts w:ascii="宋体" w:hAnsi="宋体"/>
                <w:color w:val="000000"/>
                <w:kern w:val="0"/>
                <w:sz w:val="24"/>
                <w:highlight w:val="none"/>
              </w:rPr>
              <w:t>套</w:t>
            </w:r>
          </w:p>
        </w:tc>
        <w:tc>
          <w:tcPr>
            <w:tcW w:w="1276" w:type="dxa"/>
            <w:tcBorders>
              <w:top w:val="nil"/>
              <w:left w:val="single" w:color="auto" w:sz="4" w:space="0"/>
              <w:bottom w:val="single" w:color="auto" w:sz="8" w:space="0"/>
              <w:right w:val="single" w:color="auto" w:sz="8" w:space="0"/>
            </w:tcBorders>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15套</w:t>
            </w:r>
          </w:p>
        </w:tc>
      </w:tr>
      <w:tr>
        <w:tblPrEx>
          <w:tblLayout w:type="fixed"/>
          <w:tblCellMar>
            <w:top w:w="0" w:type="dxa"/>
            <w:left w:w="0" w:type="dxa"/>
            <w:bottom w:w="0" w:type="dxa"/>
            <w:right w:w="0" w:type="dxa"/>
          </w:tblCellMar>
        </w:tblPrEx>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4</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四</w:t>
            </w:r>
            <w:r>
              <w:rPr>
                <w:rFonts w:ascii="宋体" w:hAnsi="宋体"/>
                <w:color w:val="000000"/>
                <w:kern w:val="0"/>
                <w:sz w:val="24"/>
                <w:highlight w:val="none"/>
              </w:rPr>
              <w:t>档</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w:t>
            </w:r>
            <w:r>
              <w:rPr>
                <w:rFonts w:hint="eastAsia" w:ascii="宋体" w:hAnsi="宋体"/>
                <w:color w:val="000000"/>
                <w:kern w:val="0"/>
                <w:sz w:val="24"/>
                <w:highlight w:val="none"/>
              </w:rPr>
              <w:t>8</w:t>
            </w:r>
            <w:r>
              <w:rPr>
                <w:rFonts w:ascii="宋体" w:hAnsi="宋体"/>
                <w:color w:val="000000"/>
                <w:kern w:val="0"/>
                <w:sz w:val="24"/>
                <w:highlight w:val="none"/>
              </w:rPr>
              <w:t>00万元</w:t>
            </w:r>
            <w:r>
              <w:rPr>
                <w:rFonts w:hint="eastAsia" w:ascii="宋体" w:hAnsi="宋体"/>
                <w:color w:val="000000"/>
                <w:kern w:val="0"/>
                <w:sz w:val="24"/>
                <w:highlight w:val="none"/>
              </w:rPr>
              <w:t>以上或统计贡献行业排名前40%，</w:t>
            </w:r>
            <w:r>
              <w:rPr>
                <w:rFonts w:ascii="宋体" w:hAnsi="宋体"/>
                <w:color w:val="000000"/>
                <w:kern w:val="0"/>
                <w:sz w:val="24"/>
                <w:highlight w:val="none"/>
              </w:rPr>
              <w:t>且人才规模达100人</w:t>
            </w:r>
            <w:r>
              <w:rPr>
                <w:rFonts w:hint="eastAsia" w:ascii="宋体" w:hAnsi="宋体"/>
                <w:color w:val="000000"/>
                <w:kern w:val="0"/>
                <w:sz w:val="24"/>
                <w:highlight w:val="none"/>
              </w:rPr>
              <w:t>。</w:t>
            </w:r>
          </w:p>
        </w:tc>
        <w:tc>
          <w:tcPr>
            <w:tcW w:w="1276" w:type="dxa"/>
            <w:tcBorders>
              <w:top w:val="nil"/>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eastAsia="Segoe UI"/>
                <w:color w:val="000000"/>
                <w:kern w:val="0"/>
                <w:sz w:val="24"/>
                <w:highlight w:val="none"/>
              </w:rPr>
            </w:pPr>
            <w:r>
              <w:rPr>
                <w:rFonts w:hint="eastAsia" w:ascii="宋体" w:hAnsi="宋体"/>
                <w:color w:val="000000"/>
                <w:kern w:val="0"/>
                <w:sz w:val="24"/>
                <w:highlight w:val="none"/>
              </w:rPr>
              <w:t>75</w:t>
            </w:r>
            <w:r>
              <w:rPr>
                <w:rFonts w:ascii="宋体" w:hAnsi="宋体"/>
                <w:color w:val="000000"/>
                <w:kern w:val="0"/>
                <w:sz w:val="24"/>
                <w:highlight w:val="none"/>
              </w:rPr>
              <w:t>套</w:t>
            </w:r>
          </w:p>
        </w:tc>
        <w:tc>
          <w:tcPr>
            <w:tcW w:w="1276" w:type="dxa"/>
            <w:tcBorders>
              <w:top w:val="nil"/>
              <w:left w:val="single" w:color="auto" w:sz="4" w:space="0"/>
              <w:bottom w:val="single" w:color="auto" w:sz="8" w:space="0"/>
              <w:right w:val="single" w:color="auto" w:sz="8" w:space="0"/>
            </w:tcBorders>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10套</w:t>
            </w:r>
          </w:p>
        </w:tc>
      </w:tr>
      <w:tr>
        <w:tblPrEx>
          <w:tblLayout w:type="fixed"/>
          <w:tblCellMar>
            <w:top w:w="0" w:type="dxa"/>
            <w:left w:w="0" w:type="dxa"/>
            <w:bottom w:w="0" w:type="dxa"/>
            <w:right w:w="0" w:type="dxa"/>
          </w:tblCellMar>
        </w:tblPrEx>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5</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五</w:t>
            </w:r>
            <w:r>
              <w:rPr>
                <w:rFonts w:ascii="宋体" w:hAnsi="宋体"/>
                <w:color w:val="000000"/>
                <w:kern w:val="0"/>
                <w:sz w:val="24"/>
                <w:highlight w:val="none"/>
              </w:rPr>
              <w:t>档</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eastAsia="Segoe UI"/>
                <w:color w:val="000000"/>
                <w:kern w:val="0"/>
                <w:sz w:val="24"/>
                <w:highlight w:val="none"/>
              </w:rPr>
            </w:pPr>
            <w:r>
              <w:rPr>
                <w:rFonts w:ascii="宋体" w:hAnsi="宋体"/>
                <w:color w:val="000000"/>
                <w:kern w:val="0"/>
                <w:sz w:val="24"/>
                <w:highlight w:val="none"/>
              </w:rPr>
              <w:t>上一年度纳税达</w:t>
            </w:r>
            <w:r>
              <w:rPr>
                <w:rFonts w:hint="eastAsia" w:ascii="宋体" w:hAnsi="宋体"/>
                <w:color w:val="000000"/>
                <w:kern w:val="0"/>
                <w:sz w:val="24"/>
                <w:highlight w:val="none"/>
              </w:rPr>
              <w:t>4</w:t>
            </w:r>
            <w:r>
              <w:rPr>
                <w:rFonts w:ascii="宋体" w:hAnsi="宋体"/>
                <w:color w:val="000000"/>
                <w:kern w:val="0"/>
                <w:sz w:val="24"/>
                <w:highlight w:val="none"/>
              </w:rPr>
              <w:t>00万元</w:t>
            </w:r>
            <w:r>
              <w:rPr>
                <w:rFonts w:hint="eastAsia" w:ascii="宋体" w:hAnsi="宋体"/>
                <w:color w:val="000000"/>
                <w:kern w:val="0"/>
                <w:sz w:val="24"/>
                <w:highlight w:val="none"/>
              </w:rPr>
              <w:t>以上或统计贡献行业排名前40%后，</w:t>
            </w:r>
            <w:r>
              <w:rPr>
                <w:rFonts w:ascii="宋体" w:hAnsi="宋体"/>
                <w:color w:val="000000"/>
                <w:kern w:val="0"/>
                <w:sz w:val="24"/>
                <w:highlight w:val="none"/>
              </w:rPr>
              <w:t>且人</w:t>
            </w:r>
            <w:r>
              <w:rPr>
                <w:rFonts w:hint="eastAsia" w:ascii="宋体" w:hAnsi="宋体"/>
                <w:color w:val="000000"/>
                <w:kern w:val="0"/>
                <w:sz w:val="24"/>
                <w:highlight w:val="none"/>
              </w:rPr>
              <w:t>才</w:t>
            </w:r>
            <w:r>
              <w:rPr>
                <w:rFonts w:ascii="宋体" w:hAnsi="宋体"/>
                <w:color w:val="000000"/>
                <w:kern w:val="0"/>
                <w:sz w:val="24"/>
                <w:highlight w:val="none"/>
              </w:rPr>
              <w:t>规模达</w:t>
            </w:r>
            <w:r>
              <w:rPr>
                <w:rFonts w:hint="eastAsia" w:ascii="宋体" w:hAnsi="宋体"/>
                <w:color w:val="000000"/>
                <w:kern w:val="0"/>
                <w:sz w:val="24"/>
                <w:highlight w:val="none"/>
              </w:rPr>
              <w:t>30</w:t>
            </w:r>
            <w:r>
              <w:rPr>
                <w:rFonts w:ascii="宋体" w:hAnsi="宋体"/>
                <w:color w:val="000000"/>
                <w:kern w:val="0"/>
                <w:sz w:val="24"/>
                <w:highlight w:val="none"/>
              </w:rPr>
              <w:t>人</w:t>
            </w:r>
            <w:r>
              <w:rPr>
                <w:rFonts w:hint="eastAsia" w:ascii="宋体" w:hAnsi="宋体"/>
                <w:color w:val="000000"/>
                <w:kern w:val="0"/>
                <w:sz w:val="24"/>
                <w:highlight w:val="none"/>
              </w:rPr>
              <w:t>。</w:t>
            </w:r>
          </w:p>
        </w:tc>
        <w:tc>
          <w:tcPr>
            <w:tcW w:w="1276"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rFonts w:ascii="宋体" w:eastAsia="Segoe UI"/>
                <w:color w:val="000000"/>
                <w:kern w:val="0"/>
                <w:sz w:val="24"/>
                <w:highlight w:val="none"/>
              </w:rPr>
            </w:pPr>
            <w:r>
              <w:rPr>
                <w:rFonts w:hint="eastAsia" w:ascii="宋体" w:hAnsi="宋体"/>
                <w:color w:val="000000"/>
                <w:kern w:val="0"/>
                <w:sz w:val="24"/>
                <w:highlight w:val="none"/>
              </w:rPr>
              <w:t>60</w:t>
            </w:r>
            <w:r>
              <w:rPr>
                <w:rFonts w:ascii="宋体" w:hAnsi="宋体"/>
                <w:color w:val="000000"/>
                <w:kern w:val="0"/>
                <w:sz w:val="24"/>
                <w:highlight w:val="none"/>
              </w:rPr>
              <w:t>套</w:t>
            </w:r>
          </w:p>
        </w:tc>
        <w:tc>
          <w:tcPr>
            <w:tcW w:w="1276"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color w:val="000000"/>
                <w:kern w:val="0"/>
                <w:sz w:val="24"/>
                <w:highlight w:val="none"/>
              </w:rPr>
            </w:pPr>
            <w:r>
              <w:rPr>
                <w:rFonts w:ascii="宋体" w:hAnsi="宋体"/>
                <w:color w:val="000000"/>
                <w:kern w:val="0"/>
                <w:sz w:val="24"/>
                <w:highlight w:val="none"/>
              </w:rPr>
              <w:t>6套</w:t>
            </w:r>
          </w:p>
        </w:tc>
      </w:tr>
      <w:tr>
        <w:tblPrEx>
          <w:tblLayout w:type="fixed"/>
          <w:tblCellMar>
            <w:top w:w="0" w:type="dxa"/>
            <w:left w:w="0" w:type="dxa"/>
            <w:bottom w:w="0" w:type="dxa"/>
            <w:right w:w="0" w:type="dxa"/>
          </w:tblCellMar>
        </w:tblPrEx>
        <w:trPr>
          <w:trHeight w:val="115"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color w:val="000000"/>
                <w:kern w:val="0"/>
                <w:sz w:val="24"/>
                <w:highlight w:val="none"/>
              </w:rPr>
            </w:pPr>
            <w:r>
              <w:rPr>
                <w:rFonts w:hint="eastAsia" w:ascii="宋体" w:hAnsi="宋体"/>
                <w:color w:val="000000"/>
                <w:kern w:val="0"/>
                <w:sz w:val="24"/>
                <w:highlight w:val="none"/>
              </w:rPr>
              <w:t>6</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六</w:t>
            </w:r>
            <w:r>
              <w:rPr>
                <w:rFonts w:ascii="宋体" w:hAnsi="宋体"/>
                <w:color w:val="000000"/>
                <w:kern w:val="0"/>
                <w:sz w:val="24"/>
                <w:highlight w:val="none"/>
              </w:rPr>
              <w:t>档</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color w:val="000000"/>
                <w:kern w:val="0"/>
                <w:sz w:val="24"/>
                <w:highlight w:val="none"/>
              </w:rPr>
            </w:pPr>
            <w:r>
              <w:rPr>
                <w:rFonts w:ascii="宋体" w:hAnsi="宋体"/>
                <w:color w:val="000000"/>
                <w:kern w:val="0"/>
                <w:sz w:val="24"/>
                <w:highlight w:val="none"/>
              </w:rPr>
              <w:t>上一年度纳税</w:t>
            </w:r>
            <w:r>
              <w:rPr>
                <w:rFonts w:hint="eastAsia" w:ascii="宋体" w:hAnsi="宋体"/>
                <w:color w:val="000000"/>
                <w:kern w:val="0"/>
                <w:sz w:val="24"/>
                <w:highlight w:val="none"/>
              </w:rPr>
              <w:t>100</w:t>
            </w:r>
            <w:r>
              <w:rPr>
                <w:rFonts w:ascii="宋体" w:hAnsi="宋体"/>
                <w:color w:val="000000"/>
                <w:kern w:val="0"/>
                <w:sz w:val="24"/>
                <w:highlight w:val="none"/>
              </w:rPr>
              <w:t>万元</w:t>
            </w:r>
            <w:r>
              <w:rPr>
                <w:rFonts w:hint="eastAsia" w:ascii="宋体" w:hAnsi="宋体"/>
                <w:color w:val="000000"/>
                <w:kern w:val="0"/>
                <w:sz w:val="24"/>
                <w:highlight w:val="none"/>
              </w:rPr>
              <w:t>以上或统计贡献在库但无排名，</w:t>
            </w:r>
            <w:r>
              <w:rPr>
                <w:rFonts w:ascii="宋体" w:hAnsi="宋体"/>
                <w:color w:val="000000"/>
                <w:kern w:val="0"/>
                <w:sz w:val="24"/>
                <w:highlight w:val="none"/>
              </w:rPr>
              <w:t>且人才规模</w:t>
            </w:r>
            <w:r>
              <w:rPr>
                <w:rFonts w:hint="eastAsia" w:ascii="宋体" w:hAnsi="宋体"/>
                <w:color w:val="000000"/>
                <w:kern w:val="0"/>
                <w:sz w:val="24"/>
                <w:highlight w:val="none"/>
              </w:rPr>
              <w:t>达20</w:t>
            </w:r>
            <w:r>
              <w:rPr>
                <w:rFonts w:ascii="宋体" w:hAnsi="宋体"/>
                <w:color w:val="000000"/>
                <w:kern w:val="0"/>
                <w:sz w:val="24"/>
                <w:highlight w:val="none"/>
              </w:rPr>
              <w:t>人</w:t>
            </w:r>
            <w:r>
              <w:rPr>
                <w:rFonts w:hint="eastAsia" w:ascii="宋体" w:hAnsi="宋体"/>
                <w:color w:val="000000"/>
                <w:kern w:val="0"/>
                <w:sz w:val="24"/>
                <w:highlight w:val="none"/>
              </w:rPr>
              <w:t>。</w:t>
            </w:r>
          </w:p>
        </w:tc>
        <w:tc>
          <w:tcPr>
            <w:tcW w:w="1276"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spacing w:line="360" w:lineRule="auto"/>
              <w:jc w:val="center"/>
              <w:rPr>
                <w:color w:val="000000"/>
                <w:kern w:val="0"/>
                <w:sz w:val="24"/>
                <w:highlight w:val="none"/>
              </w:rPr>
            </w:pPr>
            <w:r>
              <w:rPr>
                <w:rFonts w:hint="eastAsia" w:ascii="宋体" w:hAnsi="宋体"/>
                <w:color w:val="000000"/>
                <w:kern w:val="0"/>
                <w:sz w:val="24"/>
                <w:highlight w:val="none"/>
              </w:rPr>
              <w:t>40</w:t>
            </w:r>
            <w:r>
              <w:rPr>
                <w:rFonts w:ascii="宋体" w:hAnsi="宋体"/>
                <w:color w:val="000000"/>
                <w:kern w:val="0"/>
                <w:sz w:val="24"/>
                <w:highlight w:val="none"/>
              </w:rPr>
              <w:t>套</w:t>
            </w:r>
          </w:p>
        </w:tc>
        <w:tc>
          <w:tcPr>
            <w:tcW w:w="1276" w:type="dxa"/>
            <w:tcBorders>
              <w:top w:val="single" w:color="auto" w:sz="8" w:space="0"/>
              <w:left w:val="single" w:color="auto" w:sz="4" w:space="0"/>
              <w:bottom w:val="single" w:color="auto" w:sz="8" w:space="0"/>
              <w:right w:val="single" w:color="auto" w:sz="8" w:space="0"/>
            </w:tcBorders>
            <w:vAlign w:val="center"/>
          </w:tcPr>
          <w:p>
            <w:pPr>
              <w:widowControl/>
              <w:spacing w:line="360" w:lineRule="auto"/>
              <w:jc w:val="center"/>
              <w:rPr>
                <w:rFonts w:ascii="宋体" w:eastAsia="Segoe UI"/>
                <w:color w:val="000000"/>
                <w:kern w:val="0"/>
                <w:sz w:val="24"/>
                <w:highlight w:val="none"/>
              </w:rPr>
            </w:pPr>
            <w:r>
              <w:rPr>
                <w:rFonts w:ascii="宋体" w:hAnsi="宋体"/>
                <w:color w:val="000000"/>
                <w:kern w:val="0"/>
                <w:sz w:val="24"/>
                <w:highlight w:val="none"/>
              </w:rPr>
              <w:t>4套</w:t>
            </w:r>
          </w:p>
        </w:tc>
      </w:tr>
    </w:tbl>
    <w:p>
      <w:pPr>
        <w:widowControl/>
        <w:shd w:val="clear" w:color="auto" w:fill="FFFFFF"/>
        <w:spacing w:line="360" w:lineRule="auto"/>
        <w:rPr>
          <w:rFonts w:hint="eastAsia" w:ascii="宋体" w:hAnsi="宋体"/>
          <w:b/>
          <w:color w:val="000000"/>
          <w:kern w:val="0"/>
          <w:sz w:val="24"/>
          <w:szCs w:val="24"/>
          <w:highlight w:val="none"/>
        </w:rPr>
      </w:pPr>
    </w:p>
    <w:p>
      <w:pPr>
        <w:widowControl/>
        <w:shd w:val="clear" w:color="auto" w:fill="FFFFFF"/>
        <w:spacing w:line="360" w:lineRule="auto"/>
        <w:ind w:firstLine="472" w:firstLineChars="196"/>
        <w:rPr>
          <w:rFonts w:hint="eastAsia" w:ascii="宋体" w:hAnsi="宋体"/>
          <w:b/>
          <w:color w:val="000000"/>
          <w:kern w:val="0"/>
          <w:sz w:val="24"/>
          <w:szCs w:val="24"/>
          <w:highlight w:val="none"/>
        </w:rPr>
      </w:pPr>
      <w:r>
        <w:rPr>
          <w:rFonts w:hint="eastAsia" w:ascii="宋体" w:hAnsi="宋体"/>
          <w:b/>
          <w:color w:val="000000"/>
          <w:kern w:val="0"/>
          <w:sz w:val="24"/>
          <w:szCs w:val="24"/>
          <w:highlight w:val="none"/>
        </w:rPr>
        <w:t>（三）“军民融合服务机构”申报条件、评分细则、申报材料、配额上限</w:t>
      </w:r>
    </w:p>
    <w:p>
      <w:pPr>
        <w:widowControl/>
        <w:shd w:val="clear" w:color="auto" w:fill="FFFFFF"/>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1、申报条件（须同时具备）</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（1）在南山注册的社会组织和服务机构；</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（2）取得军工涉密业务咨询服务安全保密条件备案证书且在</w:t>
      </w:r>
      <w:r>
        <w:rPr>
          <w:rFonts w:ascii="宋体" w:hAnsi="宋体" w:cs="Segoe UI"/>
          <w:color w:val="000000"/>
          <w:kern w:val="0"/>
          <w:sz w:val="24"/>
          <w:szCs w:val="24"/>
          <w:highlight w:val="none"/>
        </w:rPr>
        <w:t>有效期内</w:t>
      </w:r>
      <w:r>
        <w:rPr>
          <w:rFonts w:hint="eastAsia" w:ascii="宋体" w:hAnsi="宋体" w:cs="Segoe UI"/>
          <w:color w:val="000000"/>
          <w:kern w:val="0"/>
          <w:sz w:val="24"/>
          <w:szCs w:val="24"/>
          <w:highlight w:val="none"/>
        </w:rPr>
        <w:t>。</w:t>
      </w:r>
    </w:p>
    <w:p>
      <w:pPr>
        <w:widowControl/>
        <w:shd w:val="clear" w:color="auto" w:fill="FFFFFF"/>
        <w:spacing w:line="360" w:lineRule="auto"/>
        <w:ind w:firstLine="482" w:firstLineChars="200"/>
        <w:jc w:val="left"/>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2、评分细则</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（1）根据税收贡献、人才规模（以通告日期社保登记为准，下同）两项指标，分别按百分制计算出分数，再按权重比例计算出分值：税收贡献x35%</w:t>
      </w:r>
      <w:r>
        <w:rPr>
          <w:rFonts w:hint="eastAsia" w:ascii="宋体" w:hAnsi="宋体"/>
          <w:color w:val="000000"/>
          <w:kern w:val="0"/>
          <w:sz w:val="24"/>
          <w:highlight w:val="none"/>
        </w:rPr>
        <w:t>+</w:t>
      </w:r>
      <w:r>
        <w:rPr>
          <w:rFonts w:hint="eastAsia" w:ascii="宋体" w:hAnsi="宋体" w:cs="Segoe UI"/>
          <w:color w:val="000000"/>
          <w:kern w:val="0"/>
          <w:sz w:val="24"/>
          <w:szCs w:val="24"/>
          <w:highlight w:val="none"/>
        </w:rPr>
        <w:t>人才规模x65%；</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（2）税收贡献，上一年度（1月1日-12月31日）税款缴纳时间为准，不考虑税款的所属期，含代扣代缴税费。</w:t>
      </w:r>
    </w:p>
    <w:p>
      <w:pPr>
        <w:widowControl/>
        <w:shd w:val="clear" w:color="auto" w:fill="FFFFFF"/>
        <w:spacing w:line="360" w:lineRule="auto"/>
        <w:ind w:firstLine="64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具体细则如下：</w:t>
      </w:r>
    </w:p>
    <w:tbl>
      <w:tblPr>
        <w:tblStyle w:val="8"/>
        <w:tblW w:w="8364" w:type="dxa"/>
        <w:tblInd w:w="-34" w:type="dxa"/>
        <w:tblLayout w:type="fixed"/>
        <w:tblCellMar>
          <w:top w:w="0" w:type="dxa"/>
          <w:left w:w="0" w:type="dxa"/>
          <w:bottom w:w="0" w:type="dxa"/>
          <w:right w:w="0" w:type="dxa"/>
        </w:tblCellMar>
      </w:tblPr>
      <w:tblGrid>
        <w:gridCol w:w="851"/>
        <w:gridCol w:w="1276"/>
        <w:gridCol w:w="5386"/>
        <w:gridCol w:w="851"/>
      </w:tblGrid>
      <w:tr>
        <w:tblPrEx>
          <w:tblLayout w:type="fixed"/>
          <w:tblCellMar>
            <w:top w:w="0" w:type="dxa"/>
            <w:left w:w="0" w:type="dxa"/>
            <w:bottom w:w="0" w:type="dxa"/>
            <w:right w:w="0" w:type="dxa"/>
          </w:tblCellMar>
        </w:tblPrEx>
        <w:trPr>
          <w:trHeight w:val="834"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指标名称</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评分说明</w:t>
            </w:r>
          </w:p>
        </w:tc>
        <w:tc>
          <w:tcPr>
            <w:tcW w:w="8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得分</w:t>
            </w:r>
          </w:p>
        </w:tc>
      </w:tr>
      <w:tr>
        <w:tblPrEx>
          <w:tblLayout w:type="fixed"/>
          <w:tblCellMar>
            <w:top w:w="0" w:type="dxa"/>
            <w:left w:w="0" w:type="dxa"/>
            <w:bottom w:w="0" w:type="dxa"/>
            <w:right w:w="0" w:type="dxa"/>
          </w:tblCellMar>
        </w:tblPrEx>
        <w:trPr>
          <w:trHeight w:val="771"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hint="eastAsia" w:ascii="宋体" w:hAnsi="宋体"/>
                <w:color w:val="000000"/>
                <w:kern w:val="0"/>
                <w:sz w:val="24"/>
                <w:highlight w:val="none"/>
              </w:rPr>
            </w:pPr>
            <w:r>
              <w:rPr>
                <w:rFonts w:hint="eastAsia" w:ascii="宋体" w:hAnsi="宋体"/>
                <w:color w:val="000000"/>
                <w:kern w:val="0"/>
                <w:sz w:val="24"/>
                <w:highlight w:val="none"/>
              </w:rPr>
              <w:t>税收贡献</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上年度纳税50万元（含）以下的，得50分；每增加1万元加1分，满分为100分。</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A</w:t>
            </w:r>
          </w:p>
        </w:tc>
      </w:tr>
      <w:tr>
        <w:tblPrEx>
          <w:tblLayout w:type="fixed"/>
          <w:tblCellMar>
            <w:top w:w="0" w:type="dxa"/>
            <w:left w:w="0" w:type="dxa"/>
            <w:bottom w:w="0" w:type="dxa"/>
            <w:right w:w="0" w:type="dxa"/>
          </w:tblCellMar>
        </w:tblPrEx>
        <w:trPr>
          <w:trHeight w:val="771" w:hRule="atLeast"/>
        </w:trPr>
        <w:tc>
          <w:tcPr>
            <w:tcW w:w="8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hint="eastAsia" w:ascii="宋体" w:hAnsi="宋体"/>
                <w:color w:val="000000"/>
                <w:kern w:val="0"/>
                <w:sz w:val="24"/>
                <w:highlight w:val="none"/>
              </w:rPr>
            </w:pPr>
            <w:r>
              <w:rPr>
                <w:rFonts w:hint="eastAsia" w:ascii="宋体" w:hAnsi="宋体"/>
                <w:color w:val="000000"/>
                <w:kern w:val="0"/>
                <w:sz w:val="24"/>
                <w:highlight w:val="none"/>
              </w:rPr>
              <w:t>人才规模</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人才规模达30人（含）以上，得100分；10人（含）至30人的，得80分；10人以下的，得50分。</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B</w:t>
            </w:r>
          </w:p>
        </w:tc>
      </w:tr>
      <w:tr>
        <w:tblPrEx>
          <w:tblLayout w:type="fixed"/>
          <w:tblCellMar>
            <w:top w:w="0" w:type="dxa"/>
            <w:left w:w="0" w:type="dxa"/>
            <w:bottom w:w="0" w:type="dxa"/>
            <w:right w:w="0" w:type="dxa"/>
          </w:tblCellMar>
        </w:tblPrEx>
        <w:trPr>
          <w:trHeight w:val="576" w:hRule="atLeast"/>
        </w:trPr>
        <w:tc>
          <w:tcPr>
            <w:tcW w:w="212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总评分</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计算方法：Ax35%+Bx65%</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olor w:val="000000"/>
                <w:kern w:val="0"/>
                <w:sz w:val="24"/>
                <w:highlight w:val="none"/>
              </w:rPr>
            </w:pPr>
          </w:p>
        </w:tc>
      </w:tr>
    </w:tbl>
    <w:p>
      <w:pPr>
        <w:widowControl/>
        <w:shd w:val="clear" w:color="auto" w:fill="FFFFFF"/>
        <w:tabs>
          <w:tab w:val="left" w:pos="5535"/>
        </w:tabs>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3、申报材料</w:t>
      </w:r>
      <w:r>
        <w:rPr>
          <w:rFonts w:hint="eastAsia" w:ascii="宋体" w:hAnsi="宋体" w:cs="Segoe UI"/>
          <w:b/>
          <w:color w:val="000000"/>
          <w:kern w:val="0"/>
          <w:sz w:val="24"/>
          <w:szCs w:val="24"/>
          <w:highlight w:val="none"/>
        </w:rPr>
        <w:tab/>
      </w:r>
    </w:p>
    <w:tbl>
      <w:tblPr>
        <w:tblStyle w:val="8"/>
        <w:tblW w:w="8662" w:type="dxa"/>
        <w:tblInd w:w="93" w:type="dxa"/>
        <w:tblLayout w:type="fixed"/>
        <w:tblCellMar>
          <w:top w:w="0" w:type="dxa"/>
          <w:left w:w="108" w:type="dxa"/>
          <w:bottom w:w="0" w:type="dxa"/>
          <w:right w:w="108" w:type="dxa"/>
        </w:tblCellMar>
      </w:tblPr>
      <w:tblGrid>
        <w:gridCol w:w="714"/>
        <w:gridCol w:w="5538"/>
        <w:gridCol w:w="2410"/>
      </w:tblGrid>
      <w:tr>
        <w:tblPrEx>
          <w:tblLayout w:type="fixed"/>
          <w:tblCellMar>
            <w:top w:w="0" w:type="dxa"/>
            <w:left w:w="108" w:type="dxa"/>
            <w:bottom w:w="0" w:type="dxa"/>
            <w:right w:w="108" w:type="dxa"/>
          </w:tblCellMar>
        </w:tblPrEx>
        <w:trPr>
          <w:trHeight w:val="52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5538" w:type="dxa"/>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 xml:space="preserve">         材料名称</w:t>
            </w:r>
          </w:p>
        </w:tc>
        <w:tc>
          <w:tcPr>
            <w:tcW w:w="2410" w:type="dxa"/>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 xml:space="preserve"> 材料形式</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553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南山区人才安居定向配租补租申报表。</w:t>
            </w:r>
          </w:p>
        </w:tc>
        <w:tc>
          <w:tcPr>
            <w:tcW w:w="2410"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5538"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三证合一新版营业执照（未换领三证合一新版营业执照的，提交原旧版营业执照、组织机构代码证书、税务登记证书）、法定代表人（或非法人企业负责人）身份证复印件。</w:t>
            </w:r>
          </w:p>
        </w:tc>
        <w:tc>
          <w:tcPr>
            <w:tcW w:w="2410"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5538"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上年度纳税证明（2018年1月1日至12月31日）。</w:t>
            </w:r>
          </w:p>
        </w:tc>
        <w:tc>
          <w:tcPr>
            <w:tcW w:w="241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5538"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hint="eastAsia" w:ascii="宋体" w:hAnsi="宋体" w:cs="Segoe UI"/>
                <w:color w:val="000000"/>
                <w:kern w:val="0"/>
                <w:sz w:val="24"/>
                <w:szCs w:val="24"/>
                <w:highlight w:val="none"/>
              </w:rPr>
              <w:t>获得军工涉密业务咨询服务安全保密条件备案证书且在</w:t>
            </w:r>
            <w:r>
              <w:rPr>
                <w:rFonts w:ascii="宋体" w:hAnsi="宋体" w:cs="Segoe UI"/>
                <w:color w:val="000000"/>
                <w:kern w:val="0"/>
                <w:sz w:val="24"/>
                <w:szCs w:val="24"/>
                <w:highlight w:val="none"/>
              </w:rPr>
              <w:t>有效期内</w:t>
            </w:r>
            <w:r>
              <w:rPr>
                <w:rFonts w:hint="eastAsia" w:ascii="宋体" w:hAnsi="宋体" w:cs="Segoe UI"/>
                <w:color w:val="000000"/>
                <w:kern w:val="0"/>
                <w:sz w:val="24"/>
                <w:szCs w:val="24"/>
                <w:highlight w:val="none"/>
              </w:rPr>
              <w:t>。</w:t>
            </w:r>
          </w:p>
        </w:tc>
        <w:tc>
          <w:tcPr>
            <w:tcW w:w="241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通过区</w:t>
            </w:r>
            <w:r>
              <w:rPr>
                <w:rFonts w:ascii="宋体" w:hAnsi="宋体"/>
                <w:color w:val="000000"/>
                <w:kern w:val="0"/>
                <w:sz w:val="24"/>
                <w:highlight w:val="none"/>
              </w:rPr>
              <w:t>科创局</w:t>
            </w:r>
            <w:r>
              <w:rPr>
                <w:rFonts w:hint="eastAsia" w:ascii="宋体" w:hAnsi="宋体"/>
                <w:color w:val="000000"/>
                <w:kern w:val="0"/>
                <w:sz w:val="24"/>
                <w:highlight w:val="none"/>
              </w:rPr>
              <w:t>指定的有相关资质的机构审核，无需上传</w:t>
            </w:r>
          </w:p>
        </w:tc>
      </w:tr>
      <w:tr>
        <w:tblPrEx>
          <w:tblLayout w:type="fixed"/>
          <w:tblCellMar>
            <w:top w:w="0" w:type="dxa"/>
            <w:left w:w="108" w:type="dxa"/>
            <w:bottom w:w="0" w:type="dxa"/>
            <w:right w:w="108" w:type="dxa"/>
          </w:tblCellMar>
        </w:tblPrEx>
        <w:trPr>
          <w:trHeight w:val="64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5538"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申报定向配租补租人才明细表。</w:t>
            </w:r>
          </w:p>
        </w:tc>
        <w:tc>
          <w:tcPr>
            <w:tcW w:w="241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sz w:val="24"/>
                <w:szCs w:val="24"/>
                <w:highlight w:val="none"/>
              </w:rPr>
              <w:t>在“申报系统”中直接填报，或下载模板填写上传</w:t>
            </w:r>
          </w:p>
        </w:tc>
      </w:tr>
    </w:tbl>
    <w:p>
      <w:pPr>
        <w:widowControl/>
        <w:shd w:val="clear" w:color="auto" w:fill="FFFFFF"/>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4、配额上限</w:t>
      </w:r>
    </w:p>
    <w:p>
      <w:pPr>
        <w:widowControl/>
        <w:shd w:val="clear" w:color="auto" w:fill="FFFFFF"/>
        <w:spacing w:line="360" w:lineRule="auto"/>
        <w:ind w:firstLine="480" w:firstLineChars="200"/>
        <w:rPr>
          <w:rFonts w:hint="eastAsia" w:ascii="宋体"/>
          <w:b/>
          <w:color w:val="000000"/>
          <w:kern w:val="0"/>
          <w:sz w:val="24"/>
          <w:highlight w:val="none"/>
        </w:rPr>
      </w:pPr>
      <w:r>
        <w:rPr>
          <w:rFonts w:hint="eastAsia" w:ascii="宋体" w:hAnsi="宋体" w:cs="Segoe UI"/>
          <w:color w:val="000000"/>
          <w:kern w:val="0"/>
          <w:sz w:val="24"/>
          <w:szCs w:val="24"/>
          <w:highlight w:val="none"/>
        </w:rPr>
        <w:t>补租配额统一上限40套，配租配额统一上限3套。</w:t>
      </w:r>
    </w:p>
    <w:p>
      <w:pPr>
        <w:widowControl/>
        <w:shd w:val="clear" w:color="auto" w:fill="FFFFFF"/>
        <w:spacing w:line="360" w:lineRule="auto"/>
        <w:ind w:firstLine="482" w:firstLineChars="200"/>
        <w:rPr>
          <w:rFonts w:hint="eastAsia" w:ascii="宋体"/>
          <w:b/>
          <w:color w:val="000000"/>
          <w:kern w:val="0"/>
          <w:sz w:val="24"/>
          <w:highlight w:val="none"/>
        </w:rPr>
      </w:pPr>
    </w:p>
    <w:p>
      <w:pPr>
        <w:widowControl/>
        <w:shd w:val="clear" w:color="auto" w:fill="FFFFFF"/>
        <w:spacing w:line="360" w:lineRule="auto"/>
        <w:jc w:val="left"/>
        <w:rPr>
          <w:rFonts w:hint="eastAsia" w:ascii="宋体" w:hAnsi="宋体" w:cs="Segoe UI"/>
          <w:color w:val="000000"/>
          <w:kern w:val="0"/>
          <w:sz w:val="24"/>
          <w:highlight w:val="none"/>
        </w:rPr>
      </w:pPr>
    </w:p>
    <w:p>
      <w:pPr>
        <w:widowControl/>
        <w:shd w:val="clear" w:color="auto" w:fill="FFFFFF"/>
        <w:spacing w:line="360" w:lineRule="auto"/>
        <w:jc w:val="center"/>
        <w:rPr>
          <w:rFonts w:hint="eastAsia" w:ascii="宋体" w:hAnsi="宋体" w:cs="Segoe UI"/>
          <w:color w:val="000000"/>
          <w:kern w:val="0"/>
          <w:sz w:val="24"/>
          <w:highlight w:val="none"/>
        </w:rPr>
      </w:pPr>
      <w:r>
        <w:rPr>
          <w:rFonts w:hint="eastAsia" w:ascii="宋体" w:hAnsi="宋体"/>
          <w:b/>
          <w:color w:val="000000"/>
          <w:kern w:val="0"/>
          <w:sz w:val="36"/>
          <w:szCs w:val="36"/>
          <w:highlight w:val="none"/>
        </w:rPr>
        <w:t>Ⅵ 中小型文化创意类企业</w:t>
      </w:r>
      <w:r>
        <w:rPr>
          <w:rFonts w:hint="eastAsia" w:ascii="宋体" w:hAnsi="宋体" w:cs="Segoe UI"/>
          <w:color w:val="000000"/>
          <w:kern w:val="0"/>
          <w:sz w:val="24"/>
          <w:highlight w:val="none"/>
        </w:rPr>
        <w:t>（</w:t>
      </w:r>
      <w:r>
        <w:rPr>
          <w:rFonts w:hint="eastAsia"/>
          <w:color w:val="000000"/>
          <w:szCs w:val="21"/>
          <w:highlight w:val="none"/>
        </w:rPr>
        <w:t>区文化广电旅游体育局</w:t>
      </w:r>
      <w:r>
        <w:rPr>
          <w:rFonts w:hint="eastAsia" w:ascii="宋体" w:hAnsi="宋体" w:cs="Segoe UI"/>
          <w:color w:val="000000"/>
          <w:kern w:val="0"/>
          <w:sz w:val="24"/>
          <w:highlight w:val="none"/>
        </w:rPr>
        <w:t>）</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p>
    <w:p>
      <w:pPr>
        <w:widowControl/>
        <w:shd w:val="clear" w:color="auto" w:fill="FFFFFF"/>
        <w:spacing w:line="360" w:lineRule="auto"/>
        <w:ind w:firstLine="482" w:firstLineChars="200"/>
        <w:jc w:val="left"/>
        <w:rPr>
          <w:rFonts w:hint="eastAsia" w:ascii="宋体" w:hAnsi="宋体" w:cs="Segoe UI"/>
          <w:b/>
          <w:color w:val="000000"/>
          <w:kern w:val="0"/>
          <w:sz w:val="24"/>
          <w:highlight w:val="none"/>
        </w:rPr>
      </w:pPr>
      <w:r>
        <w:rPr>
          <w:rFonts w:hint="eastAsia" w:ascii="宋体" w:hAnsi="宋体" w:cs="Segoe UI"/>
          <w:b/>
          <w:color w:val="000000"/>
          <w:kern w:val="0"/>
          <w:sz w:val="24"/>
          <w:highlight w:val="none"/>
        </w:rPr>
        <w:t>（一）分类标准（符合其中一项即可）</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1、文化创意企业；</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2、文化创意园区。</w:t>
      </w:r>
    </w:p>
    <w:p>
      <w:pPr>
        <w:widowControl/>
        <w:shd w:val="clear" w:color="auto" w:fill="FFFFFF"/>
        <w:spacing w:line="360" w:lineRule="auto"/>
        <w:ind w:firstLine="482" w:firstLineChars="200"/>
        <w:jc w:val="left"/>
        <w:rPr>
          <w:rFonts w:hint="eastAsia" w:ascii="宋体" w:hAnsi="宋体" w:cs="Segoe UI"/>
          <w:b/>
          <w:color w:val="000000"/>
          <w:kern w:val="0"/>
          <w:sz w:val="24"/>
          <w:highlight w:val="none"/>
        </w:rPr>
      </w:pPr>
      <w:r>
        <w:rPr>
          <w:rFonts w:hint="eastAsia" w:ascii="宋体" w:hAnsi="宋体" w:cs="Segoe UI"/>
          <w:b/>
          <w:color w:val="000000"/>
          <w:kern w:val="0"/>
          <w:sz w:val="24"/>
          <w:highlight w:val="none"/>
        </w:rPr>
        <w:t>（二）申报条件</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1、文化创意企业（须同时具备）</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（1）工商注册和税务登记均在南山区；</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（2）属于《深圳市文化创意产业振兴发展规划》重点发展领域；</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（3）在南山区上年度纳税为50万元以上（含50万元）且500万元以下；</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（4）人才规模达20人以上</w:t>
      </w:r>
      <w:r>
        <w:rPr>
          <w:rFonts w:hint="eastAsia" w:ascii="宋体" w:hAnsi="宋体" w:cs="Segoe UI"/>
          <w:color w:val="000000"/>
          <w:kern w:val="0"/>
          <w:sz w:val="24"/>
          <w:szCs w:val="24"/>
          <w:highlight w:val="none"/>
        </w:rPr>
        <w:t>(以通告日期社保登记为准，下同)</w:t>
      </w:r>
      <w:r>
        <w:rPr>
          <w:rFonts w:hint="eastAsia" w:ascii="宋体" w:hAnsi="宋体" w:cs="Segoe UI"/>
          <w:color w:val="000000"/>
          <w:kern w:val="0"/>
          <w:sz w:val="24"/>
          <w:highlight w:val="none"/>
        </w:rPr>
        <w:t>。</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2、文化创意园区（须同时具备）</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（1）工商注册和税务登记均在南山区；</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（2）属于《深圳市文化创意产业振兴发展规划》重点发展领域；</w:t>
      </w:r>
    </w:p>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r>
        <w:rPr>
          <w:rFonts w:hint="eastAsia" w:ascii="宋体" w:hAnsi="宋体" w:cs="Segoe UI"/>
          <w:color w:val="000000"/>
          <w:kern w:val="0"/>
          <w:sz w:val="24"/>
          <w:highlight w:val="none"/>
        </w:rPr>
        <w:t>（3）获得市级及以上政府部门认定文化创意产业园区。</w:t>
      </w: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（三）评分细则</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1、根据税收贡献、统计贡献、人才规模三项指标，按权重比例计算出分值：税收贡献x40%</w:t>
      </w:r>
      <w:r>
        <w:rPr>
          <w:rFonts w:hint="eastAsia" w:ascii="宋体" w:hAnsi="宋体"/>
          <w:color w:val="000000"/>
          <w:kern w:val="0"/>
          <w:sz w:val="24"/>
          <w:highlight w:val="none"/>
        </w:rPr>
        <w:t>+</w:t>
      </w:r>
      <w:r>
        <w:rPr>
          <w:rFonts w:hint="eastAsia" w:ascii="宋体" w:hAnsi="宋体" w:cs="Segoe UI"/>
          <w:color w:val="000000"/>
          <w:kern w:val="0"/>
          <w:sz w:val="24"/>
          <w:szCs w:val="24"/>
          <w:highlight w:val="none"/>
        </w:rPr>
        <w:t>统计贡献x40%</w:t>
      </w:r>
      <w:r>
        <w:rPr>
          <w:rFonts w:hint="eastAsia" w:ascii="宋体" w:hAnsi="宋体"/>
          <w:color w:val="000000"/>
          <w:kern w:val="0"/>
          <w:sz w:val="24"/>
          <w:highlight w:val="none"/>
        </w:rPr>
        <w:t>+人才规模</w:t>
      </w:r>
      <w:r>
        <w:rPr>
          <w:rFonts w:hint="eastAsia" w:ascii="宋体" w:hAnsi="宋体" w:cs="Segoe UI"/>
          <w:color w:val="000000"/>
          <w:kern w:val="0"/>
          <w:sz w:val="24"/>
          <w:szCs w:val="24"/>
          <w:highlight w:val="none"/>
        </w:rPr>
        <w:t>x20%（统计贡献由南山区统计局对其在库企业进行统一统计）；</w:t>
      </w:r>
    </w:p>
    <w:p>
      <w:pPr>
        <w:widowControl/>
        <w:shd w:val="clear" w:color="auto" w:fill="FFFFFF"/>
        <w:spacing w:line="360" w:lineRule="auto"/>
        <w:ind w:firstLine="48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2、统计贡献计算方法：统计</w:t>
      </w:r>
      <w:r>
        <w:rPr>
          <w:rFonts w:ascii="宋体" w:hAnsi="宋体" w:cs="Segoe UI"/>
          <w:color w:val="000000"/>
          <w:kern w:val="0"/>
          <w:sz w:val="24"/>
          <w:szCs w:val="24"/>
          <w:highlight w:val="none"/>
        </w:rPr>
        <w:t>贡献</w:t>
      </w:r>
      <w:r>
        <w:rPr>
          <w:rFonts w:hint="eastAsia" w:ascii="宋体" w:hAnsi="宋体" w:cs="Segoe UI"/>
          <w:color w:val="000000"/>
          <w:kern w:val="0"/>
          <w:sz w:val="24"/>
          <w:szCs w:val="24"/>
          <w:highlight w:val="none"/>
        </w:rPr>
        <w:t xml:space="preserve"> </w:t>
      </w:r>
      <w:r>
        <w:rPr>
          <w:rFonts w:ascii="宋体" w:hAnsi="宋体" w:cs="Segoe UI"/>
          <w:color w:val="000000"/>
          <w:kern w:val="0"/>
          <w:sz w:val="24"/>
          <w:szCs w:val="24"/>
          <w:highlight w:val="none"/>
        </w:rPr>
        <w:t>= 在库基本分</w:t>
      </w:r>
      <w:r>
        <w:rPr>
          <w:rFonts w:hint="eastAsia" w:ascii="宋体" w:hAnsi="宋体" w:cs="Segoe UI"/>
          <w:color w:val="000000"/>
          <w:kern w:val="0"/>
          <w:sz w:val="24"/>
          <w:szCs w:val="24"/>
          <w:highlight w:val="none"/>
        </w:rPr>
        <w:t>（50分）+ 排名</w:t>
      </w:r>
      <w:r>
        <w:rPr>
          <w:rFonts w:ascii="宋体" w:hAnsi="宋体" w:cs="Segoe UI"/>
          <w:color w:val="000000"/>
          <w:kern w:val="0"/>
          <w:sz w:val="24"/>
          <w:szCs w:val="24"/>
          <w:highlight w:val="none"/>
        </w:rPr>
        <w:t>加分</w:t>
      </w:r>
      <w:r>
        <w:rPr>
          <w:rFonts w:hint="eastAsia" w:ascii="宋体" w:hAnsi="宋体" w:cs="Segoe UI"/>
          <w:color w:val="000000"/>
          <w:kern w:val="0"/>
          <w:sz w:val="24"/>
          <w:szCs w:val="24"/>
          <w:highlight w:val="none"/>
        </w:rPr>
        <w:t>（50分）</w:t>
      </w:r>
      <w:r>
        <w:rPr>
          <w:rFonts w:hint="eastAsia" w:ascii="宋体" w:hAnsi="宋体" w:cs="Segoe UI"/>
          <w:color w:val="000000"/>
          <w:kern w:val="0"/>
          <w:sz w:val="24"/>
          <w:szCs w:val="24"/>
          <w:highlight w:val="none"/>
          <w:lang w:val="en-US" w:eastAsia="zh-CN"/>
        </w:rPr>
        <w:t>+增速加分（50）</w:t>
      </w:r>
      <w:r>
        <w:rPr>
          <w:rFonts w:hint="eastAsia" w:ascii="宋体" w:hAnsi="宋体" w:cs="Segoe UI"/>
          <w:color w:val="000000"/>
          <w:kern w:val="0"/>
          <w:sz w:val="24"/>
          <w:szCs w:val="24"/>
          <w:highlight w:val="none"/>
          <w:lang w:eastAsia="zh-CN"/>
        </w:rPr>
        <w:t>（说明：</w:t>
      </w:r>
      <w:r>
        <w:rPr>
          <w:rFonts w:hint="eastAsia" w:ascii="宋体" w:hAnsi="宋体" w:cs="Segoe UI"/>
          <w:color w:val="000000"/>
          <w:kern w:val="0"/>
          <w:sz w:val="24"/>
          <w:szCs w:val="24"/>
          <w:highlight w:val="none"/>
          <w:lang w:val="en-US" w:eastAsia="zh-CN"/>
        </w:rPr>
        <w:t>排名、增速均以上年度“定报”数据为准，不在库企业，无“统计贡献”分值）。</w:t>
      </w:r>
    </w:p>
    <w:p>
      <w:pPr>
        <w:widowControl/>
        <w:shd w:val="clear" w:color="auto" w:fill="FFFFFF"/>
        <w:spacing w:line="360" w:lineRule="auto"/>
        <w:ind w:firstLine="480"/>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①</w:t>
      </w:r>
      <w:r>
        <w:rPr>
          <w:rFonts w:hint="eastAsia" w:ascii="宋体" w:hAnsi="宋体" w:cs="Segoe UI"/>
          <w:color w:val="000000"/>
          <w:kern w:val="0"/>
          <w:sz w:val="24"/>
          <w:szCs w:val="24"/>
          <w:highlight w:val="none"/>
        </w:rPr>
        <w:t>基本</w:t>
      </w:r>
      <w:r>
        <w:rPr>
          <w:rFonts w:ascii="宋体" w:hAnsi="宋体" w:cs="Segoe UI"/>
          <w:color w:val="000000"/>
          <w:kern w:val="0"/>
          <w:sz w:val="24"/>
          <w:szCs w:val="24"/>
          <w:highlight w:val="none"/>
        </w:rPr>
        <w:t>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lang w:eastAsia="zh-CN"/>
        </w:rPr>
        <w:t>南山区在库企业，且年度经营数据达到国家规定限额标准，配合做好统计数据报送工作的，得基本分50分；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lang w:eastAsia="zh-CN"/>
        </w:rPr>
        <w:t>②</w:t>
      </w:r>
      <w:r>
        <w:rPr>
          <w:rFonts w:hint="eastAsia" w:ascii="宋体" w:hAnsi="宋体" w:cs="Segoe UI"/>
          <w:color w:val="000000"/>
          <w:kern w:val="0"/>
          <w:sz w:val="24"/>
          <w:szCs w:val="24"/>
          <w:highlight w:val="none"/>
        </w:rPr>
        <w:t>排名</w:t>
      </w:r>
      <w:r>
        <w:rPr>
          <w:rFonts w:ascii="宋体" w:hAnsi="宋体" w:cs="Segoe UI"/>
          <w:color w:val="000000"/>
          <w:kern w:val="0"/>
          <w:sz w:val="24"/>
          <w:szCs w:val="24"/>
          <w:highlight w:val="none"/>
        </w:rPr>
        <w:t>加分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：根据企业在本行业的年度排名，</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%的企业加</w:t>
      </w:r>
      <w:r>
        <w:rPr>
          <w:rFonts w:hint="eastAsia" w:ascii="宋体" w:hAnsi="宋体" w:cs="Segoe UI"/>
          <w:color w:val="000000"/>
          <w:kern w:val="0"/>
          <w:sz w:val="24"/>
          <w:szCs w:val="24"/>
          <w:highlight w:val="none"/>
        </w:rPr>
        <w:t>50分</w:t>
      </w:r>
      <w:r>
        <w:rPr>
          <w:rFonts w:ascii="宋体" w:hAnsi="宋体" w:cs="Segoe UI"/>
          <w:color w:val="000000"/>
          <w:kern w:val="0"/>
          <w:sz w:val="24"/>
          <w:szCs w:val="24"/>
          <w:highlight w:val="none"/>
        </w:rPr>
        <w:t>，行业排名前</w:t>
      </w:r>
      <w:r>
        <w:rPr>
          <w:rFonts w:hint="eastAsia" w:ascii="宋体" w:hAnsi="宋体" w:cs="Segoe UI"/>
          <w:color w:val="000000"/>
          <w:kern w:val="0"/>
          <w:sz w:val="24"/>
          <w:szCs w:val="24"/>
          <w:highlight w:val="none"/>
        </w:rPr>
        <w:t>20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的企业（不含</w:t>
      </w:r>
      <w:r>
        <w:rPr>
          <w:rFonts w:ascii="宋体" w:hAnsi="宋体" w:cs="Segoe UI"/>
          <w:color w:val="000000"/>
          <w:kern w:val="0"/>
          <w:sz w:val="24"/>
          <w:szCs w:val="24"/>
          <w:highlight w:val="none"/>
        </w:rPr>
        <w:t>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后同</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加</w:t>
      </w:r>
      <w:r>
        <w:rPr>
          <w:rFonts w:hint="eastAsia" w:ascii="宋体" w:hAnsi="宋体" w:cs="Segoe UI"/>
          <w:color w:val="000000"/>
          <w:kern w:val="0"/>
          <w:sz w:val="24"/>
          <w:szCs w:val="24"/>
          <w:highlight w:val="none"/>
        </w:rPr>
        <w:t>40分</w:t>
      </w:r>
      <w:r>
        <w:rPr>
          <w:rFonts w:ascii="宋体" w:hAnsi="宋体" w:cs="Segoe UI"/>
          <w:color w:val="000000"/>
          <w:kern w:val="0"/>
          <w:sz w:val="24"/>
          <w:szCs w:val="24"/>
          <w:highlight w:val="none"/>
        </w:rPr>
        <w:t>，行业排名前3</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加3</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，行业排名前4</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加2</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排名在</w:t>
      </w:r>
      <w:r>
        <w:rPr>
          <w:rFonts w:hint="eastAsia" w:ascii="宋体" w:hAnsi="宋体" w:cs="Segoe UI"/>
          <w:color w:val="000000"/>
          <w:kern w:val="0"/>
          <w:sz w:val="24"/>
          <w:szCs w:val="24"/>
          <w:highlight w:val="none"/>
        </w:rPr>
        <w:t>前40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之后</w:t>
      </w:r>
      <w:r>
        <w:rPr>
          <w:rFonts w:ascii="宋体" w:hAnsi="宋体" w:cs="Segoe UI"/>
          <w:color w:val="000000"/>
          <w:kern w:val="0"/>
          <w:sz w:val="24"/>
          <w:szCs w:val="24"/>
          <w:highlight w:val="none"/>
        </w:rPr>
        <w:t>的</w:t>
      </w:r>
      <w:r>
        <w:rPr>
          <w:rFonts w:hint="eastAsia" w:ascii="宋体" w:hAnsi="宋体" w:cs="Segoe UI"/>
          <w:color w:val="000000"/>
          <w:kern w:val="0"/>
          <w:sz w:val="24"/>
          <w:szCs w:val="24"/>
          <w:highlight w:val="none"/>
        </w:rPr>
        <w:t>加10分</w:t>
      </w:r>
      <w:r>
        <w:rPr>
          <w:rFonts w:ascii="宋体" w:hAnsi="宋体" w:cs="Segoe UI"/>
          <w:color w:val="000000"/>
          <w:kern w:val="0"/>
          <w:sz w:val="24"/>
          <w:szCs w:val="24"/>
          <w:highlight w:val="none"/>
        </w:rPr>
        <w:t>，在库但无报送数据的，</w:t>
      </w:r>
      <w:r>
        <w:rPr>
          <w:rFonts w:hint="eastAsia" w:ascii="宋体" w:hAnsi="宋体" w:cs="Segoe UI"/>
          <w:color w:val="000000"/>
          <w:kern w:val="0"/>
          <w:sz w:val="24"/>
          <w:szCs w:val="24"/>
          <w:highlight w:val="none"/>
        </w:rPr>
        <w:t>不</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无加分</w:t>
      </w:r>
      <w:r>
        <w:rPr>
          <w:rFonts w:hint="eastAsia" w:ascii="宋体" w:hAnsi="宋体" w:cs="Segoe UI"/>
          <w:color w:val="000000"/>
          <w:kern w:val="0"/>
          <w:sz w:val="24"/>
          <w:szCs w:val="24"/>
          <w:highlight w:val="none"/>
          <w:lang w:eastAsia="zh-CN"/>
        </w:rPr>
        <w:t>，</w:t>
      </w:r>
      <w:r>
        <w:rPr>
          <w:rFonts w:hint="eastAsia" w:ascii="宋体" w:hAnsi="宋体" w:cs="Segoe UI"/>
          <w:color w:val="000000"/>
          <w:kern w:val="0"/>
          <w:sz w:val="24"/>
          <w:szCs w:val="24"/>
          <w:highlight w:val="none"/>
        </w:rPr>
        <w:t>（说明：行业</w:t>
      </w:r>
      <w:r>
        <w:rPr>
          <w:rFonts w:ascii="宋体" w:hAnsi="宋体" w:cs="Segoe UI"/>
          <w:color w:val="000000"/>
          <w:kern w:val="0"/>
          <w:sz w:val="24"/>
          <w:szCs w:val="24"/>
          <w:highlight w:val="none"/>
        </w:rPr>
        <w:t>分类</w:t>
      </w:r>
      <w:r>
        <w:rPr>
          <w:rFonts w:hint="eastAsia" w:ascii="宋体" w:hAnsi="宋体" w:cs="Segoe UI"/>
          <w:color w:val="000000"/>
          <w:kern w:val="0"/>
          <w:sz w:val="24"/>
          <w:szCs w:val="24"/>
          <w:highlight w:val="none"/>
        </w:rPr>
        <w:t>按</w:t>
      </w:r>
      <w:r>
        <w:rPr>
          <w:rFonts w:ascii="宋体" w:hAnsi="宋体" w:cs="Segoe UI"/>
          <w:color w:val="000000"/>
          <w:kern w:val="0"/>
          <w:sz w:val="24"/>
          <w:szCs w:val="24"/>
          <w:highlight w:val="none"/>
        </w:rPr>
        <w:t>照</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国民经济行业分类标准</w:t>
      </w:r>
      <w:r>
        <w:rPr>
          <w:rFonts w:hint="eastAsia" w:ascii="宋体" w:hAnsi="宋体" w:cs="Segoe UI"/>
          <w:color w:val="000000"/>
          <w:kern w:val="0"/>
          <w:sz w:val="24"/>
          <w:szCs w:val="24"/>
          <w:highlight w:val="none"/>
        </w:rPr>
        <w:t>》以国家统计局联网直报系统中确定</w:t>
      </w:r>
      <w:r>
        <w:rPr>
          <w:rFonts w:ascii="宋体" w:hAnsi="宋体" w:cs="Segoe UI"/>
          <w:color w:val="000000"/>
          <w:kern w:val="0"/>
          <w:sz w:val="24"/>
          <w:szCs w:val="24"/>
          <w:highlight w:val="none"/>
        </w:rPr>
        <w:t>的行业代码为准</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的</w:t>
      </w:r>
      <w:r>
        <w:rPr>
          <w:rFonts w:ascii="宋体" w:hAnsi="宋体" w:cs="Segoe UI"/>
          <w:color w:val="000000"/>
          <w:kern w:val="0"/>
          <w:sz w:val="24"/>
          <w:szCs w:val="24"/>
          <w:highlight w:val="none"/>
        </w:rPr>
        <w:t>依据</w:t>
      </w:r>
      <w:r>
        <w:rPr>
          <w:rFonts w:hint="eastAsia" w:ascii="宋体" w:hAnsi="宋体" w:cs="Segoe UI"/>
          <w:color w:val="000000"/>
          <w:kern w:val="0"/>
          <w:sz w:val="24"/>
          <w:szCs w:val="24"/>
          <w:highlight w:val="none"/>
        </w:rPr>
        <w:t>：根据</w:t>
      </w:r>
      <w:r>
        <w:rPr>
          <w:rFonts w:ascii="宋体" w:hAnsi="宋体" w:cs="Segoe UI"/>
          <w:color w:val="000000"/>
          <w:kern w:val="0"/>
          <w:sz w:val="24"/>
          <w:szCs w:val="24"/>
          <w:highlight w:val="none"/>
        </w:rPr>
        <w:t>各行业的关键指标进行排名）</w:t>
      </w:r>
      <w:r>
        <w:rPr>
          <w:rFonts w:hint="eastAsia" w:ascii="宋体" w:hAnsi="宋体" w:cs="Segoe UI"/>
          <w:color w:val="000000"/>
          <w:kern w:val="0"/>
          <w:sz w:val="24"/>
          <w:szCs w:val="24"/>
          <w:highlight w:val="none"/>
        </w:rPr>
        <w:t>；</w:t>
      </w:r>
    </w:p>
    <w:p>
      <w:pPr>
        <w:widowControl/>
        <w:shd w:val="clear" w:color="auto" w:fill="FFFFFF"/>
        <w:spacing w:line="360" w:lineRule="auto"/>
        <w:ind w:firstLine="480"/>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③增速加分计算：</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eastAsia="zh-CN"/>
        </w:rPr>
        <w:t>行业排名前</w:t>
      </w:r>
      <w:r>
        <w:rPr>
          <w:rFonts w:hint="eastAsia" w:ascii="宋体" w:hAnsi="宋体" w:cs="Segoe UI"/>
          <w:color w:val="000000"/>
          <w:kern w:val="0"/>
          <w:sz w:val="24"/>
          <w:szCs w:val="24"/>
          <w:highlight w:val="none"/>
          <w:lang w:val="en-US" w:eastAsia="zh-CN"/>
        </w:rPr>
        <w:t>10%的企业：增速达15%及以上的，加50分，增速为10%（含）～15%的，加45分，增速为5%（含）～10%的，加40分，增速不足5%的，加30分；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行业排名前20%的企业：增速达25%及以上的，加45分，增速为15%（含）～25%的，加40分，增速为5%（含）～15%的，加35分，增速不足5%的，加30分；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行业排名前30%的企业：增速达35%及以上的，加40分，增速为20%（含）～35%的，加35分，增速为10%（含）～20%的，加30分，增速不足10%的，加25分；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行业排名前40%的企业：增速达45%及以上的，加35分，增速为30%（含）～45%的，加30分，增速为15%（含）～30%的，加25分，增速不足15%的，加20分；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行业排名前40%之后的企业：增速达60%及以上的，加30分，增速为30%（含）～60%的，加20分，增速不足30%的，加10分；</w:t>
      </w:r>
    </w:p>
    <w:p>
      <w:pPr>
        <w:widowControl/>
        <w:shd w:val="clear" w:color="auto" w:fill="FFFFFF"/>
        <w:spacing w:line="360" w:lineRule="auto"/>
        <w:ind w:firstLine="480"/>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上年“年度入库企业”，按在库企业基础分及增速排名最低一档计算，即统计贡献为基础分50+增速加分10分。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3、统计贡献行业排名由南山区统计局提供，企业在申报时无需填写，“申报系统”中自动生成，可自行查看；</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4、税收贡献，上一年度（1月1日-12月31日）税款缴纳时间为准，不考虑税款的所属期，含代扣代缴税费。</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具体细则如下：</w:t>
      </w:r>
    </w:p>
    <w:tbl>
      <w:tblPr>
        <w:tblStyle w:val="8"/>
        <w:tblW w:w="9180" w:type="dxa"/>
        <w:tblInd w:w="-72" w:type="dxa"/>
        <w:tblLayout w:type="fixed"/>
        <w:tblCellMar>
          <w:top w:w="0" w:type="dxa"/>
          <w:left w:w="0" w:type="dxa"/>
          <w:bottom w:w="0" w:type="dxa"/>
          <w:right w:w="0" w:type="dxa"/>
        </w:tblCellMar>
      </w:tblPr>
      <w:tblGrid>
        <w:gridCol w:w="720"/>
        <w:gridCol w:w="1260"/>
        <w:gridCol w:w="6300"/>
        <w:gridCol w:w="900"/>
      </w:tblGrid>
      <w:tr>
        <w:tblPrEx>
          <w:tblLayout w:type="fixed"/>
          <w:tblCellMar>
            <w:top w:w="0" w:type="dxa"/>
            <w:left w:w="0" w:type="dxa"/>
            <w:bottom w:w="0" w:type="dxa"/>
            <w:right w:w="0" w:type="dxa"/>
          </w:tblCellMar>
        </w:tblPrEx>
        <w:trPr>
          <w:trHeight w:val="649" w:hRule="atLeast"/>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序号</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指标名称</w:t>
            </w:r>
          </w:p>
        </w:tc>
        <w:tc>
          <w:tcPr>
            <w:tcW w:w="63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评分说明</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得分</w:t>
            </w:r>
          </w:p>
        </w:tc>
      </w:tr>
      <w:tr>
        <w:tblPrEx>
          <w:tblLayout w:type="fixed"/>
          <w:tblCellMar>
            <w:top w:w="0" w:type="dxa"/>
            <w:left w:w="0" w:type="dxa"/>
            <w:bottom w:w="0" w:type="dxa"/>
            <w:right w:w="0" w:type="dxa"/>
          </w:tblCellMar>
        </w:tblPrEx>
        <w:trPr>
          <w:trHeight w:val="771"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税收贡献</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在南山区纳税达50万元，得60分；纳税额每增加1万元，增加0.1分，满分100分。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A</w:t>
            </w:r>
          </w:p>
        </w:tc>
      </w:tr>
      <w:tr>
        <w:tblPrEx>
          <w:tblLayout w:type="fixed"/>
          <w:tblCellMar>
            <w:top w:w="0" w:type="dxa"/>
            <w:left w:w="0" w:type="dxa"/>
            <w:bottom w:w="0" w:type="dxa"/>
            <w:right w:w="0" w:type="dxa"/>
          </w:tblCellMar>
        </w:tblPrEx>
        <w:trPr>
          <w:trHeight w:val="771"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s="Segoe UI"/>
                <w:color w:val="000000"/>
                <w:kern w:val="0"/>
                <w:sz w:val="24"/>
                <w:szCs w:val="24"/>
                <w:highlight w:val="none"/>
              </w:rPr>
              <w:t>统计贡献</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①</w:t>
            </w:r>
            <w:r>
              <w:rPr>
                <w:rFonts w:hint="eastAsia" w:ascii="宋体" w:hAnsi="宋体" w:cs="Segoe UI"/>
                <w:color w:val="000000"/>
                <w:kern w:val="0"/>
                <w:sz w:val="24"/>
                <w:szCs w:val="24"/>
                <w:highlight w:val="none"/>
              </w:rPr>
              <w:t>基本</w:t>
            </w:r>
            <w:r>
              <w:rPr>
                <w:rFonts w:ascii="宋体" w:hAnsi="宋体" w:cs="Segoe UI"/>
                <w:color w:val="000000"/>
                <w:kern w:val="0"/>
                <w:sz w:val="24"/>
                <w:szCs w:val="24"/>
                <w:highlight w:val="none"/>
              </w:rPr>
              <w:t>分</w:t>
            </w:r>
            <w:r>
              <w:rPr>
                <w:rFonts w:hint="eastAsia" w:ascii="宋体" w:hAnsi="宋体" w:cs="Segoe UI"/>
                <w:color w:val="000000"/>
                <w:kern w:val="0"/>
                <w:sz w:val="24"/>
                <w:szCs w:val="24"/>
                <w:highlight w:val="none"/>
              </w:rPr>
              <w:t>计算</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lang w:eastAsia="zh-CN"/>
              </w:rPr>
              <w:t>南山区在库企业，且年度经营数据达到国家规定限额标准，配合做好统计数据报送工作的，得基本分50分；</w:t>
            </w:r>
          </w:p>
          <w:p>
            <w:pPr>
              <w:widowControl/>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lang w:eastAsia="zh-CN"/>
              </w:rPr>
              <w:t>②</w:t>
            </w:r>
            <w:r>
              <w:rPr>
                <w:rFonts w:hint="eastAsia" w:ascii="宋体" w:hAnsi="宋体" w:cs="Segoe UI"/>
                <w:color w:val="000000"/>
                <w:kern w:val="0"/>
                <w:sz w:val="24"/>
                <w:szCs w:val="24"/>
                <w:highlight w:val="none"/>
              </w:rPr>
              <w:t>加分计算</w:t>
            </w:r>
            <w:r>
              <w:rPr>
                <w:rFonts w:ascii="宋体" w:hAnsi="宋体" w:cs="Segoe UI"/>
                <w:color w:val="000000"/>
                <w:kern w:val="0"/>
                <w:sz w:val="24"/>
                <w:szCs w:val="24"/>
                <w:highlight w:val="none"/>
              </w:rPr>
              <w:t>：根据企业在本行业的年度排名，</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%的企业加</w:t>
            </w:r>
            <w:r>
              <w:rPr>
                <w:rFonts w:hint="eastAsia" w:ascii="宋体" w:hAnsi="宋体" w:cs="Segoe UI"/>
                <w:color w:val="000000"/>
                <w:kern w:val="0"/>
                <w:sz w:val="24"/>
                <w:szCs w:val="24"/>
                <w:highlight w:val="none"/>
              </w:rPr>
              <w:t>50分</w:t>
            </w:r>
            <w:r>
              <w:rPr>
                <w:rFonts w:ascii="宋体" w:hAnsi="宋体" w:cs="Segoe UI"/>
                <w:color w:val="000000"/>
                <w:kern w:val="0"/>
                <w:sz w:val="24"/>
                <w:szCs w:val="24"/>
                <w:highlight w:val="none"/>
              </w:rPr>
              <w:t>，行业排名前</w:t>
            </w:r>
            <w:r>
              <w:rPr>
                <w:rFonts w:hint="eastAsia" w:ascii="宋体" w:hAnsi="宋体" w:cs="Segoe UI"/>
                <w:color w:val="000000"/>
                <w:kern w:val="0"/>
                <w:sz w:val="24"/>
                <w:szCs w:val="24"/>
                <w:highlight w:val="none"/>
              </w:rPr>
              <w:t>20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的企业（不含</w:t>
            </w:r>
            <w:r>
              <w:rPr>
                <w:rFonts w:ascii="宋体" w:hAnsi="宋体" w:cs="Segoe UI"/>
                <w:color w:val="000000"/>
                <w:kern w:val="0"/>
                <w:sz w:val="24"/>
                <w:szCs w:val="24"/>
                <w:highlight w:val="none"/>
              </w:rPr>
              <w:t>前</w:t>
            </w:r>
            <w:r>
              <w:rPr>
                <w:rFonts w:hint="eastAsia" w:ascii="宋体" w:hAnsi="宋体" w:cs="Segoe UI"/>
                <w:color w:val="000000"/>
                <w:kern w:val="0"/>
                <w:sz w:val="24"/>
                <w:szCs w:val="24"/>
                <w:highlight w:val="none"/>
              </w:rPr>
              <w:t>10%，</w:t>
            </w:r>
            <w:r>
              <w:rPr>
                <w:rFonts w:ascii="宋体" w:hAnsi="宋体" w:cs="Segoe UI"/>
                <w:color w:val="000000"/>
                <w:kern w:val="0"/>
                <w:sz w:val="24"/>
                <w:szCs w:val="24"/>
                <w:highlight w:val="none"/>
              </w:rPr>
              <w:t>后同</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加</w:t>
            </w:r>
            <w:r>
              <w:rPr>
                <w:rFonts w:hint="eastAsia" w:ascii="宋体" w:hAnsi="宋体" w:cs="Segoe UI"/>
                <w:color w:val="000000"/>
                <w:kern w:val="0"/>
                <w:sz w:val="24"/>
                <w:szCs w:val="24"/>
                <w:highlight w:val="none"/>
              </w:rPr>
              <w:t>40分</w:t>
            </w:r>
            <w:r>
              <w:rPr>
                <w:rFonts w:ascii="宋体" w:hAnsi="宋体" w:cs="Segoe UI"/>
                <w:color w:val="000000"/>
                <w:kern w:val="0"/>
                <w:sz w:val="24"/>
                <w:szCs w:val="24"/>
                <w:highlight w:val="none"/>
              </w:rPr>
              <w:t>，行业排名前3</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加3</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，行业排名前4</w:t>
            </w:r>
            <w:r>
              <w:rPr>
                <w:rFonts w:hint="eastAsia" w:ascii="宋体" w:hAnsi="宋体" w:cs="Segoe UI"/>
                <w:color w:val="000000"/>
                <w:kern w:val="0"/>
                <w:sz w:val="24"/>
                <w:szCs w:val="24"/>
                <w:highlight w:val="none"/>
              </w:rPr>
              <w:t>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的企业</w:t>
            </w:r>
            <w:r>
              <w:rPr>
                <w:rFonts w:ascii="宋体" w:hAnsi="宋体" w:cs="Segoe UI"/>
                <w:color w:val="000000"/>
                <w:kern w:val="0"/>
                <w:sz w:val="24"/>
                <w:szCs w:val="24"/>
                <w:highlight w:val="none"/>
              </w:rPr>
              <w:t>加2</w:t>
            </w:r>
            <w:r>
              <w:rPr>
                <w:rFonts w:hint="eastAsia" w:ascii="宋体" w:hAnsi="宋体" w:cs="Segoe UI"/>
                <w:color w:val="000000"/>
                <w:kern w:val="0"/>
                <w:sz w:val="24"/>
                <w:szCs w:val="24"/>
                <w:highlight w:val="none"/>
              </w:rPr>
              <w:t>0分</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行业</w:t>
            </w:r>
            <w:r>
              <w:rPr>
                <w:rFonts w:ascii="宋体" w:hAnsi="宋体" w:cs="Segoe UI"/>
                <w:color w:val="000000"/>
                <w:kern w:val="0"/>
                <w:sz w:val="24"/>
                <w:szCs w:val="24"/>
                <w:highlight w:val="none"/>
              </w:rPr>
              <w:t>排名在</w:t>
            </w:r>
            <w:r>
              <w:rPr>
                <w:rFonts w:hint="eastAsia" w:ascii="宋体" w:hAnsi="宋体" w:cs="Segoe UI"/>
                <w:color w:val="000000"/>
                <w:kern w:val="0"/>
                <w:sz w:val="24"/>
                <w:szCs w:val="24"/>
                <w:highlight w:val="none"/>
              </w:rPr>
              <w:t>前40</w:t>
            </w:r>
            <w:r>
              <w:rPr>
                <w:rFonts w:ascii="宋体" w:hAnsi="宋体" w:cs="Segoe UI"/>
                <w:color w:val="000000"/>
                <w:kern w:val="0"/>
                <w:sz w:val="24"/>
                <w:szCs w:val="24"/>
                <w:highlight w:val="none"/>
              </w:rPr>
              <w:t>%</w:t>
            </w:r>
            <w:r>
              <w:rPr>
                <w:rFonts w:hint="eastAsia" w:ascii="宋体" w:hAnsi="宋体" w:cs="Segoe UI"/>
                <w:color w:val="000000"/>
                <w:kern w:val="0"/>
                <w:sz w:val="24"/>
                <w:szCs w:val="24"/>
                <w:highlight w:val="none"/>
              </w:rPr>
              <w:t>之后</w:t>
            </w:r>
            <w:r>
              <w:rPr>
                <w:rFonts w:ascii="宋体" w:hAnsi="宋体" w:cs="Segoe UI"/>
                <w:color w:val="000000"/>
                <w:kern w:val="0"/>
                <w:sz w:val="24"/>
                <w:szCs w:val="24"/>
                <w:highlight w:val="none"/>
              </w:rPr>
              <w:t>的</w:t>
            </w:r>
            <w:r>
              <w:rPr>
                <w:rFonts w:hint="eastAsia" w:ascii="宋体" w:hAnsi="宋体" w:cs="Segoe UI"/>
                <w:color w:val="000000"/>
                <w:kern w:val="0"/>
                <w:sz w:val="24"/>
                <w:szCs w:val="24"/>
                <w:highlight w:val="none"/>
              </w:rPr>
              <w:t>加10分</w:t>
            </w:r>
            <w:r>
              <w:rPr>
                <w:rFonts w:ascii="宋体" w:hAnsi="宋体" w:cs="Segoe UI"/>
                <w:color w:val="000000"/>
                <w:kern w:val="0"/>
                <w:sz w:val="24"/>
                <w:szCs w:val="24"/>
                <w:highlight w:val="none"/>
              </w:rPr>
              <w:t>，在库但无报送数据的，</w:t>
            </w:r>
            <w:r>
              <w:rPr>
                <w:rFonts w:hint="eastAsia" w:ascii="宋体" w:hAnsi="宋体" w:cs="Segoe UI"/>
                <w:color w:val="000000"/>
                <w:kern w:val="0"/>
                <w:sz w:val="24"/>
                <w:szCs w:val="24"/>
                <w:highlight w:val="none"/>
              </w:rPr>
              <w:t>不</w:t>
            </w:r>
            <w:r>
              <w:rPr>
                <w:rFonts w:ascii="宋体" w:hAnsi="宋体" w:cs="Segoe UI"/>
                <w:color w:val="000000"/>
                <w:kern w:val="0"/>
                <w:sz w:val="24"/>
                <w:szCs w:val="24"/>
                <w:highlight w:val="none"/>
              </w:rPr>
              <w:t>排名</w:t>
            </w:r>
            <w:r>
              <w:rPr>
                <w:rFonts w:hint="eastAsia" w:ascii="宋体" w:hAnsi="宋体" w:cs="Segoe UI"/>
                <w:color w:val="000000"/>
                <w:kern w:val="0"/>
                <w:sz w:val="24"/>
                <w:szCs w:val="24"/>
                <w:highlight w:val="none"/>
              </w:rPr>
              <w:t>，</w:t>
            </w:r>
            <w:r>
              <w:rPr>
                <w:rFonts w:ascii="宋体" w:hAnsi="宋体" w:cs="Segoe UI"/>
                <w:color w:val="000000"/>
                <w:kern w:val="0"/>
                <w:sz w:val="24"/>
                <w:szCs w:val="24"/>
                <w:highlight w:val="none"/>
              </w:rPr>
              <w:t>无加分。</w:t>
            </w:r>
          </w:p>
          <w:p>
            <w:pPr>
              <w:widowControl/>
              <w:shd w:val="clear" w:color="auto" w:fill="FFFFFF"/>
              <w:spacing w:line="360" w:lineRule="auto"/>
              <w:jc w:val="left"/>
              <w:rPr>
                <w:rFonts w:hint="eastAsia" w:ascii="宋体" w:hAnsi="宋体" w:cs="Segoe UI"/>
                <w:color w:val="000000"/>
                <w:kern w:val="0"/>
                <w:sz w:val="24"/>
                <w:szCs w:val="24"/>
                <w:highlight w:val="none"/>
                <w:lang w:eastAsia="zh-CN"/>
              </w:rPr>
            </w:pPr>
            <w:r>
              <w:rPr>
                <w:rFonts w:hint="eastAsia" w:ascii="宋体" w:hAnsi="宋体" w:cs="Segoe UI"/>
                <w:color w:val="000000"/>
                <w:kern w:val="0"/>
                <w:sz w:val="24"/>
                <w:szCs w:val="24"/>
                <w:highlight w:val="none"/>
                <w:lang w:eastAsia="zh-CN"/>
              </w:rPr>
              <w:t>③增速加分计算：</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eastAsia="zh-CN"/>
              </w:rPr>
              <w:t>行业排名前</w:t>
            </w:r>
            <w:r>
              <w:rPr>
                <w:rFonts w:hint="eastAsia" w:ascii="宋体" w:hAnsi="宋体" w:cs="Segoe UI"/>
                <w:color w:val="000000"/>
                <w:kern w:val="0"/>
                <w:sz w:val="24"/>
                <w:szCs w:val="24"/>
                <w:highlight w:val="none"/>
                <w:lang w:val="en-US" w:eastAsia="zh-CN"/>
              </w:rPr>
              <w:t>10%的企业：增速达15%及以上的，加50分，增速为10%（含）～15%的，加45分，增速为5%（含）～10%的，加40分，增速不足5%的，加30分；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行业排名前20%的企业：增速达25%及以上的，加45分，增速为15%（含）～25%的，加40分，增速为5%（含）～15%的，加35分，增速不足5%的，加30分；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行业排名前30%的企业：增速达35%及以上的，加40分，增速为20%（含）～35%的，加35分，增速为10%（含）～20%的，加30分，增速不足10%的，加25分；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行业排名前40%的企业：增速达45%及以上的，加35分，增速为30%（含）～45%的，加30分，增速为15%（含）～30%的，加25分，增速不足15%的，加20分；</w:t>
            </w:r>
          </w:p>
          <w:p>
            <w:pPr>
              <w:widowControl/>
              <w:shd w:val="clear" w:color="auto" w:fill="FFFFFF"/>
              <w:spacing w:line="360" w:lineRule="auto"/>
              <w:jc w:val="left"/>
              <w:rPr>
                <w:rFonts w:hint="eastAsia" w:ascii="宋体" w:hAnsi="宋体" w:cs="Segoe UI"/>
                <w:color w:val="000000"/>
                <w:kern w:val="0"/>
                <w:sz w:val="24"/>
                <w:szCs w:val="24"/>
                <w:highlight w:val="none"/>
                <w:lang w:val="en-US" w:eastAsia="zh-CN"/>
              </w:rPr>
            </w:pPr>
            <w:r>
              <w:rPr>
                <w:rFonts w:hint="eastAsia" w:ascii="宋体" w:hAnsi="宋体" w:cs="Segoe UI"/>
                <w:color w:val="000000"/>
                <w:kern w:val="0"/>
                <w:sz w:val="24"/>
                <w:szCs w:val="24"/>
                <w:highlight w:val="none"/>
                <w:lang w:val="en-US" w:eastAsia="zh-CN"/>
              </w:rPr>
              <w:t>行业排名前40%之后的企业：增速达60%及以上的，加30分，增速为30%（含）～60%的，加20分，增速不足30%的，加10分；</w:t>
            </w:r>
          </w:p>
          <w:p>
            <w:pPr>
              <w:widowControl/>
              <w:spacing w:line="360" w:lineRule="auto"/>
              <w:jc w:val="left"/>
              <w:rPr>
                <w:rFonts w:hint="eastAsia" w:ascii="宋体" w:hAnsi="宋体"/>
                <w:color w:val="000000"/>
                <w:kern w:val="0"/>
                <w:sz w:val="24"/>
                <w:highlight w:val="none"/>
              </w:rPr>
            </w:pPr>
            <w:r>
              <w:rPr>
                <w:rFonts w:hint="eastAsia" w:ascii="宋体" w:hAnsi="宋体" w:cs="Segoe UI"/>
                <w:color w:val="000000"/>
                <w:kern w:val="0"/>
                <w:sz w:val="24"/>
                <w:szCs w:val="24"/>
                <w:highlight w:val="none"/>
                <w:lang w:val="en-US" w:eastAsia="zh-CN"/>
              </w:rPr>
              <w:t>上年“年度入库企业”，按在库企业基础分及增速排名最低一档计算，即统计贡献为基础分50+增速加分10分。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B</w:t>
            </w:r>
          </w:p>
        </w:tc>
      </w:tr>
      <w:tr>
        <w:tblPrEx>
          <w:tblLayout w:type="fixed"/>
          <w:tblCellMar>
            <w:top w:w="0" w:type="dxa"/>
            <w:left w:w="0" w:type="dxa"/>
            <w:bottom w:w="0" w:type="dxa"/>
            <w:right w:w="0" w:type="dxa"/>
          </w:tblCellMar>
        </w:tblPrEx>
        <w:trPr>
          <w:trHeight w:val="854"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人才规模</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人才规模达20人，得60分；每增加1人加0.2分，满分100分。</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C</w:t>
            </w:r>
          </w:p>
        </w:tc>
      </w:tr>
      <w:tr>
        <w:tblPrEx>
          <w:tblLayout w:type="fixed"/>
          <w:tblCellMar>
            <w:top w:w="0" w:type="dxa"/>
            <w:left w:w="0" w:type="dxa"/>
            <w:bottom w:w="0" w:type="dxa"/>
            <w:right w:w="0" w:type="dxa"/>
          </w:tblCellMar>
        </w:tblPrEx>
        <w:trPr>
          <w:trHeight w:val="786" w:hRule="atLeast"/>
        </w:trPr>
        <w:tc>
          <w:tcPr>
            <w:tcW w:w="198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总评分</w:t>
            </w:r>
          </w:p>
        </w:tc>
        <w:tc>
          <w:tcPr>
            <w:tcW w:w="63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计算方法：Ax40%+Bx40%+Cx20%</w:t>
            </w:r>
          </w:p>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(总分相等的企业按上年度纳税金额高低排序)</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　</w:t>
            </w:r>
          </w:p>
        </w:tc>
      </w:tr>
    </w:tbl>
    <w:p>
      <w:pPr>
        <w:widowControl/>
        <w:shd w:val="clear" w:color="auto" w:fill="FFFFFF"/>
        <w:spacing w:line="360" w:lineRule="auto"/>
        <w:ind w:firstLine="482" w:firstLineChars="200"/>
        <w:jc w:val="left"/>
        <w:rPr>
          <w:rFonts w:hint="eastAsia" w:ascii="宋体" w:hAnsi="宋体" w:cs="Segoe UI"/>
          <w:b/>
          <w:color w:val="000000"/>
          <w:kern w:val="0"/>
          <w:sz w:val="24"/>
          <w:highlight w:val="none"/>
        </w:rPr>
      </w:pPr>
    </w:p>
    <w:p>
      <w:pPr>
        <w:widowControl/>
        <w:shd w:val="clear" w:color="auto" w:fill="FFFFFF"/>
        <w:spacing w:line="360" w:lineRule="auto"/>
        <w:ind w:firstLine="482" w:firstLineChars="200"/>
        <w:jc w:val="left"/>
        <w:rPr>
          <w:rFonts w:hint="eastAsia" w:ascii="宋体" w:hAnsi="宋体" w:cs="Segoe UI"/>
          <w:b/>
          <w:color w:val="000000"/>
          <w:kern w:val="0"/>
          <w:sz w:val="24"/>
          <w:highlight w:val="none"/>
        </w:rPr>
      </w:pPr>
      <w:r>
        <w:rPr>
          <w:rFonts w:hint="eastAsia" w:ascii="宋体" w:hAnsi="宋体" w:cs="Segoe UI"/>
          <w:b/>
          <w:color w:val="000000"/>
          <w:kern w:val="0"/>
          <w:sz w:val="24"/>
          <w:highlight w:val="none"/>
        </w:rPr>
        <w:t>（四）申报材料</w:t>
      </w:r>
    </w:p>
    <w:tbl>
      <w:tblPr>
        <w:tblStyle w:val="8"/>
        <w:tblW w:w="8946" w:type="dxa"/>
        <w:tblInd w:w="93" w:type="dxa"/>
        <w:tblLayout w:type="fixed"/>
        <w:tblCellMar>
          <w:top w:w="0" w:type="dxa"/>
          <w:left w:w="108" w:type="dxa"/>
          <w:bottom w:w="0" w:type="dxa"/>
          <w:right w:w="108" w:type="dxa"/>
        </w:tblCellMar>
      </w:tblPr>
      <w:tblGrid>
        <w:gridCol w:w="714"/>
        <w:gridCol w:w="5680"/>
        <w:gridCol w:w="2552"/>
      </w:tblGrid>
      <w:tr>
        <w:tblPrEx>
          <w:tblLayout w:type="fixed"/>
          <w:tblCellMar>
            <w:top w:w="0" w:type="dxa"/>
            <w:left w:w="108" w:type="dxa"/>
            <w:bottom w:w="0" w:type="dxa"/>
            <w:right w:w="108" w:type="dxa"/>
          </w:tblCellMar>
        </w:tblPrEx>
        <w:trPr>
          <w:trHeight w:val="525" w:hRule="atLeast"/>
        </w:trPr>
        <w:tc>
          <w:tcPr>
            <w:tcW w:w="71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left"/>
              <w:rPr>
                <w:rFonts w:hint="eastAsia" w:ascii="宋体" w:hAnsi="宋体" w:cs="Segoe UI"/>
                <w:b/>
                <w:color w:val="000000"/>
                <w:kern w:val="0"/>
                <w:sz w:val="24"/>
                <w:highlight w:val="none"/>
              </w:rPr>
            </w:pPr>
            <w:r>
              <w:rPr>
                <w:rFonts w:hint="eastAsia" w:ascii="宋体" w:hAnsi="宋体" w:cs="Segoe UI"/>
                <w:b/>
                <w:color w:val="000000"/>
                <w:kern w:val="0"/>
                <w:sz w:val="24"/>
                <w:highlight w:val="none"/>
              </w:rPr>
              <w:t>序号</w:t>
            </w:r>
          </w:p>
        </w:tc>
        <w:tc>
          <w:tcPr>
            <w:tcW w:w="5680" w:type="dxa"/>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ind w:firstLine="480"/>
              <w:jc w:val="left"/>
              <w:rPr>
                <w:rFonts w:hint="eastAsia" w:ascii="宋体" w:hAnsi="宋体" w:cs="Segoe UI"/>
                <w:b/>
                <w:color w:val="000000"/>
                <w:kern w:val="0"/>
                <w:sz w:val="24"/>
                <w:highlight w:val="none"/>
              </w:rPr>
            </w:pPr>
            <w:r>
              <w:rPr>
                <w:rFonts w:hint="eastAsia" w:ascii="宋体" w:hAnsi="宋体" w:cs="Segoe UI"/>
                <w:b/>
                <w:color w:val="000000"/>
                <w:kern w:val="0"/>
                <w:sz w:val="24"/>
                <w:highlight w:val="none"/>
              </w:rPr>
              <w:t xml:space="preserve">         材料名称</w:t>
            </w:r>
          </w:p>
        </w:tc>
        <w:tc>
          <w:tcPr>
            <w:tcW w:w="2552" w:type="dxa"/>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ind w:firstLine="480"/>
              <w:jc w:val="left"/>
              <w:rPr>
                <w:rFonts w:hint="eastAsia" w:ascii="宋体" w:hAnsi="宋体" w:cs="Segoe UI"/>
                <w:b/>
                <w:color w:val="000000"/>
                <w:kern w:val="0"/>
                <w:sz w:val="24"/>
                <w:highlight w:val="none"/>
              </w:rPr>
            </w:pPr>
            <w:r>
              <w:rPr>
                <w:rFonts w:hint="eastAsia" w:ascii="宋体" w:hAnsi="宋体" w:cs="Segoe UI"/>
                <w:b/>
                <w:color w:val="000000"/>
                <w:kern w:val="0"/>
                <w:sz w:val="24"/>
                <w:highlight w:val="none"/>
              </w:rPr>
              <w:t xml:space="preserve"> 材料形式</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568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szCs w:val="24"/>
                <w:highlight w:val="none"/>
              </w:rPr>
            </w:pPr>
            <w:r>
              <w:rPr>
                <w:rFonts w:hint="eastAsia" w:ascii="宋体" w:hAnsi="宋体"/>
                <w:color w:val="000000"/>
                <w:kern w:val="0"/>
                <w:sz w:val="24"/>
                <w:szCs w:val="24"/>
                <w:highlight w:val="none"/>
              </w:rPr>
              <w:t>南山区人才安居定向配租补租申报表。</w:t>
            </w:r>
          </w:p>
        </w:tc>
        <w:tc>
          <w:tcPr>
            <w:tcW w:w="2552"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568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szCs w:val="24"/>
                <w:highlight w:val="none"/>
              </w:rPr>
            </w:pPr>
            <w:r>
              <w:rPr>
                <w:rFonts w:hint="eastAsia" w:ascii="宋体" w:hAnsi="宋体"/>
                <w:color w:val="000000"/>
                <w:kern w:val="0"/>
                <w:sz w:val="24"/>
                <w:szCs w:val="24"/>
                <w:highlight w:val="none"/>
              </w:rPr>
              <w:t>三证合一新版营业执照（未换领三证合一新版营业执照的，提交原旧版营业执照、组织机构代码证书、税务登记证书）、法定代表人（或非法人企业负责人）身份证复印件。</w:t>
            </w:r>
          </w:p>
        </w:tc>
        <w:tc>
          <w:tcPr>
            <w:tcW w:w="2552"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568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szCs w:val="24"/>
                <w:highlight w:val="none"/>
              </w:rPr>
            </w:pPr>
            <w:r>
              <w:rPr>
                <w:rFonts w:hint="eastAsia" w:ascii="宋体" w:hAnsi="宋体"/>
                <w:color w:val="000000"/>
                <w:sz w:val="24"/>
                <w:szCs w:val="24"/>
                <w:highlight w:val="none"/>
              </w:rPr>
              <w:t>申报分类标准中第1类“文化创意企业”，需提交“企业简介”, 并对照“国家统计局《文化及相关产业分类(2018)》”，在简介中写明业务所属类别。</w:t>
            </w:r>
          </w:p>
        </w:tc>
        <w:tc>
          <w:tcPr>
            <w:tcW w:w="2552"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568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sz w:val="24"/>
                <w:szCs w:val="24"/>
                <w:highlight w:val="none"/>
              </w:rPr>
            </w:pPr>
            <w:r>
              <w:rPr>
                <w:rFonts w:hint="eastAsia" w:ascii="宋体" w:hAnsi="宋体"/>
                <w:color w:val="000000"/>
                <w:kern w:val="0"/>
                <w:sz w:val="24"/>
                <w:szCs w:val="24"/>
                <w:highlight w:val="none"/>
              </w:rPr>
              <w:t>上年度的纳税证明（2018年1月1日至12月31日）。</w:t>
            </w:r>
          </w:p>
        </w:tc>
        <w:tc>
          <w:tcPr>
            <w:tcW w:w="2552"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108" w:type="dxa"/>
            <w:bottom w:w="0" w:type="dxa"/>
            <w:right w:w="108" w:type="dxa"/>
          </w:tblCellMar>
        </w:tblPrEx>
        <w:trPr>
          <w:trHeight w:val="645" w:hRule="atLeast"/>
        </w:trPr>
        <w:tc>
          <w:tcPr>
            <w:tcW w:w="71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5680" w:type="dxa"/>
            <w:tcBorders>
              <w:top w:val="nil"/>
              <w:left w:val="nil"/>
              <w:bottom w:val="single" w:color="auto" w:sz="4" w:space="0"/>
              <w:right w:val="single" w:color="auto" w:sz="4" w:space="0"/>
            </w:tcBorders>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申报定向配租补租人才明细表。</w:t>
            </w:r>
          </w:p>
        </w:tc>
        <w:tc>
          <w:tcPr>
            <w:tcW w:w="2552" w:type="dxa"/>
            <w:tcBorders>
              <w:top w:val="nil"/>
              <w:left w:val="nil"/>
              <w:bottom w:val="single" w:color="auto" w:sz="4" w:space="0"/>
              <w:right w:val="single" w:color="auto" w:sz="4" w:space="0"/>
            </w:tcBorders>
            <w:vAlign w:val="center"/>
          </w:tcPr>
          <w:p>
            <w:pPr>
              <w:spacing w:line="360" w:lineRule="auto"/>
              <w:jc w:val="center"/>
              <w:rPr>
                <w:rFonts w:hint="eastAsia" w:ascii="宋体" w:hAnsi="宋体"/>
                <w:color w:val="000000"/>
                <w:highlight w:val="none"/>
              </w:rPr>
            </w:pPr>
            <w:r>
              <w:rPr>
                <w:rFonts w:hint="eastAsia" w:ascii="宋体" w:hAnsi="宋体"/>
                <w:color w:val="000000"/>
                <w:sz w:val="24"/>
                <w:szCs w:val="24"/>
                <w:highlight w:val="none"/>
              </w:rPr>
              <w:t>在“申报系统”中直接填报，或下载模板填写上传</w:t>
            </w:r>
          </w:p>
        </w:tc>
      </w:tr>
    </w:tbl>
    <w:p>
      <w:pPr>
        <w:widowControl/>
        <w:shd w:val="clear" w:color="auto" w:fill="FFFFFF"/>
        <w:spacing w:line="360" w:lineRule="auto"/>
        <w:ind w:firstLine="480" w:firstLineChars="200"/>
        <w:jc w:val="left"/>
        <w:rPr>
          <w:rFonts w:hint="eastAsia" w:ascii="宋体" w:hAnsi="宋体" w:cs="Segoe UI"/>
          <w:color w:val="000000"/>
          <w:kern w:val="0"/>
          <w:sz w:val="24"/>
          <w:highlight w:val="none"/>
        </w:rPr>
      </w:pPr>
    </w:p>
    <w:p>
      <w:pPr>
        <w:widowControl/>
        <w:shd w:val="clear" w:color="auto" w:fill="FFFFFF"/>
        <w:spacing w:line="360" w:lineRule="auto"/>
        <w:ind w:firstLine="482" w:firstLineChars="200"/>
        <w:jc w:val="left"/>
        <w:rPr>
          <w:rFonts w:hint="eastAsia" w:ascii="宋体" w:hAnsi="宋体" w:cs="Segoe UI"/>
          <w:b/>
          <w:color w:val="000000"/>
          <w:kern w:val="0"/>
          <w:sz w:val="24"/>
          <w:highlight w:val="none"/>
        </w:rPr>
      </w:pPr>
      <w:r>
        <w:rPr>
          <w:rFonts w:hint="eastAsia" w:ascii="宋体" w:hAnsi="宋体" w:cs="Segoe UI"/>
          <w:b/>
          <w:color w:val="000000"/>
          <w:kern w:val="0"/>
          <w:sz w:val="24"/>
          <w:highlight w:val="none"/>
        </w:rPr>
        <w:t>（五）配额上限</w:t>
      </w:r>
    </w:p>
    <w:tbl>
      <w:tblPr>
        <w:tblStyle w:val="8"/>
        <w:tblW w:w="8652" w:type="dxa"/>
        <w:tblInd w:w="102" w:type="dxa"/>
        <w:tblLayout w:type="fixed"/>
        <w:tblCellMar>
          <w:top w:w="0" w:type="dxa"/>
          <w:left w:w="0" w:type="dxa"/>
          <w:bottom w:w="0" w:type="dxa"/>
          <w:right w:w="0" w:type="dxa"/>
        </w:tblCellMar>
      </w:tblPr>
      <w:tblGrid>
        <w:gridCol w:w="726"/>
        <w:gridCol w:w="5376"/>
        <w:gridCol w:w="1275"/>
        <w:gridCol w:w="1275"/>
      </w:tblGrid>
      <w:tr>
        <w:tblPrEx>
          <w:tblLayout w:type="fixed"/>
          <w:tblCellMar>
            <w:top w:w="0" w:type="dxa"/>
            <w:left w:w="0" w:type="dxa"/>
            <w:bottom w:w="0" w:type="dxa"/>
            <w:right w:w="0" w:type="dxa"/>
          </w:tblCellMar>
        </w:tblPrEx>
        <w:tc>
          <w:tcPr>
            <w:tcW w:w="7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Segoe UI" w:hAnsi="Segoe UI" w:cs="Segoe UI"/>
                <w:b/>
                <w:color w:val="000000"/>
                <w:kern w:val="0"/>
                <w:sz w:val="24"/>
                <w:szCs w:val="24"/>
                <w:highlight w:val="none"/>
              </w:rPr>
            </w:pPr>
            <w:r>
              <w:rPr>
                <w:rFonts w:ascii="Segoe UI" w:hAnsi="Segoe UI" w:cs="Segoe UI"/>
                <w:b/>
                <w:color w:val="000000"/>
                <w:kern w:val="0"/>
                <w:sz w:val="24"/>
                <w:szCs w:val="24"/>
                <w:highlight w:val="none"/>
              </w:rPr>
              <w:t>序号</w:t>
            </w:r>
          </w:p>
        </w:tc>
        <w:tc>
          <w:tcPr>
            <w:tcW w:w="53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Segoe UI" w:hAnsi="Segoe UI" w:eastAsia="仿宋" w:cs="Segoe UI"/>
                <w:b/>
                <w:color w:val="000000"/>
                <w:kern w:val="0"/>
                <w:sz w:val="24"/>
                <w:szCs w:val="24"/>
                <w:highlight w:val="none"/>
              </w:rPr>
            </w:pPr>
            <w:r>
              <w:rPr>
                <w:rFonts w:hint="eastAsia" w:ascii="Segoe UI" w:hAnsi="Segoe UI" w:cs="Segoe UI"/>
                <w:b/>
                <w:color w:val="000000"/>
                <w:kern w:val="0"/>
                <w:sz w:val="24"/>
                <w:szCs w:val="24"/>
                <w:highlight w:val="none"/>
              </w:rPr>
              <w:t>类别</w:t>
            </w:r>
          </w:p>
        </w:tc>
        <w:tc>
          <w:tcPr>
            <w:tcW w:w="12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Segoe UI" w:hAnsi="Segoe UI" w:cs="Segoe UI"/>
                <w:b/>
                <w:color w:val="000000"/>
                <w:kern w:val="0"/>
                <w:sz w:val="24"/>
                <w:szCs w:val="24"/>
                <w:highlight w:val="none"/>
              </w:rPr>
            </w:pPr>
            <w:r>
              <w:rPr>
                <w:rFonts w:hint="eastAsia" w:ascii="Segoe UI" w:hAnsi="Segoe UI" w:cs="Segoe UI"/>
                <w:b/>
                <w:color w:val="000000"/>
                <w:kern w:val="0"/>
                <w:sz w:val="24"/>
                <w:szCs w:val="24"/>
                <w:highlight w:val="none"/>
              </w:rPr>
              <w:t>补租</w:t>
            </w:r>
          </w:p>
          <w:p>
            <w:pPr>
              <w:widowControl/>
              <w:spacing w:line="360" w:lineRule="auto"/>
              <w:rPr>
                <w:rFonts w:ascii="Segoe UI" w:hAnsi="Segoe UI" w:cs="Segoe UI"/>
                <w:b/>
                <w:color w:val="000000"/>
                <w:kern w:val="0"/>
                <w:sz w:val="24"/>
                <w:szCs w:val="24"/>
                <w:highlight w:val="none"/>
              </w:rPr>
            </w:pPr>
            <w:r>
              <w:rPr>
                <w:rFonts w:hint="eastAsia" w:ascii="Segoe UI" w:hAnsi="Segoe UI" w:cs="Segoe UI"/>
                <w:b/>
                <w:color w:val="000000"/>
                <w:kern w:val="0"/>
                <w:sz w:val="24"/>
                <w:szCs w:val="24"/>
                <w:highlight w:val="none"/>
              </w:rPr>
              <w:t>配额上限</w:t>
            </w:r>
          </w:p>
        </w:tc>
        <w:tc>
          <w:tcPr>
            <w:tcW w:w="1275" w:type="dxa"/>
            <w:tcBorders>
              <w:top w:val="single" w:color="auto" w:sz="8" w:space="0"/>
              <w:left w:val="nil"/>
              <w:bottom w:val="single" w:color="auto" w:sz="8" w:space="0"/>
              <w:right w:val="single" w:color="auto" w:sz="8" w:space="0"/>
            </w:tcBorders>
            <w:vAlign w:val="center"/>
          </w:tcPr>
          <w:p>
            <w:pPr>
              <w:widowControl/>
              <w:spacing w:line="360" w:lineRule="auto"/>
              <w:jc w:val="center"/>
              <w:rPr>
                <w:rFonts w:hint="eastAsia" w:ascii="Segoe UI" w:hAnsi="Segoe UI" w:cs="Segoe UI"/>
                <w:b/>
                <w:color w:val="000000"/>
                <w:kern w:val="0"/>
                <w:sz w:val="24"/>
                <w:szCs w:val="24"/>
                <w:highlight w:val="none"/>
              </w:rPr>
            </w:pPr>
            <w:r>
              <w:rPr>
                <w:rFonts w:hint="eastAsia" w:ascii="Segoe UI" w:hAnsi="Segoe UI" w:cs="Segoe UI"/>
                <w:b/>
                <w:color w:val="000000"/>
                <w:kern w:val="0"/>
                <w:sz w:val="24"/>
                <w:szCs w:val="24"/>
                <w:highlight w:val="none"/>
              </w:rPr>
              <w:t>配租</w:t>
            </w:r>
          </w:p>
          <w:p>
            <w:pPr>
              <w:widowControl/>
              <w:spacing w:line="360" w:lineRule="auto"/>
              <w:jc w:val="center"/>
              <w:rPr>
                <w:rFonts w:hint="eastAsia" w:ascii="Segoe UI" w:hAnsi="Segoe UI" w:cs="Segoe UI"/>
                <w:b/>
                <w:color w:val="000000"/>
                <w:kern w:val="0"/>
                <w:sz w:val="24"/>
                <w:szCs w:val="24"/>
                <w:highlight w:val="none"/>
              </w:rPr>
            </w:pPr>
            <w:r>
              <w:rPr>
                <w:rFonts w:hint="eastAsia" w:ascii="Segoe UI" w:hAnsi="Segoe UI" w:cs="Segoe UI"/>
                <w:b/>
                <w:color w:val="000000"/>
                <w:kern w:val="0"/>
                <w:sz w:val="24"/>
                <w:szCs w:val="24"/>
                <w:highlight w:val="none"/>
              </w:rPr>
              <w:t>配额上限</w:t>
            </w:r>
          </w:p>
        </w:tc>
      </w:tr>
      <w:tr>
        <w:tblPrEx>
          <w:tblLayout w:type="fixed"/>
          <w:tblCellMar>
            <w:top w:w="0" w:type="dxa"/>
            <w:left w:w="0" w:type="dxa"/>
            <w:bottom w:w="0" w:type="dxa"/>
            <w:right w:w="0" w:type="dxa"/>
          </w:tblCellMar>
        </w:tblPrEx>
        <w:tc>
          <w:tcPr>
            <w:tcW w:w="7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53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highlight w:val="none"/>
              </w:rPr>
              <w:t>文化创意企业</w:t>
            </w:r>
          </w:p>
        </w:tc>
        <w:tc>
          <w:tcPr>
            <w:tcW w:w="12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40套</w:t>
            </w:r>
          </w:p>
        </w:tc>
        <w:tc>
          <w:tcPr>
            <w:tcW w:w="1275" w:type="dxa"/>
            <w:tcBorders>
              <w:top w:val="nil"/>
              <w:left w:val="nil"/>
              <w:bottom w:val="single" w:color="auto" w:sz="8" w:space="0"/>
              <w:right w:val="single" w:color="auto" w:sz="8" w:space="0"/>
            </w:tcBorders>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2套</w:t>
            </w:r>
          </w:p>
        </w:tc>
      </w:tr>
      <w:tr>
        <w:tblPrEx>
          <w:tblLayout w:type="fixed"/>
          <w:tblCellMar>
            <w:top w:w="0" w:type="dxa"/>
            <w:left w:w="0" w:type="dxa"/>
            <w:bottom w:w="0" w:type="dxa"/>
            <w:right w:w="0" w:type="dxa"/>
          </w:tblCellMar>
        </w:tblPrEx>
        <w:trPr>
          <w:trHeight w:val="494" w:hRule="atLeast"/>
        </w:trPr>
        <w:tc>
          <w:tcPr>
            <w:tcW w:w="7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53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highlight w:val="none"/>
              </w:rPr>
              <w:t>文化创意园区</w:t>
            </w:r>
          </w:p>
        </w:tc>
        <w:tc>
          <w:tcPr>
            <w:tcW w:w="12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30套</w:t>
            </w:r>
          </w:p>
        </w:tc>
        <w:tc>
          <w:tcPr>
            <w:tcW w:w="1275" w:type="dxa"/>
            <w:tcBorders>
              <w:top w:val="nil"/>
              <w:left w:val="nil"/>
              <w:bottom w:val="single" w:color="auto" w:sz="8" w:space="0"/>
              <w:right w:val="single" w:color="auto" w:sz="8" w:space="0"/>
            </w:tcBorders>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1套</w:t>
            </w:r>
          </w:p>
        </w:tc>
      </w:tr>
    </w:tbl>
    <w:p>
      <w:pPr>
        <w:widowControl/>
        <w:shd w:val="clear" w:color="auto" w:fill="FFFFFF"/>
        <w:spacing w:line="360" w:lineRule="auto"/>
        <w:rPr>
          <w:rFonts w:hint="eastAsia" w:ascii="宋体" w:hAnsi="宋体" w:cs="Segoe UI"/>
          <w:b/>
          <w:color w:val="000000"/>
          <w:kern w:val="0"/>
          <w:sz w:val="36"/>
          <w:szCs w:val="36"/>
          <w:highlight w:val="none"/>
        </w:rPr>
      </w:pPr>
    </w:p>
    <w:p>
      <w:pPr>
        <w:widowControl/>
        <w:shd w:val="clear" w:color="auto" w:fill="FFFFFF"/>
        <w:spacing w:line="360" w:lineRule="auto"/>
        <w:ind w:firstLine="480"/>
        <w:jc w:val="center"/>
        <w:rPr>
          <w:rFonts w:hint="eastAsia" w:ascii="宋体" w:hAnsi="宋体" w:cs="Segoe UI"/>
          <w:b/>
          <w:color w:val="000000"/>
          <w:kern w:val="0"/>
          <w:sz w:val="36"/>
          <w:szCs w:val="36"/>
          <w:highlight w:val="none"/>
        </w:rPr>
      </w:pPr>
      <w:r>
        <w:rPr>
          <w:rFonts w:hint="eastAsia" w:ascii="宋体" w:hAnsi="宋体" w:cs="Segoe UI"/>
          <w:b/>
          <w:color w:val="000000"/>
          <w:kern w:val="0"/>
          <w:sz w:val="36"/>
          <w:szCs w:val="36"/>
          <w:highlight w:val="none"/>
        </w:rPr>
        <w:t>Ⅶ 社会医疗机构、社会组织、</w:t>
      </w:r>
    </w:p>
    <w:p>
      <w:pPr>
        <w:widowControl/>
        <w:shd w:val="clear" w:color="auto" w:fill="FFFFFF"/>
        <w:spacing w:line="360" w:lineRule="auto"/>
        <w:ind w:firstLine="480"/>
        <w:jc w:val="center"/>
        <w:rPr>
          <w:rFonts w:hint="eastAsia" w:ascii="宋体" w:hAnsi="宋体" w:cs="Segoe UI"/>
          <w:b/>
          <w:color w:val="000000"/>
          <w:kern w:val="0"/>
          <w:sz w:val="36"/>
          <w:szCs w:val="36"/>
          <w:highlight w:val="none"/>
        </w:rPr>
      </w:pPr>
      <w:r>
        <w:rPr>
          <w:rFonts w:hint="eastAsia" w:ascii="宋体" w:hAnsi="宋体" w:cs="Segoe UI"/>
          <w:b/>
          <w:color w:val="000000"/>
          <w:kern w:val="0"/>
          <w:sz w:val="36"/>
          <w:szCs w:val="36"/>
          <w:highlight w:val="none"/>
        </w:rPr>
        <w:t>民办学校及幼儿园</w:t>
      </w:r>
    </w:p>
    <w:p>
      <w:pPr>
        <w:widowControl/>
        <w:shd w:val="clear" w:color="auto" w:fill="FFFFFF"/>
        <w:spacing w:line="360" w:lineRule="auto"/>
        <w:ind w:firstLine="480"/>
        <w:jc w:val="center"/>
        <w:rPr>
          <w:rFonts w:ascii="宋体" w:hAnsi="宋体" w:cs="Segoe UI"/>
          <w:b/>
          <w:color w:val="000000"/>
          <w:kern w:val="0"/>
          <w:sz w:val="24"/>
          <w:szCs w:val="24"/>
          <w:highlight w:val="none"/>
        </w:rPr>
      </w:pP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（一）分类标准</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1、社会医疗机构（民营医院、门诊部、诊所、中医馆）；（区卫健局）</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2、经南山区民政局依法登记注册的社会组织（经济产业类、教育类社会组织除外）；（区民政局）</w:t>
      </w:r>
    </w:p>
    <w:p>
      <w:pPr>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3、区属民办中小学校及幼儿园。（区教育局）</w:t>
      </w: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（二）“社会医疗机构”申报条件、评分细则、申报材料</w:t>
      </w: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1、申报条件（须同时具备）</w:t>
      </w:r>
    </w:p>
    <w:p>
      <w:pPr>
        <w:widowControl/>
        <w:shd w:val="clear" w:color="auto" w:fill="FFFFFF"/>
        <w:spacing w:line="360" w:lineRule="auto"/>
        <w:ind w:firstLine="48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（1）医疗机构工商注册和税务登记均在南山区；</w:t>
      </w:r>
    </w:p>
    <w:p>
      <w:pPr>
        <w:widowControl/>
        <w:shd w:val="clear" w:color="auto" w:fill="FFFFFF"/>
        <w:spacing w:line="360" w:lineRule="auto"/>
        <w:ind w:firstLine="48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（2）医疗机构依法完成校验；</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（3）符合以下认定标准50分以上方可参评。</w:t>
      </w:r>
      <w:r>
        <w:rPr>
          <w:rFonts w:ascii="宋体" w:hAnsi="宋体" w:cs="Segoe UI"/>
          <w:color w:val="000000"/>
          <w:kern w:val="0"/>
          <w:sz w:val="24"/>
          <w:szCs w:val="24"/>
          <w:highlight w:val="none"/>
        </w:rPr>
        <w:t xml:space="preserve"> </w:t>
      </w:r>
    </w:p>
    <w:p>
      <w:pPr>
        <w:widowControl/>
        <w:shd w:val="clear" w:color="auto" w:fill="FFFFFF"/>
        <w:spacing w:line="360" w:lineRule="auto"/>
        <w:ind w:firstLine="480"/>
        <w:jc w:val="left"/>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2、评分细则</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4536"/>
        <w:gridCol w:w="1636"/>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851" w:type="dxa"/>
            <w:vAlign w:val="center"/>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项目</w:t>
            </w:r>
          </w:p>
        </w:tc>
        <w:tc>
          <w:tcPr>
            <w:tcW w:w="4536" w:type="dxa"/>
            <w:vAlign w:val="center"/>
          </w:tcPr>
          <w:p>
            <w:pPr>
              <w:widowControl/>
              <w:shd w:val="clear" w:color="auto" w:fill="FFFFFF"/>
              <w:spacing w:line="360" w:lineRule="auto"/>
              <w:ind w:firstLine="480"/>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具体内容及标准</w:t>
            </w:r>
          </w:p>
        </w:tc>
        <w:tc>
          <w:tcPr>
            <w:tcW w:w="1636" w:type="dxa"/>
            <w:vAlign w:val="center"/>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提供材料</w:t>
            </w:r>
          </w:p>
        </w:tc>
        <w:tc>
          <w:tcPr>
            <w:tcW w:w="824" w:type="dxa"/>
            <w:vAlign w:val="center"/>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ascii="宋体" w:hAnsi="宋体" w:cs="Segoe UI"/>
                <w:color w:val="000000"/>
                <w:kern w:val="0"/>
                <w:sz w:val="24"/>
                <w:szCs w:val="24"/>
                <w:highlight w:val="none"/>
              </w:rPr>
              <w:t>1</w:t>
            </w:r>
          </w:p>
        </w:tc>
        <w:tc>
          <w:tcPr>
            <w:tcW w:w="851"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人才引进</w:t>
            </w:r>
          </w:p>
        </w:tc>
        <w:tc>
          <w:tcPr>
            <w:tcW w:w="4536"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医护人员（第一执业地点注册在此机构）总量10名以上，得10分；</w:t>
            </w:r>
          </w:p>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已引进3名以上副高以上职称的医护人员（第一执业地点注册在此机构），得10分；</w:t>
            </w:r>
          </w:p>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已引进1名以上经认定为深圳市人才或海外高层次人才（人才需为医护人员，并第一执业地点注册在此机构），得10分。</w:t>
            </w:r>
          </w:p>
        </w:tc>
        <w:tc>
          <w:tcPr>
            <w:tcW w:w="1636"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医护人员职称证明、执业证、资格证、社保证明；</w:t>
            </w:r>
          </w:p>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相关职称或人才证明</w:t>
            </w:r>
          </w:p>
        </w:tc>
        <w:tc>
          <w:tcPr>
            <w:tcW w:w="824"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851"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医疗水平</w:t>
            </w:r>
          </w:p>
        </w:tc>
        <w:tc>
          <w:tcPr>
            <w:tcW w:w="4536"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认定为深圳市名（中）医诊疗中心，得20分。</w:t>
            </w:r>
          </w:p>
        </w:tc>
        <w:tc>
          <w:tcPr>
            <w:tcW w:w="1636"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相关认定材料</w:t>
            </w:r>
          </w:p>
        </w:tc>
        <w:tc>
          <w:tcPr>
            <w:tcW w:w="824"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851"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依法执业</w:t>
            </w:r>
          </w:p>
        </w:tc>
        <w:tc>
          <w:tcPr>
            <w:tcW w:w="4536" w:type="dxa"/>
            <w:vAlign w:val="top"/>
          </w:tcPr>
          <w:p>
            <w:pPr>
              <w:widowControl/>
              <w:shd w:val="clear" w:color="auto" w:fill="FFFFFF"/>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医疗机构开业满一年，且上一年度医疗机构不良执业记分无扣分，得20分；</w:t>
            </w:r>
          </w:p>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上年度医疗服务质量评价结果为D级或E级者，不得参与申报。</w:t>
            </w:r>
          </w:p>
        </w:tc>
        <w:tc>
          <w:tcPr>
            <w:tcW w:w="1636"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自评，卫监所提供材料为准</w:t>
            </w:r>
          </w:p>
        </w:tc>
        <w:tc>
          <w:tcPr>
            <w:tcW w:w="824"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w:t>
            </w:r>
          </w:p>
        </w:tc>
        <w:tc>
          <w:tcPr>
            <w:tcW w:w="851"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社会服务</w:t>
            </w:r>
          </w:p>
        </w:tc>
        <w:tc>
          <w:tcPr>
            <w:tcW w:w="4536"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为医保定点医疗机构，得10分；</w:t>
            </w:r>
          </w:p>
          <w:p>
            <w:pPr>
              <w:widowControl/>
              <w:shd w:val="clear" w:color="auto" w:fill="FFFFFF"/>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民营医院上一年度医保门诊人次在10000人次以上，门诊部上一年度医保门诊人次在5000人次以上，诊所（中医馆）上一年度医保门诊人次在2000人次以上，得10分；</w:t>
            </w:r>
          </w:p>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如上一年度有医保违规扣分者, 本项不得分。</w:t>
            </w:r>
          </w:p>
        </w:tc>
        <w:tc>
          <w:tcPr>
            <w:tcW w:w="1636"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自评，社保南山分局提供材料为准</w:t>
            </w:r>
          </w:p>
        </w:tc>
        <w:tc>
          <w:tcPr>
            <w:tcW w:w="824"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jc w:val="center"/>
        </w:trPr>
        <w:tc>
          <w:tcPr>
            <w:tcW w:w="675"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w:t>
            </w:r>
          </w:p>
        </w:tc>
        <w:tc>
          <w:tcPr>
            <w:tcW w:w="851"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行业管理</w:t>
            </w:r>
          </w:p>
        </w:tc>
        <w:tc>
          <w:tcPr>
            <w:tcW w:w="4536"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2018年4月1日前南山区民营医疗机构行业协会会员单位，得10分。</w:t>
            </w:r>
          </w:p>
        </w:tc>
        <w:tc>
          <w:tcPr>
            <w:tcW w:w="1636"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南山区民营医疗机构行业协会</w:t>
            </w:r>
          </w:p>
        </w:tc>
        <w:tc>
          <w:tcPr>
            <w:tcW w:w="824"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jc w:val="center"/>
        </w:trPr>
        <w:tc>
          <w:tcPr>
            <w:tcW w:w="675" w:type="dxa"/>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6</w:t>
            </w:r>
          </w:p>
        </w:tc>
        <w:tc>
          <w:tcPr>
            <w:tcW w:w="851" w:type="dxa"/>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党组织建设情况（额外加分项）</w:t>
            </w:r>
          </w:p>
        </w:tc>
        <w:tc>
          <w:tcPr>
            <w:tcW w:w="4536" w:type="dxa"/>
            <w:vAlign w:val="top"/>
          </w:tcPr>
          <w:p>
            <w:pPr>
              <w:widowControl/>
              <w:shd w:val="clear" w:color="auto" w:fill="FFFFFF"/>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①有独立党支部的得5分；②没有独立党支部但联合其他医疗机构建立了联合党支部的得2分；③组织关系在南山区民营医疗机构党总支的党员人数有1人的得1分，有2人的得2分，有3人的得3分，有4人的得4分，5人以上的得5分，①②③累计加分满分10分。</w:t>
            </w:r>
          </w:p>
        </w:tc>
        <w:tc>
          <w:tcPr>
            <w:tcW w:w="1636" w:type="dxa"/>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w:t>
            </w:r>
          </w:p>
        </w:tc>
        <w:tc>
          <w:tcPr>
            <w:tcW w:w="824" w:type="dxa"/>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8522" w:type="dxa"/>
            <w:gridSpan w:val="5"/>
            <w:vAlign w:val="center"/>
          </w:tcPr>
          <w:p>
            <w:pPr>
              <w:widowControl/>
              <w:shd w:val="clear" w:color="auto" w:fill="FFFFFF"/>
              <w:spacing w:line="360" w:lineRule="auto"/>
              <w:ind w:firstLine="48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总分满分100分（不含额外加分）,按分数高低排序,</w:t>
            </w:r>
            <w:r>
              <w:rPr>
                <w:rFonts w:hint="eastAsia" w:ascii="宋体" w:hAnsi="宋体"/>
                <w:color w:val="000000"/>
                <w:kern w:val="0"/>
                <w:sz w:val="24"/>
                <w:highlight w:val="none"/>
              </w:rPr>
              <w:t>总分相等的机构以抽签决定排序。</w:t>
            </w:r>
          </w:p>
        </w:tc>
      </w:tr>
    </w:tbl>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3、申报材料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88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4889" w:type="dxa"/>
            <w:vAlign w:val="center"/>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材料名称</w:t>
            </w:r>
          </w:p>
        </w:tc>
        <w:tc>
          <w:tcPr>
            <w:tcW w:w="2816" w:type="dxa"/>
            <w:vAlign w:val="center"/>
          </w:tcPr>
          <w:p>
            <w:pPr>
              <w:widowControl/>
              <w:shd w:val="clear" w:color="auto" w:fill="FFFFFF"/>
              <w:spacing w:line="360" w:lineRule="auto"/>
              <w:ind w:firstLine="480"/>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4889" w:type="dxa"/>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南山区人才安居定向配租补租申报表。</w:t>
            </w:r>
          </w:p>
        </w:tc>
        <w:tc>
          <w:tcPr>
            <w:tcW w:w="2816"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olor w:val="000000"/>
                <w:kern w:val="0"/>
                <w:sz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4889" w:type="dxa"/>
            <w:vAlign w:val="center"/>
          </w:tcPr>
          <w:p>
            <w:pPr>
              <w:widowControl/>
              <w:shd w:val="clear" w:color="auto" w:fill="FFFFFF"/>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相关证照（含营业执照、组织机构代码证、社会组织登记证明、税务登记证、医疗机构许可证正副本、医保定点机构证明文件等）、资质（执业证、资格证、职称证明等）证书等。</w:t>
            </w:r>
          </w:p>
        </w:tc>
        <w:tc>
          <w:tcPr>
            <w:tcW w:w="2816"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4889" w:type="dxa"/>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上一年度国税、地税纳税证明。</w:t>
            </w:r>
          </w:p>
        </w:tc>
        <w:tc>
          <w:tcPr>
            <w:tcW w:w="2816"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olor w:val="000000"/>
                <w:kern w:val="0"/>
                <w:sz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olor w:val="000000"/>
                <w:highlight w:val="none"/>
              </w:rPr>
              <w:t>4</w:t>
            </w:r>
          </w:p>
        </w:tc>
        <w:tc>
          <w:tcPr>
            <w:tcW w:w="4889" w:type="dxa"/>
            <w:vAlign w:val="center"/>
          </w:tcPr>
          <w:p>
            <w:pPr>
              <w:widowControl/>
              <w:shd w:val="clear" w:color="auto" w:fill="FFFFFF"/>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相关荣誉及其他业绩的文件、证书等（深圳信用网打印）。</w:t>
            </w:r>
          </w:p>
        </w:tc>
        <w:tc>
          <w:tcPr>
            <w:tcW w:w="2816" w:type="dxa"/>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2"/>
              <w:spacing w:line="360" w:lineRule="auto"/>
              <w:jc w:val="center"/>
              <w:rPr>
                <w:rFonts w:ascii="宋体" w:hAnsi="宋体" w:eastAsia="宋体"/>
                <w:color w:val="000000"/>
                <w:highlight w:val="none"/>
              </w:rPr>
            </w:pPr>
            <w:r>
              <w:rPr>
                <w:rFonts w:hint="eastAsia" w:ascii="宋体" w:hAnsi="宋体" w:eastAsia="宋体"/>
                <w:color w:val="000000"/>
                <w:highlight w:val="none"/>
              </w:rPr>
              <w:t>5</w:t>
            </w:r>
          </w:p>
        </w:tc>
        <w:tc>
          <w:tcPr>
            <w:tcW w:w="4889" w:type="dxa"/>
            <w:vAlign w:val="center"/>
          </w:tcPr>
          <w:p>
            <w:pPr>
              <w:pStyle w:val="12"/>
              <w:spacing w:line="360" w:lineRule="auto"/>
              <w:rPr>
                <w:rFonts w:ascii="宋体" w:hAnsi="宋体" w:eastAsia="宋体" w:cs="Segoe UI"/>
                <w:color w:val="000000"/>
                <w:highlight w:val="none"/>
              </w:rPr>
            </w:pPr>
            <w:r>
              <w:rPr>
                <w:rFonts w:hint="eastAsia" w:ascii="宋体" w:hAnsi="宋体" w:eastAsia="宋体" w:cs="Segoe UI"/>
                <w:color w:val="000000"/>
                <w:highlight w:val="none"/>
              </w:rPr>
              <w:t>申报定向配租补租人才明细表。</w:t>
            </w:r>
          </w:p>
        </w:tc>
        <w:tc>
          <w:tcPr>
            <w:tcW w:w="2816" w:type="dxa"/>
            <w:vAlign w:val="center"/>
          </w:tcPr>
          <w:p>
            <w:pPr>
              <w:pStyle w:val="12"/>
              <w:spacing w:line="360" w:lineRule="auto"/>
              <w:jc w:val="center"/>
              <w:rPr>
                <w:rFonts w:ascii="宋体" w:hAnsi="宋体" w:eastAsia="宋体" w:cs="Segoe UI"/>
                <w:color w:val="000000"/>
                <w:highlight w:val="none"/>
              </w:rPr>
            </w:pPr>
            <w:r>
              <w:rPr>
                <w:rFonts w:hint="eastAsia" w:ascii="宋体" w:hAnsi="宋体" w:eastAsia="宋体" w:cs="Segoe UI"/>
                <w:color w:val="000000"/>
                <w:highlight w:val="none"/>
              </w:rPr>
              <w:t>在“申报系统”中直接填报，或下载模板填写上传</w:t>
            </w:r>
          </w:p>
        </w:tc>
      </w:tr>
    </w:tbl>
    <w:p>
      <w:pPr>
        <w:spacing w:line="360" w:lineRule="auto"/>
        <w:ind w:firstLine="472" w:firstLineChars="196"/>
        <w:rPr>
          <w:rFonts w:hint="eastAsia" w:ascii="宋体" w:hAnsi="宋体"/>
          <w:b/>
          <w:color w:val="000000"/>
          <w:kern w:val="0"/>
          <w:sz w:val="24"/>
          <w:highlight w:val="none"/>
        </w:rPr>
      </w:pPr>
      <w:r>
        <w:rPr>
          <w:rFonts w:hint="eastAsia" w:ascii="宋体" w:hAnsi="宋体"/>
          <w:b/>
          <w:color w:val="000000"/>
          <w:kern w:val="0"/>
          <w:sz w:val="24"/>
          <w:highlight w:val="none"/>
        </w:rPr>
        <w:t>4、配额上限</w:t>
      </w:r>
    </w:p>
    <w:p>
      <w:pPr>
        <w:spacing w:line="360" w:lineRule="auto"/>
        <w:ind w:firstLine="470" w:firstLineChars="196"/>
        <w:rPr>
          <w:rFonts w:hint="eastAsia" w:ascii="宋体" w:hAnsi="宋体"/>
          <w:color w:val="000000"/>
          <w:kern w:val="0"/>
          <w:sz w:val="24"/>
          <w:highlight w:val="none"/>
        </w:rPr>
      </w:pPr>
      <w:r>
        <w:rPr>
          <w:rFonts w:hint="eastAsia" w:ascii="宋体" w:hAnsi="宋体"/>
          <w:color w:val="000000"/>
          <w:kern w:val="0"/>
          <w:sz w:val="24"/>
          <w:highlight w:val="none"/>
        </w:rPr>
        <w:t>补租配额上限40套、配租配额上限3套。</w:t>
      </w: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（三）“社会组织”申报条件、评分细则、申报材料</w:t>
      </w:r>
    </w:p>
    <w:p>
      <w:pPr>
        <w:widowControl/>
        <w:shd w:val="clear" w:color="auto" w:fill="FFFFFF"/>
        <w:spacing w:line="360" w:lineRule="auto"/>
        <w:ind w:firstLine="598" w:firstLineChars="248"/>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1、申报条件（须同时具备）</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（1）经南山区民政局登记注册的社会组织（经济产业类、教育类社会组织除外）；</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（2）登记成立2年及以上并且正常开展业务；</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（3）已参加上一年度社会组织年检的社会组织；</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（4）已参与区级民政部门组织开展的社会组织等级评估，并获得3A级及以上的社会组织；</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（5）必须具备以下条件之一：</w:t>
      </w:r>
    </w:p>
    <w:p>
      <w:pPr>
        <w:widowControl/>
        <w:shd w:val="clear" w:color="auto" w:fill="FFFFFF"/>
        <w:spacing w:line="360" w:lineRule="auto"/>
        <w:ind w:firstLine="720" w:firstLineChars="3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①近2年以社会组织名义取得区级及以上政府机构授予的奖项；</w:t>
      </w:r>
    </w:p>
    <w:p>
      <w:pPr>
        <w:widowControl/>
        <w:shd w:val="clear" w:color="auto" w:fill="FFFFFF"/>
        <w:spacing w:line="360" w:lineRule="auto"/>
        <w:ind w:firstLine="720" w:firstLineChars="3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②列入</w:t>
      </w:r>
      <w:r>
        <w:rPr>
          <w:rFonts w:hint="eastAsia" w:ascii="宋体" w:hAnsi="宋体" w:cs="宋体"/>
          <w:color w:val="000000"/>
          <w:sz w:val="24"/>
          <w:szCs w:val="24"/>
          <w:highlight w:val="none"/>
        </w:rPr>
        <w:t>南山区承接政府职能转移和购买服务社会组织推荐目录</w:t>
      </w:r>
      <w:r>
        <w:rPr>
          <w:rFonts w:hint="eastAsia" w:ascii="宋体" w:hAnsi="宋体" w:cs="Segoe UI"/>
          <w:color w:val="000000"/>
          <w:kern w:val="0"/>
          <w:sz w:val="24"/>
          <w:szCs w:val="24"/>
          <w:highlight w:val="none"/>
        </w:rPr>
        <w:t>；</w:t>
      </w:r>
    </w:p>
    <w:p>
      <w:pPr>
        <w:widowControl/>
        <w:shd w:val="clear" w:color="auto" w:fill="FFFFFF"/>
        <w:spacing w:line="360" w:lineRule="auto"/>
        <w:ind w:firstLine="720" w:firstLineChars="3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③近2年承接政府职能转移项目，且服务成效良好；</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（6）符合认定标准60分及以上方可参评。</w:t>
      </w:r>
    </w:p>
    <w:p>
      <w:pPr>
        <w:widowControl/>
        <w:shd w:val="clear" w:color="auto" w:fill="FFFFFF"/>
        <w:spacing w:line="360" w:lineRule="auto"/>
        <w:ind w:firstLine="472" w:firstLineChars="196"/>
        <w:jc w:val="left"/>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2、评分细则</w:t>
      </w:r>
    </w:p>
    <w:tbl>
      <w:tblPr>
        <w:tblStyle w:val="8"/>
        <w:tblW w:w="9741" w:type="dxa"/>
        <w:jc w:val="center"/>
        <w:tblInd w:w="0" w:type="dxa"/>
        <w:tblLayout w:type="fixed"/>
        <w:tblCellMar>
          <w:top w:w="0" w:type="dxa"/>
          <w:left w:w="0" w:type="dxa"/>
          <w:bottom w:w="0" w:type="dxa"/>
          <w:right w:w="0" w:type="dxa"/>
        </w:tblCellMar>
      </w:tblPr>
      <w:tblGrid>
        <w:gridCol w:w="872"/>
        <w:gridCol w:w="1269"/>
        <w:gridCol w:w="6648"/>
        <w:gridCol w:w="952"/>
      </w:tblGrid>
      <w:tr>
        <w:tblPrEx>
          <w:tblLayout w:type="fixed"/>
          <w:tblCellMar>
            <w:top w:w="0" w:type="dxa"/>
            <w:left w:w="0" w:type="dxa"/>
            <w:bottom w:w="0" w:type="dxa"/>
            <w:right w:w="0" w:type="dxa"/>
          </w:tblCellMar>
        </w:tblPrEx>
        <w:trPr>
          <w:trHeight w:val="649" w:hRule="atLeast"/>
          <w:jc w:val="center"/>
        </w:trPr>
        <w:tc>
          <w:tcPr>
            <w:tcW w:w="872"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1269"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指标名称</w:t>
            </w:r>
          </w:p>
        </w:tc>
        <w:tc>
          <w:tcPr>
            <w:tcW w:w="6648"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评分说明</w:t>
            </w:r>
          </w:p>
        </w:tc>
        <w:tc>
          <w:tcPr>
            <w:tcW w:w="952"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得分</w:t>
            </w:r>
          </w:p>
        </w:tc>
      </w:tr>
      <w:tr>
        <w:tblPrEx>
          <w:tblLayout w:type="fixed"/>
          <w:tblCellMar>
            <w:top w:w="0" w:type="dxa"/>
            <w:left w:w="0" w:type="dxa"/>
            <w:bottom w:w="0" w:type="dxa"/>
            <w:right w:w="0" w:type="dxa"/>
          </w:tblCellMar>
        </w:tblPrEx>
        <w:trPr>
          <w:trHeight w:val="771" w:hRule="atLeast"/>
          <w:jc w:val="center"/>
        </w:trPr>
        <w:tc>
          <w:tcPr>
            <w:tcW w:w="87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1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党组织建设情况</w:t>
            </w:r>
          </w:p>
        </w:tc>
        <w:tc>
          <w:tcPr>
            <w:tcW w:w="664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宋体"/>
                <w:color w:val="000000"/>
                <w:kern w:val="0"/>
                <w:sz w:val="24"/>
                <w:szCs w:val="24"/>
                <w:highlight w:val="none"/>
              </w:rPr>
              <w:t>①社会组织建有独立党支部的得 5 分；②没有独立党支部但联合其他社会组织建立了联合党支部的得2分；③组织关系在南山区社会组织党委的党员人数有1人的得1分，有2人的得2分，有3人的得3分，有4人的得4分，5人以上的得5分，①②③累计满分10分。</w:t>
            </w:r>
          </w:p>
        </w:tc>
        <w:tc>
          <w:tcPr>
            <w:tcW w:w="952"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A</w:t>
            </w:r>
          </w:p>
        </w:tc>
      </w:tr>
      <w:tr>
        <w:tblPrEx>
          <w:tblLayout w:type="fixed"/>
          <w:tblCellMar>
            <w:top w:w="0" w:type="dxa"/>
            <w:left w:w="0" w:type="dxa"/>
            <w:bottom w:w="0" w:type="dxa"/>
            <w:right w:w="0" w:type="dxa"/>
          </w:tblCellMar>
        </w:tblPrEx>
        <w:trPr>
          <w:trHeight w:val="771" w:hRule="atLeast"/>
          <w:jc w:val="center"/>
        </w:trPr>
        <w:tc>
          <w:tcPr>
            <w:tcW w:w="872"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126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评估等级</w:t>
            </w:r>
          </w:p>
        </w:tc>
        <w:tc>
          <w:tcPr>
            <w:tcW w:w="664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宋体"/>
                <w:color w:val="000000"/>
                <w:kern w:val="0"/>
                <w:sz w:val="24"/>
                <w:szCs w:val="24"/>
                <w:highlight w:val="none"/>
              </w:rPr>
              <w:t>社会组织等级评估取得5A级的得25分，4A级的得23分，3A级的得20分，此项满分25分。</w:t>
            </w:r>
          </w:p>
        </w:tc>
        <w:tc>
          <w:tcPr>
            <w:tcW w:w="9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B</w:t>
            </w:r>
          </w:p>
        </w:tc>
      </w:tr>
      <w:tr>
        <w:tblPrEx>
          <w:tblLayout w:type="fixed"/>
          <w:tblCellMar>
            <w:top w:w="0" w:type="dxa"/>
            <w:left w:w="0" w:type="dxa"/>
            <w:bottom w:w="0" w:type="dxa"/>
            <w:right w:w="0" w:type="dxa"/>
          </w:tblCellMar>
        </w:tblPrEx>
        <w:trPr>
          <w:trHeight w:val="935" w:hRule="atLeast"/>
          <w:jc w:val="center"/>
        </w:trPr>
        <w:tc>
          <w:tcPr>
            <w:tcW w:w="87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1269"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承接政府职能转移和购买服务情况</w:t>
            </w:r>
          </w:p>
        </w:tc>
        <w:tc>
          <w:tcPr>
            <w:tcW w:w="6648" w:type="dxa"/>
            <w:tcBorders>
              <w:top w:val="nil"/>
              <w:left w:val="nil"/>
              <w:bottom w:val="single" w:color="auto" w:sz="4" w:space="0"/>
              <w:right w:val="single" w:color="auto" w:sz="8" w:space="0"/>
            </w:tcBorders>
            <w:tcMar>
              <w:top w:w="0" w:type="dxa"/>
              <w:left w:w="108" w:type="dxa"/>
              <w:bottom w:w="0" w:type="dxa"/>
              <w:right w:w="108" w:type="dxa"/>
            </w:tcMar>
            <w:vAlign w:val="center"/>
          </w:tcPr>
          <w:p>
            <w:pPr>
              <w:tabs>
                <w:tab w:val="left" w:pos="1701"/>
              </w:tabs>
              <w:spacing w:line="360" w:lineRule="auto"/>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①</w:t>
            </w:r>
            <w:r>
              <w:rPr>
                <w:rFonts w:hint="eastAsia" w:ascii="宋体" w:hAnsi="宋体" w:cs="宋体"/>
                <w:color w:val="000000"/>
                <w:kern w:val="0"/>
                <w:sz w:val="24"/>
                <w:szCs w:val="24"/>
                <w:highlight w:val="none"/>
              </w:rPr>
              <w:t>列入</w:t>
            </w:r>
            <w:r>
              <w:rPr>
                <w:rFonts w:hint="eastAsia" w:ascii="宋体" w:hAnsi="宋体" w:cs="宋体"/>
                <w:color w:val="000000"/>
                <w:sz w:val="24"/>
                <w:szCs w:val="24"/>
                <w:highlight w:val="none"/>
              </w:rPr>
              <w:t>南山区承接政府职能转移和购买服务社会组织推荐目录</w:t>
            </w:r>
            <w:r>
              <w:rPr>
                <w:rFonts w:hint="eastAsia" w:ascii="宋体" w:hAnsi="宋体" w:cs="宋体"/>
                <w:color w:val="000000"/>
                <w:kern w:val="0"/>
                <w:sz w:val="24"/>
                <w:szCs w:val="24"/>
                <w:highlight w:val="none"/>
              </w:rPr>
              <w:t>，得15分，此项满分15分；</w:t>
            </w:r>
          </w:p>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②近2年承接政府职能转移项目，且服务成效良好，每个项目得2分，此项满分20分。</w:t>
            </w:r>
          </w:p>
        </w:tc>
        <w:tc>
          <w:tcPr>
            <w:tcW w:w="952"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C</w:t>
            </w:r>
          </w:p>
        </w:tc>
      </w:tr>
      <w:tr>
        <w:tblPrEx>
          <w:tblLayout w:type="fixed"/>
          <w:tblCellMar>
            <w:top w:w="0" w:type="dxa"/>
            <w:left w:w="0" w:type="dxa"/>
            <w:bottom w:w="0" w:type="dxa"/>
            <w:right w:w="0" w:type="dxa"/>
          </w:tblCellMar>
        </w:tblPrEx>
        <w:trPr>
          <w:trHeight w:val="916" w:hRule="atLeast"/>
          <w:jc w:val="center"/>
        </w:trPr>
        <w:tc>
          <w:tcPr>
            <w:tcW w:w="872"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w:t>
            </w:r>
          </w:p>
        </w:tc>
        <w:tc>
          <w:tcPr>
            <w:tcW w:w="1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获奖情况</w:t>
            </w:r>
          </w:p>
        </w:tc>
        <w:tc>
          <w:tcPr>
            <w:tcW w:w="664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近2年，以社会组织名义取得区级党委或政府部门授予的奖项，每获得1个奖项得2分，最高得分不超过4分；获市级党委或政府部门授予奖项的，得6分，取得省、部级党委或政府部门授予奖项的，得8分，以上各项可累计，累计得分最高不超过10分。</w:t>
            </w:r>
          </w:p>
        </w:tc>
        <w:tc>
          <w:tcPr>
            <w:tcW w:w="952"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D</w:t>
            </w:r>
          </w:p>
        </w:tc>
      </w:tr>
      <w:tr>
        <w:tblPrEx>
          <w:tblLayout w:type="fixed"/>
          <w:tblCellMar>
            <w:top w:w="0" w:type="dxa"/>
            <w:left w:w="0" w:type="dxa"/>
            <w:bottom w:w="0" w:type="dxa"/>
            <w:right w:w="0" w:type="dxa"/>
          </w:tblCellMar>
        </w:tblPrEx>
        <w:trPr>
          <w:trHeight w:val="916" w:hRule="atLeast"/>
          <w:jc w:val="center"/>
        </w:trPr>
        <w:tc>
          <w:tcPr>
            <w:tcW w:w="87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w:t>
            </w:r>
          </w:p>
        </w:tc>
        <w:tc>
          <w:tcPr>
            <w:tcW w:w="126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人才规模</w:t>
            </w:r>
          </w:p>
        </w:tc>
        <w:tc>
          <w:tcPr>
            <w:tcW w:w="664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人才规模在5人以下的得10分，5-20人的得11分，21-50人的得12分，51-80人的得13分，81-110人的得14分，111-150人的得15分，151人及以上的得20分，此项满分20分。</w:t>
            </w:r>
          </w:p>
        </w:tc>
        <w:tc>
          <w:tcPr>
            <w:tcW w:w="95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E</w:t>
            </w:r>
          </w:p>
        </w:tc>
      </w:tr>
      <w:tr>
        <w:tblPrEx>
          <w:tblLayout w:type="fixed"/>
          <w:tblCellMar>
            <w:top w:w="0" w:type="dxa"/>
            <w:left w:w="0" w:type="dxa"/>
            <w:bottom w:w="0" w:type="dxa"/>
            <w:right w:w="0" w:type="dxa"/>
          </w:tblCellMar>
        </w:tblPrEx>
        <w:trPr>
          <w:trHeight w:val="786" w:hRule="atLeast"/>
          <w:jc w:val="center"/>
        </w:trPr>
        <w:tc>
          <w:tcPr>
            <w:tcW w:w="2141" w:type="dxa"/>
            <w:gridSpan w:val="2"/>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总评分</w:t>
            </w:r>
          </w:p>
        </w:tc>
        <w:tc>
          <w:tcPr>
            <w:tcW w:w="664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计算方法：A+B+C+D+E（满分100分）</w:t>
            </w:r>
          </w:p>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(总分相等的社会组织按成立时间先后排序)</w:t>
            </w:r>
          </w:p>
        </w:tc>
        <w:tc>
          <w:tcPr>
            <w:tcW w:w="95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　</w:t>
            </w:r>
          </w:p>
        </w:tc>
      </w:tr>
    </w:tbl>
    <w:p>
      <w:pPr>
        <w:widowControl/>
        <w:shd w:val="clear" w:color="auto" w:fill="FFFFFF"/>
        <w:spacing w:line="360" w:lineRule="auto"/>
        <w:ind w:firstLine="236" w:firstLineChars="98"/>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3、申报材料</w:t>
      </w:r>
    </w:p>
    <w:tbl>
      <w:tblPr>
        <w:tblStyle w:val="8"/>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195"/>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Align w:val="top"/>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6195" w:type="dxa"/>
            <w:vAlign w:val="top"/>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材料名称</w:t>
            </w:r>
          </w:p>
        </w:tc>
        <w:tc>
          <w:tcPr>
            <w:tcW w:w="2452" w:type="dxa"/>
            <w:vAlign w:val="top"/>
          </w:tcPr>
          <w:p>
            <w:pPr>
              <w:widowControl/>
              <w:shd w:val="clear" w:color="auto" w:fill="FFFFFF"/>
              <w:spacing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Align w:val="top"/>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6195"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南山区人才安居定向配租补租申报表。</w:t>
            </w:r>
          </w:p>
        </w:tc>
        <w:tc>
          <w:tcPr>
            <w:tcW w:w="2452" w:type="dxa"/>
            <w:vAlign w:val="top"/>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6195"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社会组织登记证书（副本）。</w:t>
            </w:r>
          </w:p>
        </w:tc>
        <w:tc>
          <w:tcPr>
            <w:tcW w:w="2452" w:type="dxa"/>
            <w:vAlign w:val="top"/>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6195"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ascii="宋体" w:hAnsi="宋体" w:cs="Segoe UI"/>
                <w:color w:val="000000"/>
                <w:kern w:val="0"/>
                <w:sz w:val="24"/>
                <w:szCs w:val="24"/>
                <w:highlight w:val="none"/>
              </w:rPr>
              <w:t>奖项证明</w:t>
            </w:r>
            <w:r>
              <w:rPr>
                <w:rFonts w:hint="eastAsia" w:ascii="宋体" w:hAnsi="宋体" w:cs="Segoe UI"/>
                <w:color w:val="000000"/>
                <w:kern w:val="0"/>
                <w:sz w:val="24"/>
                <w:szCs w:val="24"/>
                <w:highlight w:val="none"/>
              </w:rPr>
              <w:t>（区级及以上政府机构授予的奖项证明）。</w:t>
            </w:r>
          </w:p>
        </w:tc>
        <w:tc>
          <w:tcPr>
            <w:tcW w:w="2452" w:type="dxa"/>
            <w:vAlign w:val="top"/>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w:t>
            </w:r>
          </w:p>
        </w:tc>
        <w:tc>
          <w:tcPr>
            <w:tcW w:w="6195" w:type="dxa"/>
            <w:vAlign w:val="top"/>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相关荣誉、业绩的文件、证书等或者项目的合同、报告等。</w:t>
            </w:r>
          </w:p>
        </w:tc>
        <w:tc>
          <w:tcPr>
            <w:tcW w:w="2452" w:type="dxa"/>
            <w:vAlign w:val="top"/>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3"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5</w:t>
            </w:r>
          </w:p>
        </w:tc>
        <w:tc>
          <w:tcPr>
            <w:tcW w:w="6195" w:type="dxa"/>
            <w:vAlign w:val="center"/>
          </w:tcPr>
          <w:p>
            <w:pPr>
              <w:widowControl/>
              <w:shd w:val="clear" w:color="auto" w:fill="FFFFFF"/>
              <w:spacing w:line="360" w:lineRule="auto"/>
              <w:jc w:val="left"/>
              <w:rPr>
                <w:rFonts w:ascii="宋体" w:hAnsi="宋体" w:cs="Segoe UI"/>
                <w:color w:val="000000"/>
                <w:kern w:val="0"/>
                <w:sz w:val="24"/>
                <w:szCs w:val="24"/>
                <w:highlight w:val="none"/>
              </w:rPr>
            </w:pPr>
            <w:r>
              <w:rPr>
                <w:rFonts w:hint="eastAsia" w:ascii="宋体" w:hAnsi="宋体"/>
                <w:color w:val="000000"/>
                <w:kern w:val="0"/>
                <w:sz w:val="24"/>
                <w:highlight w:val="none"/>
              </w:rPr>
              <w:t>申报定向配租补租人才明细表。</w:t>
            </w:r>
          </w:p>
        </w:tc>
        <w:tc>
          <w:tcPr>
            <w:tcW w:w="2452" w:type="dxa"/>
            <w:vAlign w:val="center"/>
          </w:tcPr>
          <w:p>
            <w:pPr>
              <w:widowControl/>
              <w:shd w:val="clear" w:color="auto" w:fill="FFFFFF"/>
              <w:spacing w:line="360" w:lineRule="auto"/>
              <w:jc w:val="center"/>
              <w:rPr>
                <w:rFonts w:ascii="宋体" w:hAnsi="宋体" w:cs="Segoe UI"/>
                <w:color w:val="000000"/>
                <w:kern w:val="0"/>
                <w:sz w:val="24"/>
                <w:szCs w:val="24"/>
                <w:highlight w:val="none"/>
              </w:rPr>
            </w:pPr>
            <w:r>
              <w:rPr>
                <w:rFonts w:hint="eastAsia" w:ascii="宋体" w:hAnsi="宋体"/>
                <w:color w:val="000000"/>
                <w:sz w:val="24"/>
                <w:szCs w:val="24"/>
                <w:highlight w:val="none"/>
              </w:rPr>
              <w:t>在“申报系统”中直接填报，或下载模板填写上传</w:t>
            </w:r>
          </w:p>
        </w:tc>
      </w:tr>
    </w:tbl>
    <w:p>
      <w:pPr>
        <w:spacing w:line="360" w:lineRule="auto"/>
        <w:ind w:firstLine="472" w:firstLineChars="196"/>
        <w:rPr>
          <w:rFonts w:hint="eastAsia" w:ascii="宋体" w:hAnsi="宋体"/>
          <w:b/>
          <w:color w:val="000000"/>
          <w:kern w:val="0"/>
          <w:sz w:val="24"/>
          <w:highlight w:val="none"/>
        </w:rPr>
      </w:pPr>
      <w:r>
        <w:rPr>
          <w:rFonts w:hint="eastAsia" w:ascii="宋体" w:hAnsi="宋体" w:cs="Segoe UI"/>
          <w:b/>
          <w:color w:val="000000"/>
          <w:kern w:val="0"/>
          <w:sz w:val="24"/>
          <w:szCs w:val="24"/>
          <w:highlight w:val="none"/>
        </w:rPr>
        <w:t>4、</w:t>
      </w:r>
      <w:r>
        <w:rPr>
          <w:rFonts w:hint="eastAsia" w:ascii="宋体" w:hAnsi="宋体"/>
          <w:b/>
          <w:color w:val="000000"/>
          <w:kern w:val="0"/>
          <w:sz w:val="24"/>
          <w:highlight w:val="none"/>
        </w:rPr>
        <w:t>配额上限</w:t>
      </w:r>
    </w:p>
    <w:p>
      <w:pPr>
        <w:spacing w:line="360" w:lineRule="auto"/>
        <w:ind w:firstLine="470" w:firstLineChars="196"/>
        <w:rPr>
          <w:rFonts w:hint="eastAsia" w:ascii="宋体" w:hAnsi="宋体"/>
          <w:color w:val="000000"/>
          <w:kern w:val="0"/>
          <w:sz w:val="24"/>
          <w:highlight w:val="none"/>
        </w:rPr>
      </w:pPr>
      <w:r>
        <w:rPr>
          <w:rFonts w:hint="eastAsia" w:ascii="宋体" w:hAnsi="宋体"/>
          <w:color w:val="000000"/>
          <w:kern w:val="0"/>
          <w:sz w:val="24"/>
          <w:highlight w:val="none"/>
        </w:rPr>
        <w:t>补租配额上限40套、配租配额上限3套。</w:t>
      </w:r>
    </w:p>
    <w:p>
      <w:pPr>
        <w:spacing w:line="360" w:lineRule="auto"/>
        <w:rPr>
          <w:rFonts w:hint="eastAsia" w:ascii="宋体" w:hAnsi="宋体" w:cs="Segoe UI"/>
          <w:color w:val="000000"/>
          <w:kern w:val="0"/>
          <w:sz w:val="24"/>
          <w:szCs w:val="24"/>
          <w:highlight w:val="none"/>
        </w:rPr>
      </w:pPr>
    </w:p>
    <w:p>
      <w:pPr>
        <w:widowControl/>
        <w:shd w:val="clear" w:color="auto" w:fill="FFFFFF"/>
        <w:spacing w:line="360" w:lineRule="auto"/>
        <w:ind w:firstLine="236" w:firstLineChars="98"/>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（四）“区属民办中小学及幼儿园”申报条件、评分细则、申报材料</w:t>
      </w:r>
    </w:p>
    <w:p>
      <w:pPr>
        <w:widowControl/>
        <w:shd w:val="clear" w:color="auto" w:fill="FFFFFF"/>
        <w:spacing w:line="360" w:lineRule="auto"/>
        <w:ind w:firstLine="236" w:firstLineChars="98"/>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1、申报条件（须同时具备）</w:t>
      </w:r>
    </w:p>
    <w:p>
      <w:pPr>
        <w:widowControl/>
        <w:shd w:val="clear" w:color="auto" w:fill="FFFFFF"/>
        <w:spacing w:line="360" w:lineRule="auto"/>
        <w:ind w:firstLine="235" w:firstLineChars="98"/>
        <w:jc w:val="left"/>
        <w:rPr>
          <w:rFonts w:hint="eastAsia" w:ascii="宋体" w:hAnsi="宋体" w:cs="Segoe UI"/>
          <w:b/>
          <w:color w:val="000000"/>
          <w:kern w:val="0"/>
          <w:sz w:val="24"/>
          <w:szCs w:val="24"/>
          <w:highlight w:val="none"/>
        </w:rPr>
      </w:pPr>
      <w:r>
        <w:rPr>
          <w:rFonts w:hint="eastAsia" w:ascii="宋体" w:hAnsi="宋体" w:cs="Segoe UI"/>
          <w:color w:val="000000"/>
          <w:kern w:val="0"/>
          <w:sz w:val="24"/>
          <w:szCs w:val="24"/>
          <w:highlight w:val="none"/>
        </w:rPr>
        <w:t>（1）近一年依法完成年度年审，达合格以上；</w:t>
      </w:r>
    </w:p>
    <w:p>
      <w:pPr>
        <w:widowControl/>
        <w:shd w:val="clear" w:color="auto" w:fill="FFFFFF"/>
        <w:spacing w:line="360" w:lineRule="auto"/>
        <w:ind w:firstLine="235" w:firstLineChars="98"/>
        <w:jc w:val="left"/>
        <w:rPr>
          <w:rFonts w:hint="eastAsia" w:ascii="宋体" w:hAnsi="宋体" w:cs="Segoe UI"/>
          <w:b/>
          <w:color w:val="000000"/>
          <w:kern w:val="0"/>
          <w:sz w:val="24"/>
          <w:szCs w:val="24"/>
          <w:highlight w:val="none"/>
        </w:rPr>
      </w:pPr>
      <w:r>
        <w:rPr>
          <w:rFonts w:hint="eastAsia" w:ascii="宋体" w:hAnsi="宋体" w:cs="Segoe UI"/>
          <w:color w:val="000000"/>
          <w:kern w:val="0"/>
          <w:sz w:val="24"/>
          <w:szCs w:val="24"/>
          <w:highlight w:val="none"/>
        </w:rPr>
        <w:t>（2）民办学校及幼儿园教职工参加社保；</w:t>
      </w:r>
    </w:p>
    <w:p>
      <w:pPr>
        <w:widowControl/>
        <w:shd w:val="clear" w:color="auto" w:fill="FFFFFF"/>
        <w:spacing w:line="360" w:lineRule="auto"/>
        <w:ind w:firstLine="235" w:firstLineChars="98"/>
        <w:jc w:val="left"/>
        <w:rPr>
          <w:rFonts w:hint="eastAsia" w:ascii="宋体" w:hAnsi="宋体" w:cs="Segoe UI"/>
          <w:b/>
          <w:color w:val="000000"/>
          <w:kern w:val="0"/>
          <w:sz w:val="24"/>
          <w:szCs w:val="24"/>
          <w:highlight w:val="none"/>
        </w:rPr>
      </w:pPr>
      <w:r>
        <w:rPr>
          <w:rFonts w:hint="eastAsia" w:ascii="宋体" w:hAnsi="宋体" w:cs="Segoe UI"/>
          <w:color w:val="000000"/>
          <w:kern w:val="0"/>
          <w:sz w:val="24"/>
          <w:szCs w:val="24"/>
          <w:highlight w:val="none"/>
        </w:rPr>
        <w:t>（3）办学过程中未发生重大责任事故；</w:t>
      </w:r>
    </w:p>
    <w:p>
      <w:pPr>
        <w:widowControl/>
        <w:shd w:val="clear" w:color="auto" w:fill="FFFFFF"/>
        <w:spacing w:line="360" w:lineRule="auto"/>
        <w:ind w:firstLine="235" w:firstLineChars="98"/>
        <w:jc w:val="left"/>
        <w:rPr>
          <w:rFonts w:hint="eastAsia" w:ascii="宋体" w:hAnsi="宋体" w:cs="Segoe UI"/>
          <w:b/>
          <w:color w:val="000000"/>
          <w:kern w:val="0"/>
          <w:sz w:val="24"/>
          <w:szCs w:val="24"/>
          <w:highlight w:val="none"/>
        </w:rPr>
      </w:pPr>
      <w:r>
        <w:rPr>
          <w:rFonts w:hint="eastAsia" w:ascii="宋体" w:hAnsi="宋体" w:cs="Segoe UI"/>
          <w:color w:val="000000"/>
          <w:kern w:val="0"/>
          <w:sz w:val="24"/>
          <w:szCs w:val="24"/>
          <w:highlight w:val="none"/>
        </w:rPr>
        <w:t>（4）符合以下认定标准60分以上方可参评；</w:t>
      </w:r>
    </w:p>
    <w:p>
      <w:pPr>
        <w:widowControl/>
        <w:shd w:val="clear" w:color="auto" w:fill="FFFFFF"/>
        <w:spacing w:line="360" w:lineRule="auto"/>
        <w:ind w:firstLine="235" w:firstLineChars="98"/>
        <w:jc w:val="left"/>
        <w:rPr>
          <w:rFonts w:hint="eastAsia" w:ascii="宋体" w:hAnsi="宋体" w:cs="Segoe UI"/>
          <w:b/>
          <w:color w:val="000000"/>
          <w:kern w:val="0"/>
          <w:sz w:val="24"/>
          <w:szCs w:val="24"/>
          <w:highlight w:val="none"/>
        </w:rPr>
      </w:pPr>
      <w:r>
        <w:rPr>
          <w:rFonts w:hint="eastAsia" w:ascii="宋体" w:hAnsi="宋体" w:cs="Segoe UI"/>
          <w:color w:val="000000"/>
          <w:kern w:val="0"/>
          <w:sz w:val="24"/>
          <w:szCs w:val="24"/>
          <w:highlight w:val="none"/>
        </w:rPr>
        <w:t>（5）由南山区教育局颁发的办学许可证教学单位（高中办学由市教育局颁发，办学地点在南山）；</w:t>
      </w:r>
    </w:p>
    <w:p>
      <w:pPr>
        <w:widowControl/>
        <w:shd w:val="clear" w:color="auto" w:fill="FFFFFF"/>
        <w:spacing w:line="360" w:lineRule="auto"/>
        <w:ind w:firstLine="235" w:firstLineChars="98"/>
        <w:jc w:val="left"/>
        <w:rPr>
          <w:rFonts w:hint="eastAsia" w:ascii="宋体" w:hAnsi="宋体" w:cs="Segoe UI"/>
          <w:b/>
          <w:color w:val="000000"/>
          <w:kern w:val="0"/>
          <w:sz w:val="24"/>
          <w:szCs w:val="24"/>
          <w:highlight w:val="none"/>
        </w:rPr>
      </w:pPr>
      <w:r>
        <w:rPr>
          <w:rFonts w:hint="eastAsia" w:ascii="宋体" w:hAnsi="宋体" w:cs="Segoe UI"/>
          <w:color w:val="000000"/>
          <w:kern w:val="0"/>
          <w:sz w:val="24"/>
          <w:szCs w:val="24"/>
          <w:highlight w:val="none"/>
        </w:rPr>
        <w:t>（6）必须具备以下条件之一：</w:t>
      </w:r>
    </w:p>
    <w:p>
      <w:pPr>
        <w:widowControl/>
        <w:shd w:val="clear" w:color="auto" w:fill="FFFFFF"/>
        <w:spacing w:line="360" w:lineRule="auto"/>
        <w:ind w:firstLine="235" w:firstLineChars="98"/>
        <w:jc w:val="left"/>
        <w:rPr>
          <w:rFonts w:hint="eastAsia" w:ascii="宋体" w:hAnsi="宋体" w:cs="Segoe UI"/>
          <w:b/>
          <w:color w:val="000000"/>
          <w:kern w:val="0"/>
          <w:sz w:val="24"/>
          <w:szCs w:val="24"/>
          <w:highlight w:val="none"/>
        </w:rPr>
      </w:pPr>
      <w:r>
        <w:rPr>
          <w:rFonts w:hint="eastAsia" w:ascii="宋体" w:hAnsi="宋体" w:cs="Segoe UI"/>
          <w:color w:val="000000"/>
          <w:kern w:val="0"/>
          <w:sz w:val="24"/>
          <w:szCs w:val="24"/>
          <w:highlight w:val="none"/>
        </w:rPr>
        <w:t>①获得区级及以上办学等级；</w:t>
      </w:r>
    </w:p>
    <w:p>
      <w:pPr>
        <w:widowControl/>
        <w:shd w:val="clear" w:color="auto" w:fill="FFFFFF"/>
        <w:spacing w:line="360" w:lineRule="auto"/>
        <w:ind w:firstLine="235" w:firstLineChars="98"/>
        <w:jc w:val="left"/>
        <w:rPr>
          <w:rFonts w:hint="eastAsia" w:ascii="宋体" w:hAnsi="宋体" w:cs="Segoe UI"/>
          <w:b/>
          <w:color w:val="000000"/>
          <w:kern w:val="0"/>
          <w:sz w:val="24"/>
          <w:szCs w:val="24"/>
          <w:highlight w:val="none"/>
        </w:rPr>
      </w:pPr>
      <w:r>
        <w:rPr>
          <w:rFonts w:hint="eastAsia" w:ascii="宋体" w:hAnsi="宋体" w:cs="Segoe UI"/>
          <w:color w:val="000000"/>
          <w:kern w:val="0"/>
          <w:sz w:val="24"/>
          <w:szCs w:val="24"/>
          <w:highlight w:val="none"/>
        </w:rPr>
        <w:t>②在校学生总人数达300人以上的学校。</w:t>
      </w:r>
    </w:p>
    <w:p>
      <w:pPr>
        <w:spacing w:line="360" w:lineRule="auto"/>
        <w:ind w:firstLine="357" w:firstLineChars="148"/>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2、评分细则</w:t>
      </w:r>
    </w:p>
    <w:p>
      <w:pPr>
        <w:spacing w:line="360" w:lineRule="auto"/>
        <w:ind w:firstLine="120" w:firstLineChars="50"/>
        <w:rPr>
          <w:rFonts w:hint="eastAsia" w:ascii="宋体" w:hAnsi="宋体" w:cs="Segoe UI"/>
          <w:color w:val="000000"/>
          <w:kern w:val="0"/>
          <w:sz w:val="24"/>
          <w:szCs w:val="24"/>
          <w:highlight w:val="none"/>
        </w:rPr>
      </w:pPr>
      <w:r>
        <w:rPr>
          <w:rFonts w:hint="eastAsia" w:ascii="宋体" w:hAnsi="宋体" w:cs="Segoe UI"/>
          <w:b/>
          <w:color w:val="000000"/>
          <w:kern w:val="0"/>
          <w:sz w:val="24"/>
          <w:szCs w:val="24"/>
          <w:highlight w:val="none"/>
        </w:rPr>
        <w:t>（1）民办中小学</w:t>
      </w:r>
      <w:r>
        <w:rPr>
          <w:rFonts w:hint="eastAsia" w:ascii="宋体" w:hAnsi="宋体" w:cs="Segoe UI"/>
          <w:color w:val="000000"/>
          <w:kern w:val="0"/>
          <w:sz w:val="24"/>
          <w:szCs w:val="24"/>
          <w:highlight w:val="none"/>
        </w:rPr>
        <w:t xml:space="preserve">： </w:t>
      </w:r>
    </w:p>
    <w:tbl>
      <w:tblPr>
        <w:tblStyle w:val="8"/>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1134"/>
        <w:gridCol w:w="524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993" w:type="dxa"/>
            <w:vAlign w:val="center"/>
          </w:tcPr>
          <w:p>
            <w:pPr>
              <w:spacing w:line="360" w:lineRule="auto"/>
              <w:ind w:firstLine="120" w:firstLineChars="50"/>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2126" w:type="dxa"/>
            <w:gridSpan w:val="2"/>
            <w:vAlign w:val="top"/>
          </w:tcPr>
          <w:p>
            <w:pPr>
              <w:spacing w:line="360" w:lineRule="auto"/>
              <w:ind w:firstLine="120" w:firstLineChars="50"/>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指标名称</w:t>
            </w:r>
          </w:p>
        </w:tc>
        <w:tc>
          <w:tcPr>
            <w:tcW w:w="5245" w:type="dxa"/>
            <w:vAlign w:val="center"/>
          </w:tcPr>
          <w:p>
            <w:pPr>
              <w:spacing w:line="360" w:lineRule="auto"/>
              <w:ind w:firstLine="120" w:firstLineChars="50"/>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评分说明</w:t>
            </w:r>
          </w:p>
        </w:tc>
        <w:tc>
          <w:tcPr>
            <w:tcW w:w="1275" w:type="dxa"/>
            <w:vAlign w:val="center"/>
          </w:tcPr>
          <w:p>
            <w:pPr>
              <w:spacing w:line="360" w:lineRule="auto"/>
              <w:ind w:firstLine="120" w:firstLineChars="50"/>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993"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992" w:type="dxa"/>
            <w:vMerge w:val="restart"/>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单位指标</w:t>
            </w:r>
          </w:p>
        </w:tc>
        <w:tc>
          <w:tcPr>
            <w:tcW w:w="1134"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办学水平</w:t>
            </w:r>
          </w:p>
        </w:tc>
        <w:tc>
          <w:tcPr>
            <w:tcW w:w="5245" w:type="dxa"/>
            <w:vAlign w:val="center"/>
          </w:tcPr>
          <w:p>
            <w:pPr>
              <w:spacing w:line="360" w:lineRule="auto"/>
              <w:ind w:firstLine="120" w:firstLineChars="50"/>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被评为省一级民办学校或深圳市优质民办学校的，得20分；被评为市一级民办学校的，得15分；被评为区一级民办学校的，得10分。（该项不累计，满分20分）</w:t>
            </w:r>
          </w:p>
        </w:tc>
        <w:tc>
          <w:tcPr>
            <w:tcW w:w="1275" w:type="dxa"/>
            <w:vAlign w:val="center"/>
          </w:tcPr>
          <w:p>
            <w:pPr>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993"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992" w:type="dxa"/>
            <w:vMerge w:val="continue"/>
            <w:vAlign w:val="top"/>
          </w:tcPr>
          <w:p>
            <w:pPr>
              <w:spacing w:line="360" w:lineRule="auto"/>
              <w:ind w:firstLine="120" w:firstLineChars="50"/>
              <w:jc w:val="center"/>
              <w:rPr>
                <w:rFonts w:hint="eastAsia" w:ascii="宋体" w:hAnsi="宋体" w:cs="Segoe UI"/>
                <w:color w:val="000000"/>
                <w:kern w:val="0"/>
                <w:sz w:val="24"/>
                <w:szCs w:val="24"/>
                <w:highlight w:val="none"/>
              </w:rPr>
            </w:pPr>
          </w:p>
        </w:tc>
        <w:tc>
          <w:tcPr>
            <w:tcW w:w="1134"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依法办学</w:t>
            </w:r>
          </w:p>
        </w:tc>
        <w:tc>
          <w:tcPr>
            <w:tcW w:w="5245" w:type="dxa"/>
            <w:vAlign w:val="top"/>
          </w:tcPr>
          <w:p>
            <w:pPr>
              <w:spacing w:line="360" w:lineRule="auto"/>
              <w:ind w:firstLine="120" w:firstLineChars="50"/>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上一年度教育行政部门年检得分95分及以上的，得20分；年检得分90分（含）以上、95分以下的，得15分；年检得分85分（含）以上、90分以下的，得10分；年检得分80分（含）以上、85分以下的，得5分；年检得分80分以下的，不得分。（该项不累计，满分20分）</w:t>
            </w:r>
          </w:p>
        </w:tc>
        <w:tc>
          <w:tcPr>
            <w:tcW w:w="1275" w:type="dxa"/>
            <w:vAlign w:val="center"/>
          </w:tcPr>
          <w:p>
            <w:pPr>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1" w:hRule="atLeast"/>
        </w:trPr>
        <w:tc>
          <w:tcPr>
            <w:tcW w:w="993"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992" w:type="dxa"/>
            <w:vMerge w:val="continue"/>
            <w:vAlign w:val="top"/>
          </w:tcPr>
          <w:p>
            <w:pPr>
              <w:spacing w:line="360" w:lineRule="auto"/>
              <w:ind w:firstLine="120" w:firstLineChars="50"/>
              <w:jc w:val="center"/>
              <w:rPr>
                <w:rFonts w:hint="eastAsia" w:ascii="宋体" w:hAnsi="宋体" w:cs="Segoe UI"/>
                <w:color w:val="000000"/>
                <w:kern w:val="0"/>
                <w:sz w:val="24"/>
                <w:szCs w:val="24"/>
                <w:highlight w:val="none"/>
              </w:rPr>
            </w:pPr>
          </w:p>
        </w:tc>
        <w:tc>
          <w:tcPr>
            <w:tcW w:w="1134" w:type="dxa"/>
            <w:vAlign w:val="center"/>
          </w:tcPr>
          <w:p>
            <w:pPr>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场地有效使用期</w:t>
            </w:r>
          </w:p>
        </w:tc>
        <w:tc>
          <w:tcPr>
            <w:tcW w:w="5245" w:type="dxa"/>
            <w:vAlign w:val="top"/>
          </w:tcPr>
          <w:p>
            <w:pPr>
              <w:spacing w:line="360" w:lineRule="auto"/>
              <w:ind w:firstLine="120" w:firstLineChars="50"/>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 xml:space="preserve">自申报之日起，办学场地有效租赁期或有效使用期满7年及以上的得20分，满5年的得15分，满3年的得10分， </w:t>
            </w:r>
            <w:r>
              <w:rPr>
                <w:rFonts w:hint="eastAsia" w:ascii="宋体" w:hAnsi="宋体" w:cs="Segoe UI"/>
                <w:bCs/>
                <w:color w:val="000000"/>
                <w:kern w:val="0"/>
                <w:sz w:val="24"/>
                <w:szCs w:val="24"/>
                <w:highlight w:val="none"/>
              </w:rPr>
              <w:t>不满3年的得5分。</w:t>
            </w:r>
            <w:r>
              <w:rPr>
                <w:rFonts w:hint="eastAsia" w:ascii="宋体" w:hAnsi="宋体" w:cs="Segoe UI"/>
                <w:color w:val="000000"/>
                <w:kern w:val="0"/>
                <w:sz w:val="24"/>
                <w:szCs w:val="24"/>
                <w:highlight w:val="none"/>
              </w:rPr>
              <w:t>（该项不累计，满分20分）</w:t>
            </w:r>
          </w:p>
        </w:tc>
        <w:tc>
          <w:tcPr>
            <w:tcW w:w="1275" w:type="dxa"/>
            <w:vAlign w:val="center"/>
          </w:tcPr>
          <w:p>
            <w:pPr>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93"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w:t>
            </w:r>
          </w:p>
        </w:tc>
        <w:tc>
          <w:tcPr>
            <w:tcW w:w="992" w:type="dxa"/>
            <w:vMerge w:val="continue"/>
            <w:vAlign w:val="center"/>
          </w:tcPr>
          <w:p>
            <w:pPr>
              <w:spacing w:line="360" w:lineRule="auto"/>
              <w:ind w:firstLine="120" w:firstLineChars="50"/>
              <w:jc w:val="center"/>
              <w:rPr>
                <w:rFonts w:hint="eastAsia" w:ascii="宋体" w:hAnsi="宋体" w:cs="Segoe UI"/>
                <w:color w:val="000000"/>
                <w:kern w:val="0"/>
                <w:sz w:val="24"/>
                <w:szCs w:val="24"/>
                <w:highlight w:val="none"/>
              </w:rPr>
            </w:pPr>
          </w:p>
        </w:tc>
        <w:tc>
          <w:tcPr>
            <w:tcW w:w="1134"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人才规模</w:t>
            </w:r>
          </w:p>
        </w:tc>
        <w:tc>
          <w:tcPr>
            <w:tcW w:w="5245" w:type="dxa"/>
            <w:vAlign w:val="center"/>
          </w:tcPr>
          <w:p>
            <w:pPr>
              <w:spacing w:line="360" w:lineRule="auto"/>
              <w:rPr>
                <w:rFonts w:hint="eastAsia" w:ascii="宋体" w:hAnsi="宋体" w:cs="Segoe UI"/>
                <w:color w:val="000000"/>
                <w:kern w:val="0"/>
                <w:sz w:val="24"/>
                <w:szCs w:val="24"/>
                <w:highlight w:val="none"/>
              </w:rPr>
            </w:pPr>
            <w:r>
              <w:rPr>
                <w:rFonts w:hint="eastAsia" w:ascii="宋体" w:hAnsi="宋体" w:cs="Segoe UI"/>
                <w:bCs/>
                <w:color w:val="000000"/>
                <w:kern w:val="0"/>
                <w:sz w:val="24"/>
                <w:szCs w:val="24"/>
                <w:highlight w:val="none"/>
              </w:rPr>
              <w:t>人才规模调整标准：引进硕士研究生或副高以上职称的教职人员或经认定深圳市高层次人才或海外高层次人才，每人得3分，最高得15分；教职工本科以上或中级职称以上50人，得15分；30-49人，得10分；10-29人，得8分,1-9人得3分。（该项累计，满分30）</w:t>
            </w:r>
          </w:p>
        </w:tc>
        <w:tc>
          <w:tcPr>
            <w:tcW w:w="1275" w:type="dxa"/>
            <w:vAlign w:val="center"/>
          </w:tcPr>
          <w:p>
            <w:pPr>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993"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5</w:t>
            </w:r>
          </w:p>
        </w:tc>
        <w:tc>
          <w:tcPr>
            <w:tcW w:w="992"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w:t>
            </w:r>
          </w:p>
        </w:tc>
        <w:tc>
          <w:tcPr>
            <w:tcW w:w="1134"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义务教育学位承担情况</w:t>
            </w:r>
          </w:p>
        </w:tc>
        <w:tc>
          <w:tcPr>
            <w:tcW w:w="5245" w:type="dxa"/>
            <w:vAlign w:val="center"/>
          </w:tcPr>
          <w:p>
            <w:pPr>
              <w:spacing w:line="360" w:lineRule="auto"/>
              <w:rPr>
                <w:rFonts w:hint="eastAsia" w:ascii="宋体" w:hAnsi="宋体" w:cs="Segoe UI"/>
                <w:color w:val="000000"/>
                <w:kern w:val="0"/>
                <w:sz w:val="24"/>
                <w:szCs w:val="24"/>
                <w:highlight w:val="none"/>
              </w:rPr>
            </w:pPr>
            <w:r>
              <w:rPr>
                <w:rFonts w:hint="eastAsia" w:ascii="宋体" w:hAnsi="宋体" w:cs="Segoe UI"/>
                <w:bCs/>
                <w:color w:val="000000"/>
                <w:kern w:val="0"/>
                <w:sz w:val="24"/>
                <w:szCs w:val="24"/>
                <w:highlight w:val="none"/>
              </w:rPr>
              <w:t>上一学期义务教育学位补贴人数大于1000人的，得10分；500-999人的，得8分；300-499人的，得6分；300人以下得4分。（该项不累计，满分10分）</w:t>
            </w:r>
          </w:p>
        </w:tc>
        <w:tc>
          <w:tcPr>
            <w:tcW w:w="1275" w:type="dxa"/>
            <w:vAlign w:val="center"/>
          </w:tcPr>
          <w:p>
            <w:pPr>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993" w:type="dxa"/>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6</w:t>
            </w:r>
          </w:p>
        </w:tc>
        <w:tc>
          <w:tcPr>
            <w:tcW w:w="992" w:type="dxa"/>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w:t>
            </w:r>
          </w:p>
        </w:tc>
        <w:tc>
          <w:tcPr>
            <w:tcW w:w="1134"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额外加分项</w:t>
            </w:r>
          </w:p>
        </w:tc>
        <w:tc>
          <w:tcPr>
            <w:tcW w:w="5245" w:type="dxa"/>
            <w:vAlign w:val="center"/>
          </w:tcPr>
          <w:p>
            <w:pPr>
              <w:widowControl/>
              <w:shd w:val="clear" w:color="auto" w:fill="FFFFFF"/>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党组织建设情况：建有独立党支部的得5分；建立了联合党支部的得2分；组织关系在南山教育工委民办临时党支部的党员每人得1分，最高得5分。（该项累计，满分10分）</w:t>
            </w:r>
          </w:p>
        </w:tc>
        <w:tc>
          <w:tcPr>
            <w:tcW w:w="1275" w:type="dxa"/>
            <w:vAlign w:val="center"/>
          </w:tcPr>
          <w:p>
            <w:pPr>
              <w:widowControl/>
              <w:shd w:val="clear" w:color="auto" w:fill="FFFFFF"/>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1985" w:type="dxa"/>
            <w:gridSpan w:val="2"/>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总评分</w:t>
            </w:r>
          </w:p>
        </w:tc>
        <w:tc>
          <w:tcPr>
            <w:tcW w:w="6379" w:type="dxa"/>
            <w:gridSpan w:val="2"/>
            <w:vAlign w:val="top"/>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单位指标得分= A+B+C+D+E（满分100分）+F</w:t>
            </w:r>
          </w:p>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(总评分相等的申请单位，进行抽签确定。)</w:t>
            </w:r>
          </w:p>
        </w:tc>
        <w:tc>
          <w:tcPr>
            <w:tcW w:w="1275" w:type="dxa"/>
            <w:vAlign w:val="center"/>
          </w:tcPr>
          <w:p>
            <w:pPr>
              <w:spacing w:line="360" w:lineRule="auto"/>
              <w:jc w:val="center"/>
              <w:rPr>
                <w:rFonts w:ascii="宋体" w:hAnsi="宋体" w:cs="Segoe UI"/>
                <w:color w:val="000000"/>
                <w:kern w:val="0"/>
                <w:sz w:val="24"/>
                <w:szCs w:val="24"/>
                <w:highlight w:val="none"/>
              </w:rPr>
            </w:pPr>
          </w:p>
        </w:tc>
      </w:tr>
    </w:tbl>
    <w:p>
      <w:pPr>
        <w:spacing w:line="360" w:lineRule="auto"/>
        <w:ind w:firstLine="120" w:firstLineChars="50"/>
        <w:rPr>
          <w:rFonts w:hint="eastAsia" w:ascii="宋体" w:hAnsi="宋体" w:cs="Segoe UI"/>
          <w:color w:val="000000"/>
          <w:kern w:val="0"/>
          <w:sz w:val="24"/>
          <w:szCs w:val="24"/>
          <w:highlight w:val="none"/>
        </w:rPr>
      </w:pPr>
    </w:p>
    <w:p>
      <w:pPr>
        <w:spacing w:line="360" w:lineRule="auto"/>
        <w:rPr>
          <w:rFonts w:hint="eastAsia" w:ascii="宋体" w:hAnsi="宋体" w:cs="Segoe UI"/>
          <w:color w:val="000000"/>
          <w:kern w:val="0"/>
          <w:sz w:val="24"/>
          <w:szCs w:val="24"/>
          <w:highlight w:val="none"/>
        </w:rPr>
      </w:pPr>
      <w:r>
        <w:rPr>
          <w:rFonts w:hint="eastAsia" w:ascii="宋体" w:hAnsi="宋体" w:cs="Segoe UI"/>
          <w:b/>
          <w:color w:val="000000"/>
          <w:kern w:val="0"/>
          <w:sz w:val="24"/>
          <w:szCs w:val="24"/>
          <w:highlight w:val="none"/>
        </w:rPr>
        <w:t>（2）幼儿园</w:t>
      </w:r>
      <w:r>
        <w:rPr>
          <w:rFonts w:hint="eastAsia" w:ascii="宋体" w:hAnsi="宋体" w:cs="Segoe UI"/>
          <w:color w:val="000000"/>
          <w:kern w:val="0"/>
          <w:sz w:val="24"/>
          <w:szCs w:val="24"/>
          <w:highlight w:val="none"/>
        </w:rPr>
        <w:t>：</w:t>
      </w:r>
    </w:p>
    <w:tbl>
      <w:tblPr>
        <w:tblStyle w:val="8"/>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1134"/>
        <w:gridCol w:w="524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1" w:type="dxa"/>
            <w:vAlign w:val="center"/>
          </w:tcPr>
          <w:p>
            <w:pPr>
              <w:spacing w:line="360" w:lineRule="auto"/>
              <w:ind w:firstLine="120" w:firstLineChars="50"/>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2268" w:type="dxa"/>
            <w:gridSpan w:val="2"/>
            <w:vAlign w:val="top"/>
          </w:tcPr>
          <w:p>
            <w:pPr>
              <w:spacing w:line="360" w:lineRule="auto"/>
              <w:ind w:firstLine="120" w:firstLineChars="50"/>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指标名称</w:t>
            </w:r>
          </w:p>
        </w:tc>
        <w:tc>
          <w:tcPr>
            <w:tcW w:w="5245" w:type="dxa"/>
            <w:vAlign w:val="center"/>
          </w:tcPr>
          <w:p>
            <w:pPr>
              <w:spacing w:line="360" w:lineRule="auto"/>
              <w:ind w:firstLine="120" w:firstLineChars="50"/>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评分说明</w:t>
            </w:r>
          </w:p>
        </w:tc>
        <w:tc>
          <w:tcPr>
            <w:tcW w:w="1417" w:type="dxa"/>
            <w:vAlign w:val="center"/>
          </w:tcPr>
          <w:p>
            <w:pPr>
              <w:spacing w:line="360" w:lineRule="auto"/>
              <w:ind w:firstLine="120" w:firstLineChars="50"/>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1"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1134" w:type="dxa"/>
            <w:vMerge w:val="restart"/>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单位指标</w:t>
            </w:r>
          </w:p>
        </w:tc>
        <w:tc>
          <w:tcPr>
            <w:tcW w:w="1134"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办学水平</w:t>
            </w:r>
          </w:p>
        </w:tc>
        <w:tc>
          <w:tcPr>
            <w:tcW w:w="5245" w:type="dxa"/>
            <w:vAlign w:val="center"/>
          </w:tcPr>
          <w:p>
            <w:pPr>
              <w:widowControl/>
              <w:shd w:val="clear" w:color="auto" w:fill="FFFFFF"/>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被评为省一级幼儿园，得20分；被评为市一级幼儿园的，得18分；被评为区一级幼儿园的，得16分。（该项不累计，满分20分）</w:t>
            </w:r>
          </w:p>
        </w:tc>
        <w:tc>
          <w:tcPr>
            <w:tcW w:w="1417"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1"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1134" w:type="dxa"/>
            <w:vMerge w:val="continue"/>
            <w:vAlign w:val="top"/>
          </w:tcPr>
          <w:p>
            <w:pPr>
              <w:widowControl/>
              <w:shd w:val="clear" w:color="auto" w:fill="FFFFFF"/>
              <w:spacing w:line="360" w:lineRule="auto"/>
              <w:jc w:val="center"/>
              <w:rPr>
                <w:rFonts w:hint="eastAsia" w:ascii="宋体" w:hAnsi="宋体"/>
                <w:color w:val="000000"/>
                <w:kern w:val="0"/>
                <w:sz w:val="24"/>
                <w:highlight w:val="none"/>
              </w:rPr>
            </w:pPr>
          </w:p>
        </w:tc>
        <w:tc>
          <w:tcPr>
            <w:tcW w:w="1134"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办学荣誉</w:t>
            </w:r>
          </w:p>
        </w:tc>
        <w:tc>
          <w:tcPr>
            <w:tcW w:w="5245" w:type="dxa"/>
            <w:vAlign w:val="top"/>
          </w:tcPr>
          <w:p>
            <w:pPr>
              <w:widowControl/>
              <w:shd w:val="clear" w:color="auto" w:fill="FFFFFF"/>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申报之日起算近三年获得“市（区）优质办学园”、“市（区）特色示范园”、“市（区）教育先进单位”荣誉，每符合一项，得5分（该项不累计）；被认定为“联盟牵头园”得5分。（该项累计，满分10分）</w:t>
            </w:r>
          </w:p>
        </w:tc>
        <w:tc>
          <w:tcPr>
            <w:tcW w:w="1417"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1"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1134" w:type="dxa"/>
            <w:vMerge w:val="continue"/>
            <w:vAlign w:val="top"/>
          </w:tcPr>
          <w:p>
            <w:pPr>
              <w:widowControl/>
              <w:shd w:val="clear" w:color="auto" w:fill="FFFFFF"/>
              <w:spacing w:line="360" w:lineRule="auto"/>
              <w:jc w:val="center"/>
              <w:rPr>
                <w:rFonts w:hint="eastAsia" w:ascii="宋体" w:hAnsi="宋体"/>
                <w:color w:val="000000"/>
                <w:kern w:val="0"/>
                <w:sz w:val="24"/>
                <w:highlight w:val="none"/>
              </w:rPr>
            </w:pPr>
          </w:p>
        </w:tc>
        <w:tc>
          <w:tcPr>
            <w:tcW w:w="1134"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依法办学</w:t>
            </w:r>
          </w:p>
        </w:tc>
        <w:tc>
          <w:tcPr>
            <w:tcW w:w="5245" w:type="dxa"/>
            <w:vAlign w:val="top"/>
          </w:tcPr>
          <w:p>
            <w:pPr>
              <w:widowControl/>
              <w:shd w:val="clear" w:color="auto" w:fill="FFFFFF"/>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上一年度教育行政部门年检得分95分及以上的，得20分；年检得分90分（含）以上、95分以下的，得15分；年检得分85分（含）以上、90分以下的，得10分；年检得分80分（含）以上、85分以下的，得5分；年检得分80分以下的，不得分。（该项不累计，满分20分）</w:t>
            </w:r>
          </w:p>
        </w:tc>
        <w:tc>
          <w:tcPr>
            <w:tcW w:w="1417"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1"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1134" w:type="dxa"/>
            <w:vMerge w:val="continue"/>
            <w:vAlign w:val="top"/>
          </w:tcPr>
          <w:p>
            <w:pPr>
              <w:widowControl/>
              <w:shd w:val="clear" w:color="auto" w:fill="FFFFFF"/>
              <w:spacing w:line="360" w:lineRule="auto"/>
              <w:jc w:val="center"/>
              <w:rPr>
                <w:rFonts w:hint="eastAsia" w:ascii="宋体" w:hAnsi="宋体"/>
                <w:color w:val="000000"/>
                <w:kern w:val="0"/>
                <w:sz w:val="24"/>
                <w:highlight w:val="none"/>
              </w:rPr>
            </w:pPr>
          </w:p>
        </w:tc>
        <w:tc>
          <w:tcPr>
            <w:tcW w:w="1134"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办学时间</w:t>
            </w:r>
          </w:p>
        </w:tc>
        <w:tc>
          <w:tcPr>
            <w:tcW w:w="5245" w:type="dxa"/>
            <w:vAlign w:val="top"/>
          </w:tcPr>
          <w:p>
            <w:pPr>
              <w:widowControl/>
              <w:shd w:val="clear" w:color="auto" w:fill="FFFFFF"/>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自申报之日起，办学时间10年及以上得15分，6-10年得10，3-6年得8分，3年以下得6分。（该项不累计，满分15）</w:t>
            </w:r>
          </w:p>
        </w:tc>
        <w:tc>
          <w:tcPr>
            <w:tcW w:w="1417"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1"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1134" w:type="dxa"/>
            <w:vMerge w:val="continue"/>
            <w:vAlign w:val="top"/>
          </w:tcPr>
          <w:p>
            <w:pPr>
              <w:widowControl/>
              <w:shd w:val="clear" w:color="auto" w:fill="FFFFFF"/>
              <w:spacing w:line="360" w:lineRule="auto"/>
              <w:jc w:val="center"/>
              <w:rPr>
                <w:rFonts w:hint="eastAsia" w:ascii="宋体" w:hAnsi="宋体"/>
                <w:color w:val="000000"/>
                <w:kern w:val="0"/>
                <w:sz w:val="24"/>
                <w:highlight w:val="none"/>
              </w:rPr>
            </w:pPr>
          </w:p>
        </w:tc>
        <w:tc>
          <w:tcPr>
            <w:tcW w:w="1134"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人才规模</w:t>
            </w:r>
          </w:p>
        </w:tc>
        <w:tc>
          <w:tcPr>
            <w:tcW w:w="5245" w:type="dxa"/>
            <w:vAlign w:val="center"/>
          </w:tcPr>
          <w:p>
            <w:pPr>
              <w:widowControl/>
              <w:shd w:val="clear" w:color="auto" w:fill="FFFFFF"/>
              <w:spacing w:line="360" w:lineRule="auto"/>
              <w:jc w:val="left"/>
              <w:rPr>
                <w:rFonts w:hint="eastAsia" w:ascii="宋体" w:hAnsi="宋体"/>
                <w:color w:val="000000"/>
                <w:kern w:val="0"/>
                <w:sz w:val="24"/>
                <w:highlight w:val="none"/>
              </w:rPr>
            </w:pPr>
            <w:r>
              <w:rPr>
                <w:rFonts w:hint="eastAsia" w:ascii="宋体" w:hAnsi="宋体" w:cs="Segoe UI"/>
                <w:color w:val="000000"/>
                <w:kern w:val="0"/>
                <w:sz w:val="24"/>
                <w:szCs w:val="24"/>
                <w:highlight w:val="none"/>
              </w:rPr>
              <w:t>教职工本科以上或中级职称以上每人</w:t>
            </w:r>
            <w:r>
              <w:rPr>
                <w:rFonts w:hint="eastAsia" w:ascii="宋体" w:hAnsi="宋体" w:cs="Segoe UI"/>
                <w:bCs/>
                <w:color w:val="000000"/>
                <w:kern w:val="0"/>
                <w:sz w:val="24"/>
                <w:szCs w:val="24"/>
                <w:highlight w:val="none"/>
              </w:rPr>
              <w:t>得,4分</w:t>
            </w:r>
            <w:r>
              <w:rPr>
                <w:rFonts w:hint="eastAsia" w:ascii="宋体" w:hAnsi="宋体" w:cs="Segoe UI"/>
                <w:color w:val="000000"/>
                <w:kern w:val="0"/>
                <w:sz w:val="24"/>
                <w:szCs w:val="24"/>
                <w:highlight w:val="none"/>
              </w:rPr>
              <w:t>，最高得30分；引进1名硕士研究生或副高职称经认定深圳市高层次人才或海外高层次人才或被认定市（区）级骨干教师1人，得5分；被认定为市（区）级名师1人，得5分。（</w:t>
            </w:r>
            <w:r>
              <w:rPr>
                <w:rFonts w:hint="eastAsia" w:ascii="宋体" w:hAnsi="宋体" w:cs="Segoe UI"/>
                <w:bCs/>
                <w:color w:val="000000"/>
                <w:kern w:val="0"/>
                <w:sz w:val="24"/>
                <w:szCs w:val="24"/>
                <w:highlight w:val="none"/>
              </w:rPr>
              <w:t>核减在编人员人才规模数额，</w:t>
            </w:r>
            <w:r>
              <w:rPr>
                <w:rFonts w:hint="eastAsia" w:ascii="宋体" w:hAnsi="宋体" w:cs="Segoe UI"/>
                <w:color w:val="000000"/>
                <w:kern w:val="0"/>
                <w:sz w:val="24"/>
                <w:szCs w:val="24"/>
                <w:highlight w:val="none"/>
              </w:rPr>
              <w:t>该项累计，满分35分）</w:t>
            </w:r>
          </w:p>
        </w:tc>
        <w:tc>
          <w:tcPr>
            <w:tcW w:w="1417"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51" w:type="dxa"/>
            <w:vAlign w:val="center"/>
          </w:tcPr>
          <w:p>
            <w:pPr>
              <w:widowControl/>
              <w:shd w:val="clear" w:color="auto" w:fill="FFFFFF"/>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6</w:t>
            </w:r>
          </w:p>
        </w:tc>
        <w:tc>
          <w:tcPr>
            <w:tcW w:w="1134"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w:t>
            </w:r>
          </w:p>
        </w:tc>
        <w:tc>
          <w:tcPr>
            <w:tcW w:w="1134"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额外加分项</w:t>
            </w:r>
          </w:p>
        </w:tc>
        <w:tc>
          <w:tcPr>
            <w:tcW w:w="5245" w:type="dxa"/>
            <w:vAlign w:val="center"/>
          </w:tcPr>
          <w:p>
            <w:pPr>
              <w:widowControl/>
              <w:shd w:val="clear" w:color="auto" w:fill="FFFFFF"/>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党组织建设情况 ：建有独立党支部的得5分；建立了联合党支部的得2分；组织关系在南山教育工委民办临时党支部的党员每人得1分，最高得5分。（该项累计，满分10分）</w:t>
            </w:r>
          </w:p>
        </w:tc>
        <w:tc>
          <w:tcPr>
            <w:tcW w:w="1417" w:type="dxa"/>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985" w:type="dxa"/>
            <w:gridSpan w:val="2"/>
            <w:vAlign w:val="center"/>
          </w:tcPr>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总评分</w:t>
            </w:r>
          </w:p>
        </w:tc>
        <w:tc>
          <w:tcPr>
            <w:tcW w:w="6379" w:type="dxa"/>
            <w:gridSpan w:val="2"/>
            <w:vAlign w:val="center"/>
          </w:tcPr>
          <w:p>
            <w:pPr>
              <w:widowControl/>
              <w:shd w:val="clear" w:color="auto" w:fill="FFFFFF"/>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单位指标得分= A+B+C+D+E（满分100分）+F</w:t>
            </w:r>
          </w:p>
          <w:p>
            <w:pPr>
              <w:widowControl/>
              <w:shd w:val="clear" w:color="auto" w:fill="FFFFFF"/>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(总评分相等的申请单位，进行抽签确定。)</w:t>
            </w:r>
          </w:p>
        </w:tc>
        <w:tc>
          <w:tcPr>
            <w:tcW w:w="1417" w:type="dxa"/>
            <w:vAlign w:val="center"/>
          </w:tcPr>
          <w:p>
            <w:pPr>
              <w:widowControl/>
              <w:shd w:val="clear" w:color="auto" w:fill="FFFFFF"/>
              <w:spacing w:line="360" w:lineRule="auto"/>
              <w:jc w:val="left"/>
              <w:rPr>
                <w:rFonts w:hint="eastAsia" w:ascii="宋体" w:hAnsi="宋体"/>
                <w:color w:val="000000"/>
                <w:kern w:val="0"/>
                <w:sz w:val="24"/>
                <w:highlight w:val="none"/>
              </w:rPr>
            </w:pPr>
          </w:p>
        </w:tc>
      </w:tr>
    </w:tbl>
    <w:p>
      <w:pPr>
        <w:spacing w:line="360" w:lineRule="auto"/>
        <w:rPr>
          <w:rFonts w:hint="eastAsia" w:ascii="宋体" w:hAnsi="宋体" w:cs="Segoe UI"/>
          <w:color w:val="000000"/>
          <w:kern w:val="0"/>
          <w:sz w:val="24"/>
          <w:szCs w:val="24"/>
          <w:highlight w:val="none"/>
        </w:rPr>
      </w:pPr>
    </w:p>
    <w:p>
      <w:pPr>
        <w:spacing w:line="360" w:lineRule="auto"/>
        <w:ind w:firstLine="482" w:firstLineChars="200"/>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3、申报材料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88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序号</w:t>
            </w:r>
          </w:p>
        </w:tc>
        <w:tc>
          <w:tcPr>
            <w:tcW w:w="4889"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材料名称</w:t>
            </w:r>
          </w:p>
        </w:tc>
        <w:tc>
          <w:tcPr>
            <w:tcW w:w="2816"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4889" w:type="dxa"/>
            <w:vAlign w:val="center"/>
          </w:tcPr>
          <w:p>
            <w:pPr>
              <w:spacing w:line="360" w:lineRule="auto"/>
              <w:ind w:firstLine="120" w:firstLineChars="50"/>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南山区人才安居定向配租补租申报表。</w:t>
            </w:r>
          </w:p>
        </w:tc>
        <w:tc>
          <w:tcPr>
            <w:tcW w:w="2816"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4889" w:type="dxa"/>
            <w:vAlign w:val="center"/>
          </w:tcPr>
          <w:p>
            <w:pPr>
              <w:spacing w:line="360" w:lineRule="auto"/>
              <w:ind w:firstLine="120" w:firstLineChars="50"/>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学校（幼儿园）相关证照（含办学许可证、法人登记证等）；法定代表人身份证复印件。</w:t>
            </w:r>
          </w:p>
        </w:tc>
        <w:tc>
          <w:tcPr>
            <w:tcW w:w="2816"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4889" w:type="dxa"/>
            <w:vAlign w:val="center"/>
          </w:tcPr>
          <w:p>
            <w:pPr>
              <w:spacing w:line="360" w:lineRule="auto"/>
              <w:ind w:firstLine="120" w:firstLineChars="50"/>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学校办学场地租赁合同或有效使用证明。</w:t>
            </w:r>
          </w:p>
        </w:tc>
        <w:tc>
          <w:tcPr>
            <w:tcW w:w="2816"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4</w:t>
            </w:r>
          </w:p>
        </w:tc>
        <w:tc>
          <w:tcPr>
            <w:tcW w:w="4889" w:type="dxa"/>
            <w:vAlign w:val="center"/>
          </w:tcPr>
          <w:p>
            <w:pPr>
              <w:spacing w:line="360" w:lineRule="auto"/>
              <w:ind w:firstLine="120" w:firstLineChars="50"/>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申请人学历证、职称证、身份证或居住证、教龄证明等复印件。</w:t>
            </w:r>
          </w:p>
        </w:tc>
        <w:tc>
          <w:tcPr>
            <w:tcW w:w="2816"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5</w:t>
            </w:r>
          </w:p>
        </w:tc>
        <w:tc>
          <w:tcPr>
            <w:tcW w:w="4889" w:type="dxa"/>
            <w:vAlign w:val="center"/>
          </w:tcPr>
          <w:p>
            <w:pPr>
              <w:spacing w:line="360" w:lineRule="auto"/>
              <w:ind w:firstLine="120" w:firstLineChars="50"/>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深圳市、区教育行政部门授予的奖项证明。</w:t>
            </w:r>
          </w:p>
        </w:tc>
        <w:tc>
          <w:tcPr>
            <w:tcW w:w="2816" w:type="dxa"/>
            <w:vAlign w:val="center"/>
          </w:tcPr>
          <w:p>
            <w:pPr>
              <w:spacing w:line="360" w:lineRule="auto"/>
              <w:ind w:firstLine="120" w:firstLineChars="50"/>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6</w:t>
            </w:r>
          </w:p>
        </w:tc>
        <w:tc>
          <w:tcPr>
            <w:tcW w:w="4889" w:type="dxa"/>
            <w:vAlign w:val="center"/>
          </w:tcPr>
          <w:p>
            <w:pPr>
              <w:spacing w:line="360" w:lineRule="auto"/>
              <w:ind w:firstLine="120" w:firstLineChars="50"/>
              <w:rPr>
                <w:rFonts w:ascii="宋体" w:hAnsi="宋体" w:cs="Segoe UI"/>
                <w:color w:val="000000"/>
                <w:kern w:val="0"/>
                <w:sz w:val="24"/>
                <w:szCs w:val="24"/>
                <w:highlight w:val="none"/>
              </w:rPr>
            </w:pPr>
            <w:r>
              <w:rPr>
                <w:rFonts w:hint="eastAsia" w:ascii="宋体" w:hAnsi="宋体"/>
                <w:color w:val="000000"/>
                <w:kern w:val="0"/>
                <w:sz w:val="24"/>
                <w:highlight w:val="none"/>
              </w:rPr>
              <w:t>申报定向配租补租人才明细表。</w:t>
            </w:r>
          </w:p>
        </w:tc>
        <w:tc>
          <w:tcPr>
            <w:tcW w:w="2816" w:type="dxa"/>
            <w:vAlign w:val="center"/>
          </w:tcPr>
          <w:p>
            <w:pPr>
              <w:spacing w:line="360" w:lineRule="auto"/>
              <w:ind w:firstLine="120" w:firstLineChars="50"/>
              <w:jc w:val="center"/>
              <w:rPr>
                <w:rFonts w:ascii="宋体" w:hAnsi="宋体" w:cs="Segoe UI"/>
                <w:color w:val="000000"/>
                <w:kern w:val="0"/>
                <w:sz w:val="24"/>
                <w:szCs w:val="24"/>
                <w:highlight w:val="none"/>
              </w:rPr>
            </w:pPr>
            <w:r>
              <w:rPr>
                <w:rFonts w:hint="eastAsia" w:ascii="宋体" w:hAnsi="宋体"/>
                <w:color w:val="000000"/>
                <w:sz w:val="24"/>
                <w:szCs w:val="24"/>
                <w:highlight w:val="none"/>
              </w:rPr>
              <w:t>在“申报系统”中直接填报，或下载模板填写上传</w:t>
            </w:r>
          </w:p>
        </w:tc>
      </w:tr>
    </w:tbl>
    <w:p>
      <w:pPr>
        <w:spacing w:line="360" w:lineRule="auto"/>
        <w:ind w:firstLine="472" w:firstLineChars="196"/>
        <w:rPr>
          <w:rFonts w:hint="eastAsia" w:ascii="宋体" w:hAnsi="宋体"/>
          <w:b/>
          <w:color w:val="000000"/>
          <w:kern w:val="0"/>
          <w:sz w:val="24"/>
          <w:highlight w:val="none"/>
        </w:rPr>
      </w:pPr>
      <w:r>
        <w:rPr>
          <w:rFonts w:hint="eastAsia" w:ascii="宋体" w:hAnsi="宋体"/>
          <w:b/>
          <w:color w:val="000000"/>
          <w:kern w:val="0"/>
          <w:sz w:val="24"/>
          <w:highlight w:val="none"/>
        </w:rPr>
        <w:t>4、配额上限</w:t>
      </w:r>
    </w:p>
    <w:p>
      <w:pPr>
        <w:spacing w:line="360" w:lineRule="auto"/>
        <w:ind w:firstLine="480" w:firstLineChars="200"/>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（1）幼儿园补租配额上限30套、配租配额上限3套；</w:t>
      </w:r>
    </w:p>
    <w:p>
      <w:pPr>
        <w:spacing w:line="360" w:lineRule="auto"/>
        <w:ind w:firstLine="480" w:firstLineChars="200"/>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（2）民办学校补租配额上限50套、配租配额上限5套。</w:t>
      </w:r>
    </w:p>
    <w:p>
      <w:pPr>
        <w:spacing w:line="360" w:lineRule="auto"/>
        <w:ind w:firstLine="472" w:firstLineChars="196"/>
        <w:rPr>
          <w:rFonts w:hint="eastAsia" w:ascii="宋体" w:hAnsi="宋体"/>
          <w:b/>
          <w:color w:val="000000"/>
          <w:kern w:val="0"/>
          <w:sz w:val="24"/>
          <w:highlight w:val="none"/>
        </w:rPr>
      </w:pPr>
    </w:p>
    <w:p>
      <w:pPr>
        <w:widowControl/>
        <w:shd w:val="clear" w:color="auto" w:fill="FFFFFF"/>
        <w:spacing w:line="360" w:lineRule="auto"/>
        <w:rPr>
          <w:rFonts w:hint="eastAsia" w:ascii="宋体" w:hAnsi="宋体"/>
          <w:b/>
          <w:color w:val="000000"/>
          <w:kern w:val="0"/>
          <w:sz w:val="36"/>
          <w:szCs w:val="36"/>
          <w:highlight w:val="none"/>
        </w:rPr>
      </w:pPr>
    </w:p>
    <w:p>
      <w:pPr>
        <w:widowControl/>
        <w:shd w:val="clear" w:color="auto" w:fill="FFFFFF"/>
        <w:spacing w:line="360" w:lineRule="auto"/>
        <w:jc w:val="center"/>
        <w:rPr>
          <w:rFonts w:hint="eastAsia" w:ascii="宋体" w:hAnsi="宋体"/>
          <w:b/>
          <w:color w:val="000000"/>
          <w:kern w:val="0"/>
          <w:sz w:val="36"/>
          <w:szCs w:val="36"/>
          <w:highlight w:val="none"/>
        </w:rPr>
      </w:pPr>
      <w:r>
        <w:rPr>
          <w:rFonts w:hint="eastAsia" w:ascii="宋体" w:hAnsi="宋体"/>
          <w:b/>
          <w:color w:val="000000"/>
          <w:kern w:val="0"/>
          <w:sz w:val="36"/>
          <w:szCs w:val="36"/>
          <w:highlight w:val="none"/>
        </w:rPr>
        <w:t>Ⅷ 区重点新引进企业及有重大项目企业、</w:t>
      </w:r>
    </w:p>
    <w:p>
      <w:pPr>
        <w:widowControl/>
        <w:shd w:val="clear" w:color="auto" w:fill="FFFFFF"/>
        <w:spacing w:line="360" w:lineRule="auto"/>
        <w:jc w:val="center"/>
        <w:rPr>
          <w:rFonts w:hint="eastAsia" w:ascii="宋体" w:hAnsi="宋体"/>
          <w:b/>
          <w:color w:val="000000"/>
          <w:kern w:val="0"/>
          <w:sz w:val="36"/>
          <w:szCs w:val="36"/>
          <w:highlight w:val="none"/>
        </w:rPr>
      </w:pPr>
      <w:r>
        <w:rPr>
          <w:rFonts w:hint="eastAsia" w:ascii="宋体" w:hAnsi="宋体"/>
          <w:b/>
          <w:color w:val="000000"/>
          <w:kern w:val="0"/>
          <w:sz w:val="36"/>
          <w:szCs w:val="36"/>
          <w:highlight w:val="none"/>
        </w:rPr>
        <w:t>稳增长奖励企业</w:t>
      </w:r>
    </w:p>
    <w:p>
      <w:pPr>
        <w:widowControl/>
        <w:shd w:val="clear" w:color="auto" w:fill="FFFFFF"/>
        <w:spacing w:line="360" w:lineRule="auto"/>
        <w:jc w:val="center"/>
        <w:rPr>
          <w:rFonts w:hint="eastAsia" w:ascii="宋体" w:hAnsi="宋体"/>
          <w:color w:val="000000"/>
          <w:kern w:val="0"/>
          <w:sz w:val="24"/>
          <w:highlight w:val="none"/>
        </w:rPr>
      </w:pPr>
    </w:p>
    <w:p>
      <w:pPr>
        <w:widowControl/>
        <w:shd w:val="clear" w:color="auto" w:fill="FFFFFF"/>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本类别以各行业主管部门发布的相关通告或相关工作方案为准，不在本评分标准中规定。</w:t>
      </w:r>
    </w:p>
    <w:p>
      <w:pPr>
        <w:widowControl/>
        <w:shd w:val="clear" w:color="auto" w:fill="FFFFFF"/>
        <w:spacing w:line="360" w:lineRule="auto"/>
        <w:ind w:firstLine="480" w:firstLineChars="200"/>
        <w:rPr>
          <w:rFonts w:hint="eastAsia" w:ascii="宋体" w:hAnsi="宋体"/>
          <w:bCs/>
          <w:color w:val="000000"/>
          <w:sz w:val="24"/>
          <w:szCs w:val="24"/>
          <w:highlight w:val="none"/>
        </w:rPr>
      </w:pPr>
    </w:p>
    <w:p>
      <w:pPr>
        <w:widowControl/>
        <w:shd w:val="clear" w:color="auto" w:fill="FFFFFF"/>
        <w:spacing w:line="360" w:lineRule="auto"/>
        <w:rPr>
          <w:rFonts w:hint="eastAsia" w:ascii="宋体" w:hAnsi="宋体"/>
          <w:color w:val="000000"/>
          <w:kern w:val="0"/>
          <w:sz w:val="24"/>
          <w:highlight w:val="none"/>
        </w:rPr>
      </w:pPr>
    </w:p>
    <w:p>
      <w:pPr>
        <w:widowControl/>
        <w:shd w:val="clear" w:color="auto" w:fill="FFFFFF"/>
        <w:spacing w:line="360" w:lineRule="auto"/>
        <w:jc w:val="center"/>
        <w:rPr>
          <w:rFonts w:hint="eastAsia" w:ascii="宋体" w:hAnsi="宋体"/>
          <w:b/>
          <w:color w:val="000000"/>
          <w:sz w:val="36"/>
          <w:szCs w:val="36"/>
          <w:highlight w:val="none"/>
        </w:rPr>
      </w:pPr>
      <w:r>
        <w:rPr>
          <w:rFonts w:hint="eastAsia" w:ascii="宋体" w:hAnsi="宋体"/>
          <w:b/>
          <w:color w:val="000000"/>
          <w:sz w:val="36"/>
          <w:szCs w:val="36"/>
          <w:highlight w:val="none"/>
        </w:rPr>
        <w:t xml:space="preserve">Ⅸ </w:t>
      </w:r>
      <w:r>
        <w:rPr>
          <w:rFonts w:hint="eastAsia" w:ascii="宋体" w:hAnsi="宋体"/>
          <w:b/>
          <w:color w:val="000000"/>
          <w:sz w:val="36"/>
          <w:szCs w:val="36"/>
          <w:highlight w:val="none"/>
          <w:lang w:eastAsia="zh-CN"/>
        </w:rPr>
        <w:t>“</w:t>
      </w:r>
      <w:r>
        <w:rPr>
          <w:rFonts w:hint="eastAsia" w:ascii="宋体" w:hAnsi="宋体"/>
          <w:b/>
          <w:color w:val="000000"/>
          <w:sz w:val="36"/>
          <w:szCs w:val="36"/>
          <w:highlight w:val="none"/>
        </w:rPr>
        <w:t>领航人才</w:t>
      </w:r>
      <w:r>
        <w:rPr>
          <w:rFonts w:hint="eastAsia" w:ascii="宋体" w:hAnsi="宋体"/>
          <w:b/>
          <w:color w:val="000000"/>
          <w:sz w:val="36"/>
          <w:szCs w:val="36"/>
          <w:highlight w:val="none"/>
          <w:lang w:eastAsia="zh-CN"/>
        </w:rPr>
        <w:t>”</w:t>
      </w:r>
      <w:r>
        <w:rPr>
          <w:rFonts w:hint="eastAsia" w:ascii="宋体" w:hAnsi="宋体"/>
          <w:b/>
          <w:color w:val="000000"/>
          <w:sz w:val="36"/>
          <w:szCs w:val="36"/>
          <w:highlight w:val="none"/>
        </w:rPr>
        <w:t>及留学人员所创办企业或组织</w:t>
      </w:r>
    </w:p>
    <w:p>
      <w:pPr>
        <w:widowControl/>
        <w:shd w:val="clear" w:color="auto" w:fill="FFFFFF"/>
        <w:spacing w:line="360" w:lineRule="auto"/>
        <w:jc w:val="left"/>
        <w:rPr>
          <w:rFonts w:hint="eastAsia" w:ascii="宋体" w:hAnsi="宋体"/>
          <w:b/>
          <w:color w:val="000000"/>
          <w:kern w:val="0"/>
          <w:sz w:val="24"/>
          <w:highlight w:val="none"/>
        </w:rPr>
      </w:pPr>
    </w:p>
    <w:p>
      <w:pPr>
        <w:widowControl/>
        <w:shd w:val="clear" w:color="auto" w:fill="FFFFFF"/>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（一）分类标准</w:t>
      </w:r>
    </w:p>
    <w:p>
      <w:pPr>
        <w:widowControl/>
        <w:shd w:val="clear" w:color="auto" w:fill="FFFFFF"/>
        <w:spacing w:line="360" w:lineRule="auto"/>
        <w:ind w:firstLine="480" w:firstLineChars="200"/>
        <w:jc w:val="left"/>
        <w:rPr>
          <w:rFonts w:hint="eastAsia" w:ascii="宋体" w:hAnsi="宋体"/>
          <w:color w:val="000000"/>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领航人才</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所创办企业或组织；(</w:t>
      </w:r>
      <w:r>
        <w:rPr>
          <w:rFonts w:hint="eastAsia" w:ascii="宋体" w:hAnsi="宋体" w:eastAsia="宋体"/>
          <w:color w:val="000000"/>
          <w:sz w:val="24"/>
          <w:szCs w:val="24"/>
          <w:highlight w:val="none"/>
          <w:lang w:eastAsia="zh-CN"/>
        </w:rPr>
        <w:t>区人才工作局</w:t>
      </w:r>
      <w:r>
        <w:rPr>
          <w:rFonts w:hint="eastAsia" w:ascii="宋体" w:hAnsi="宋体"/>
          <w:color w:val="000000"/>
          <w:sz w:val="24"/>
          <w:szCs w:val="24"/>
          <w:highlight w:val="none"/>
        </w:rPr>
        <w:t>)</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2、留学人员创业企业。（区人资局）</w:t>
      </w:r>
    </w:p>
    <w:p>
      <w:pPr>
        <w:widowControl/>
        <w:shd w:val="clear" w:color="auto" w:fill="FFFFFF"/>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（二）“</w:t>
      </w:r>
      <w:r>
        <w:rPr>
          <w:rFonts w:hint="eastAsia" w:ascii="宋体" w:hAnsi="宋体" w:cs="Segoe UI"/>
          <w:b/>
          <w:color w:val="000000"/>
          <w:kern w:val="0"/>
          <w:sz w:val="24"/>
          <w:szCs w:val="24"/>
          <w:highlight w:val="none"/>
          <w:lang w:eastAsia="zh-CN"/>
        </w:rPr>
        <w:t>‘</w:t>
      </w:r>
      <w:r>
        <w:rPr>
          <w:rFonts w:hint="eastAsia" w:ascii="宋体" w:hAnsi="宋体"/>
          <w:b/>
          <w:color w:val="000000"/>
          <w:sz w:val="24"/>
          <w:szCs w:val="24"/>
          <w:highlight w:val="none"/>
        </w:rPr>
        <w:t>领航人才</w:t>
      </w:r>
      <w:r>
        <w:rPr>
          <w:rFonts w:hint="eastAsia" w:ascii="宋体" w:hAnsi="宋体"/>
          <w:b/>
          <w:color w:val="000000"/>
          <w:sz w:val="24"/>
          <w:szCs w:val="24"/>
          <w:highlight w:val="none"/>
          <w:lang w:eastAsia="zh-CN"/>
        </w:rPr>
        <w:t>’</w:t>
      </w:r>
      <w:r>
        <w:rPr>
          <w:rFonts w:hint="eastAsia" w:ascii="宋体" w:hAnsi="宋体"/>
          <w:b/>
          <w:color w:val="000000"/>
          <w:sz w:val="24"/>
          <w:szCs w:val="24"/>
          <w:highlight w:val="none"/>
        </w:rPr>
        <w:t>所创办企业或组织”</w:t>
      </w:r>
      <w:r>
        <w:rPr>
          <w:rFonts w:hint="eastAsia" w:ascii="宋体" w:hAnsi="宋体" w:cs="Segoe UI"/>
          <w:b/>
          <w:color w:val="000000"/>
          <w:kern w:val="0"/>
          <w:sz w:val="24"/>
          <w:szCs w:val="24"/>
          <w:highlight w:val="none"/>
        </w:rPr>
        <w:t>申报条件、评分细则、申报材料、配额上限</w:t>
      </w:r>
    </w:p>
    <w:p>
      <w:pPr>
        <w:widowControl/>
        <w:shd w:val="clear" w:color="auto" w:fill="FFFFFF"/>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1、申报条件</w:t>
      </w:r>
    </w:p>
    <w:p>
      <w:pPr>
        <w:widowControl/>
        <w:shd w:val="clear" w:color="auto" w:fill="FFFFFF"/>
        <w:spacing w:line="360" w:lineRule="auto"/>
        <w:ind w:firstLine="470" w:firstLineChars="196"/>
        <w:jc w:val="left"/>
        <w:rPr>
          <w:rFonts w:hint="eastAsia" w:ascii="宋体" w:hAnsi="宋体" w:cs="Segoe UI"/>
          <w:b/>
          <w:color w:val="000000"/>
          <w:kern w:val="0"/>
          <w:sz w:val="24"/>
          <w:szCs w:val="24"/>
          <w:highlight w:val="none"/>
        </w:rPr>
      </w:pPr>
      <w:r>
        <w:rPr>
          <w:rFonts w:hint="eastAsia" w:ascii="宋体" w:hAnsi="宋体" w:cs="Segoe UI"/>
          <w:color w:val="000000"/>
          <w:kern w:val="0"/>
          <w:sz w:val="24"/>
          <w:szCs w:val="24"/>
          <w:highlight w:val="none"/>
        </w:rPr>
        <w:t>（1）已认定为“领航人才”的个人在南山区注册成立的企业或组织，且符合区战略产业导向。每位“领航人才”限申报一家单位；</w:t>
      </w:r>
    </w:p>
    <w:p>
      <w:pPr>
        <w:widowControl/>
        <w:tabs>
          <w:tab w:val="left" w:pos="1680"/>
        </w:tabs>
        <w:adjustRightInd w:val="0"/>
        <w:snapToGrid w:val="0"/>
        <w:spacing w:line="360" w:lineRule="auto"/>
        <w:ind w:firstLine="480" w:firstLineChars="200"/>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（2）对企业单位，“领航人才”应担任法定代表人，或主要管理人员（副总经理以上职务）、技术负责人（技术总监以上职务），且“领航人才”个人投入企业的实收资本占企业总资本的30%以上；</w:t>
      </w:r>
    </w:p>
    <w:p>
      <w:pPr>
        <w:widowControl/>
        <w:tabs>
          <w:tab w:val="left" w:pos="1680"/>
        </w:tabs>
        <w:adjustRightInd w:val="0"/>
        <w:snapToGrid w:val="0"/>
        <w:spacing w:line="360" w:lineRule="auto"/>
        <w:ind w:firstLine="480" w:firstLineChars="200"/>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（3）对社会组织单位，“领航人才”应为该社会组织的法定代表人（负责人）。</w:t>
      </w: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2、评分细则</w:t>
      </w:r>
    </w:p>
    <w:p>
      <w:pPr>
        <w:widowControl/>
        <w:shd w:val="clear" w:color="auto" w:fill="FFFFFF"/>
        <w:spacing w:line="360" w:lineRule="auto"/>
        <w:ind w:firstLine="426"/>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(1)根据人才类别、税收贡献、人才规模（以通告日期社保登记为准，下同）等三项指标分别按百分制计算出分数，再按权重比例计算出分值：人才类别x20%</w:t>
      </w:r>
      <w:r>
        <w:rPr>
          <w:rFonts w:hint="eastAsia" w:ascii="宋体" w:hAnsi="宋体"/>
          <w:color w:val="000000"/>
          <w:kern w:val="0"/>
          <w:sz w:val="24"/>
          <w:highlight w:val="none"/>
        </w:rPr>
        <w:t>+</w:t>
      </w:r>
      <w:r>
        <w:rPr>
          <w:rFonts w:hint="eastAsia" w:ascii="宋体" w:hAnsi="宋体" w:cs="Segoe UI"/>
          <w:color w:val="000000"/>
          <w:kern w:val="0"/>
          <w:sz w:val="24"/>
          <w:szCs w:val="24"/>
          <w:highlight w:val="none"/>
        </w:rPr>
        <w:t>税收贡献x40%</w:t>
      </w:r>
      <w:r>
        <w:rPr>
          <w:rFonts w:hint="eastAsia" w:ascii="宋体" w:hAnsi="宋体"/>
          <w:color w:val="000000"/>
          <w:kern w:val="0"/>
          <w:sz w:val="24"/>
          <w:highlight w:val="none"/>
        </w:rPr>
        <w:t>+</w:t>
      </w:r>
      <w:r>
        <w:rPr>
          <w:rFonts w:hint="eastAsia" w:ascii="宋体" w:hAnsi="宋体" w:cs="Segoe UI"/>
          <w:color w:val="000000"/>
          <w:kern w:val="0"/>
          <w:sz w:val="24"/>
          <w:szCs w:val="24"/>
          <w:highlight w:val="none"/>
        </w:rPr>
        <w:t>人才规模x40%；</w:t>
      </w:r>
    </w:p>
    <w:p>
      <w:pPr>
        <w:widowControl/>
        <w:shd w:val="clear" w:color="auto" w:fill="FFFFFF"/>
        <w:spacing w:line="360" w:lineRule="auto"/>
        <w:ind w:firstLine="48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(2)税收贡献，上一年度（1月1日-12月31日）税款缴纳时间为准，不考虑税款的所属期，含代扣代缴税费。</w:t>
      </w:r>
    </w:p>
    <w:p>
      <w:pPr>
        <w:widowControl/>
        <w:shd w:val="clear" w:color="auto" w:fill="FFFFFF"/>
        <w:spacing w:line="360" w:lineRule="auto"/>
        <w:ind w:firstLine="64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具体细则如下：</w:t>
      </w:r>
      <w:bookmarkStart w:id="0" w:name="_GoBack"/>
      <w:bookmarkEnd w:id="0"/>
    </w:p>
    <w:tbl>
      <w:tblPr>
        <w:tblStyle w:val="8"/>
        <w:tblW w:w="8931" w:type="dxa"/>
        <w:tblInd w:w="-34" w:type="dxa"/>
        <w:tblLayout w:type="fixed"/>
        <w:tblCellMar>
          <w:top w:w="0" w:type="dxa"/>
          <w:left w:w="0" w:type="dxa"/>
          <w:bottom w:w="0" w:type="dxa"/>
          <w:right w:w="0" w:type="dxa"/>
        </w:tblCellMar>
      </w:tblPr>
      <w:tblGrid>
        <w:gridCol w:w="851"/>
        <w:gridCol w:w="1276"/>
        <w:gridCol w:w="6095"/>
        <w:gridCol w:w="709"/>
      </w:tblGrid>
      <w:tr>
        <w:tblPrEx>
          <w:tblLayout w:type="fixed"/>
          <w:tblCellMar>
            <w:top w:w="0" w:type="dxa"/>
            <w:left w:w="0" w:type="dxa"/>
            <w:bottom w:w="0" w:type="dxa"/>
            <w:right w:w="0" w:type="dxa"/>
          </w:tblCellMar>
        </w:tblPrEx>
        <w:trPr>
          <w:trHeight w:val="834"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指标名称</w:t>
            </w:r>
          </w:p>
        </w:tc>
        <w:tc>
          <w:tcPr>
            <w:tcW w:w="60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评分说明</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得分</w:t>
            </w:r>
          </w:p>
        </w:tc>
      </w:tr>
      <w:tr>
        <w:tblPrEx>
          <w:tblLayout w:type="fixed"/>
          <w:tblCellMar>
            <w:top w:w="0" w:type="dxa"/>
            <w:left w:w="0" w:type="dxa"/>
            <w:bottom w:w="0" w:type="dxa"/>
            <w:right w:w="0" w:type="dxa"/>
          </w:tblCellMar>
        </w:tblPrEx>
        <w:trPr>
          <w:trHeight w:val="649"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olor w:val="000000"/>
                <w:kern w:val="0"/>
                <w:sz w:val="24"/>
                <w:highlight w:val="none"/>
              </w:rPr>
            </w:pPr>
            <w:r>
              <w:rPr>
                <w:rFonts w:hint="eastAsia" w:ascii="宋体" w:hAnsi="宋体"/>
                <w:color w:val="000000"/>
                <w:kern w:val="0"/>
                <w:sz w:val="24"/>
                <w:highlight w:val="none"/>
              </w:rPr>
              <w:t>人才类别</w:t>
            </w:r>
          </w:p>
        </w:tc>
        <w:tc>
          <w:tcPr>
            <w:tcW w:w="60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olor w:val="000000"/>
                <w:kern w:val="0"/>
                <w:sz w:val="24"/>
                <w:highlight w:val="none"/>
              </w:rPr>
            </w:pPr>
            <w:r>
              <w:rPr>
                <w:rFonts w:hint="eastAsia" w:ascii="宋体" w:hAnsi="宋体"/>
                <w:color w:val="000000"/>
                <w:kern w:val="0"/>
                <w:sz w:val="24"/>
                <w:highlight w:val="none"/>
              </w:rPr>
              <w:t>创办人为A类“领航人才”的，得100分；为B类“领航人才”的，得80分；为C类“领航人才”的，得60分。</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A</w:t>
            </w:r>
          </w:p>
        </w:tc>
      </w:tr>
      <w:tr>
        <w:tblPrEx>
          <w:tblLayout w:type="fixed"/>
          <w:tblCellMar>
            <w:top w:w="0" w:type="dxa"/>
            <w:left w:w="0" w:type="dxa"/>
            <w:bottom w:w="0" w:type="dxa"/>
            <w:right w:w="0" w:type="dxa"/>
          </w:tblCellMar>
        </w:tblPrEx>
        <w:trPr>
          <w:trHeight w:val="771"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hint="eastAsia" w:ascii="宋体" w:hAnsi="宋体"/>
                <w:color w:val="000000"/>
                <w:kern w:val="0"/>
                <w:sz w:val="24"/>
                <w:highlight w:val="none"/>
              </w:rPr>
            </w:pPr>
            <w:r>
              <w:rPr>
                <w:rFonts w:hint="eastAsia" w:ascii="宋体" w:hAnsi="宋体"/>
                <w:color w:val="000000"/>
                <w:kern w:val="0"/>
                <w:sz w:val="24"/>
                <w:highlight w:val="none"/>
              </w:rPr>
              <w:t>税收贡献</w:t>
            </w:r>
          </w:p>
        </w:tc>
        <w:tc>
          <w:tcPr>
            <w:tcW w:w="60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上年度纳税50万元（含）以下的，得50分；每增加1万元加1分，满分为100分。</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B</w:t>
            </w:r>
          </w:p>
        </w:tc>
      </w:tr>
      <w:tr>
        <w:tblPrEx>
          <w:tblLayout w:type="fixed"/>
          <w:tblCellMar>
            <w:top w:w="0" w:type="dxa"/>
            <w:left w:w="0" w:type="dxa"/>
            <w:bottom w:w="0" w:type="dxa"/>
            <w:right w:w="0" w:type="dxa"/>
          </w:tblCellMar>
        </w:tblPrEx>
        <w:trPr>
          <w:trHeight w:val="771" w:hRule="atLeast"/>
        </w:trPr>
        <w:tc>
          <w:tcPr>
            <w:tcW w:w="8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hint="eastAsia" w:ascii="宋体" w:hAnsi="宋体"/>
                <w:color w:val="000000"/>
                <w:kern w:val="0"/>
                <w:sz w:val="24"/>
                <w:highlight w:val="none"/>
              </w:rPr>
            </w:pPr>
            <w:r>
              <w:rPr>
                <w:rFonts w:hint="eastAsia" w:ascii="宋体" w:hAnsi="宋体"/>
                <w:color w:val="000000"/>
                <w:kern w:val="0"/>
                <w:sz w:val="24"/>
                <w:highlight w:val="none"/>
              </w:rPr>
              <w:t>人才规模</w:t>
            </w:r>
          </w:p>
        </w:tc>
        <w:tc>
          <w:tcPr>
            <w:tcW w:w="60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人才规模达100人（含）以上，得100分；50人（含）至99人，得80分；50人以下的，得50分。</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C</w:t>
            </w:r>
          </w:p>
        </w:tc>
      </w:tr>
      <w:tr>
        <w:tblPrEx>
          <w:tblLayout w:type="fixed"/>
          <w:tblCellMar>
            <w:top w:w="0" w:type="dxa"/>
            <w:left w:w="0" w:type="dxa"/>
            <w:bottom w:w="0" w:type="dxa"/>
            <w:right w:w="0" w:type="dxa"/>
          </w:tblCellMar>
        </w:tblPrEx>
        <w:trPr>
          <w:trHeight w:val="576" w:hRule="atLeast"/>
        </w:trPr>
        <w:tc>
          <w:tcPr>
            <w:tcW w:w="212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总评分</w:t>
            </w:r>
          </w:p>
        </w:tc>
        <w:tc>
          <w:tcPr>
            <w:tcW w:w="60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计算方法：Ax20%+Bx40%+Cx40%（满分100分）</w:t>
            </w:r>
          </w:p>
          <w:p>
            <w:pPr>
              <w:spacing w:line="360" w:lineRule="auto"/>
              <w:ind w:firstLine="120" w:firstLineChars="50"/>
              <w:jc w:val="center"/>
              <w:rPr>
                <w:rFonts w:hint="eastAsia" w:ascii="宋体" w:hAnsi="宋体"/>
                <w:color w:val="000000"/>
                <w:kern w:val="0"/>
                <w:sz w:val="24"/>
                <w:highlight w:val="none"/>
              </w:rPr>
            </w:pPr>
            <w:r>
              <w:rPr>
                <w:rFonts w:hint="eastAsia" w:ascii="宋体" w:hAnsi="宋体"/>
                <w:color w:val="000000"/>
                <w:kern w:val="0"/>
                <w:sz w:val="24"/>
                <w:highlight w:val="none"/>
              </w:rPr>
              <w:t>(总分相等的企业按上年度纳税金额高低排序)</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olor w:val="000000"/>
                <w:kern w:val="0"/>
                <w:sz w:val="24"/>
                <w:highlight w:val="none"/>
              </w:rPr>
            </w:pPr>
          </w:p>
        </w:tc>
      </w:tr>
    </w:tbl>
    <w:p>
      <w:pPr>
        <w:widowControl/>
        <w:shd w:val="clear" w:color="auto" w:fill="FFFFFF"/>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3、申报材料</w:t>
      </w:r>
    </w:p>
    <w:tbl>
      <w:tblPr>
        <w:tblStyle w:val="8"/>
        <w:tblW w:w="9000" w:type="dxa"/>
        <w:tblInd w:w="-72" w:type="dxa"/>
        <w:tblLayout w:type="fixed"/>
        <w:tblCellMar>
          <w:top w:w="0" w:type="dxa"/>
          <w:left w:w="0" w:type="dxa"/>
          <w:bottom w:w="0" w:type="dxa"/>
          <w:right w:w="0" w:type="dxa"/>
        </w:tblCellMar>
      </w:tblPr>
      <w:tblGrid>
        <w:gridCol w:w="720"/>
        <w:gridCol w:w="5760"/>
        <w:gridCol w:w="2520"/>
      </w:tblGrid>
      <w:tr>
        <w:tblPrEx>
          <w:tblLayout w:type="fixed"/>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序号</w:t>
            </w:r>
          </w:p>
        </w:tc>
        <w:tc>
          <w:tcPr>
            <w:tcW w:w="57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材料名称</w:t>
            </w:r>
          </w:p>
        </w:tc>
        <w:tc>
          <w:tcPr>
            <w:tcW w:w="25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b/>
                <w:color w:val="000000"/>
                <w:kern w:val="0"/>
                <w:sz w:val="24"/>
                <w:highlight w:val="none"/>
              </w:rPr>
              <w:t>材料形式</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1</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南山区人才安居定向配租补租申报表。</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rPr>
          <w:trHeight w:val="694"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2</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三证合一新版营业执照（未换领三证合一新版营业执照的，提交原旧版营业执照、组织机构代码证书、税务登记证书）、法定代表人（或非法人企业负责人）身份证复印件。</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rPr>
          <w:trHeight w:val="694"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3</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“领航人才”证书。</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4</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上年度的纳税证明（2018年1月1日至12月31日）。</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企业信用信息资料（登陆深圳信用网）。</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6</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申报定向配租补租人才明细表。</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highlight w:val="none"/>
              </w:rPr>
            </w:pPr>
            <w:r>
              <w:rPr>
                <w:rFonts w:hint="eastAsia" w:ascii="宋体" w:hAnsi="宋体"/>
                <w:color w:val="000000"/>
                <w:sz w:val="24"/>
                <w:szCs w:val="24"/>
                <w:highlight w:val="none"/>
              </w:rPr>
              <w:t>在“申报系统”中直接填报，或下载模板填写上传</w:t>
            </w:r>
          </w:p>
        </w:tc>
      </w:tr>
    </w:tbl>
    <w:p>
      <w:pPr>
        <w:widowControl/>
        <w:shd w:val="clear" w:color="auto" w:fill="FFFFFF"/>
        <w:spacing w:line="360" w:lineRule="auto"/>
        <w:ind w:firstLine="482" w:firstLineChars="20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4、配额上限</w:t>
      </w:r>
    </w:p>
    <w:tbl>
      <w:tblPr>
        <w:tblStyle w:val="8"/>
        <w:tblW w:w="8931" w:type="dxa"/>
        <w:tblInd w:w="-34" w:type="dxa"/>
        <w:tblLayout w:type="fixed"/>
        <w:tblCellMar>
          <w:top w:w="0" w:type="dxa"/>
          <w:left w:w="0" w:type="dxa"/>
          <w:bottom w:w="0" w:type="dxa"/>
          <w:right w:w="0" w:type="dxa"/>
        </w:tblCellMar>
      </w:tblPr>
      <w:tblGrid>
        <w:gridCol w:w="862"/>
        <w:gridCol w:w="1080"/>
        <w:gridCol w:w="4579"/>
        <w:gridCol w:w="1205"/>
        <w:gridCol w:w="1205"/>
      </w:tblGrid>
      <w:tr>
        <w:tblPrEx>
          <w:tblLayout w:type="fixed"/>
          <w:tblCellMar>
            <w:top w:w="0" w:type="dxa"/>
            <w:left w:w="0" w:type="dxa"/>
            <w:bottom w:w="0" w:type="dxa"/>
            <w:right w:w="0" w:type="dxa"/>
          </w:tblCellMar>
        </w:tblPrEx>
        <w:trPr>
          <w:trHeight w:val="894" w:hRule="atLeast"/>
        </w:trPr>
        <w:tc>
          <w:tcPr>
            <w:tcW w:w="86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b/>
                <w:color w:val="000000"/>
                <w:kern w:val="0"/>
                <w:sz w:val="24"/>
                <w:szCs w:val="24"/>
                <w:highlight w:val="none"/>
              </w:rPr>
            </w:pPr>
            <w:r>
              <w:rPr>
                <w:rFonts w:ascii="宋体" w:hAnsi="宋体" w:cs="Segoe UI"/>
                <w:b/>
                <w:color w:val="000000"/>
                <w:kern w:val="0"/>
                <w:sz w:val="24"/>
                <w:szCs w:val="24"/>
                <w:highlight w:val="none"/>
              </w:rPr>
              <w:t>序号</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b/>
                <w:color w:val="000000"/>
                <w:kern w:val="0"/>
                <w:sz w:val="24"/>
                <w:szCs w:val="24"/>
                <w:highlight w:val="none"/>
              </w:rPr>
            </w:pPr>
            <w:r>
              <w:rPr>
                <w:rFonts w:ascii="宋体" w:hAnsi="宋体" w:cs="Segoe UI"/>
                <w:b/>
                <w:color w:val="000000"/>
                <w:kern w:val="0"/>
                <w:sz w:val="24"/>
                <w:szCs w:val="24"/>
                <w:highlight w:val="none"/>
              </w:rPr>
              <w:t>档次</w:t>
            </w:r>
          </w:p>
        </w:tc>
        <w:tc>
          <w:tcPr>
            <w:tcW w:w="4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b/>
                <w:color w:val="000000"/>
                <w:kern w:val="0"/>
                <w:sz w:val="24"/>
                <w:szCs w:val="24"/>
                <w:highlight w:val="none"/>
              </w:rPr>
            </w:pPr>
            <w:r>
              <w:rPr>
                <w:rFonts w:ascii="宋体" w:hAnsi="宋体" w:cs="Segoe UI"/>
                <w:b/>
                <w:color w:val="000000"/>
                <w:kern w:val="0"/>
                <w:sz w:val="24"/>
                <w:szCs w:val="24"/>
                <w:highlight w:val="none"/>
              </w:rPr>
              <w:t>人才规模</w:t>
            </w:r>
          </w:p>
        </w:tc>
        <w:tc>
          <w:tcPr>
            <w:tcW w:w="12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b/>
                <w:color w:val="000000"/>
                <w:kern w:val="0"/>
                <w:sz w:val="24"/>
                <w:szCs w:val="24"/>
                <w:highlight w:val="none"/>
              </w:rPr>
            </w:pPr>
            <w:r>
              <w:rPr>
                <w:rFonts w:ascii="宋体" w:hAnsi="宋体" w:cs="Segoe UI"/>
                <w:b/>
                <w:color w:val="000000"/>
                <w:kern w:val="0"/>
                <w:sz w:val="24"/>
                <w:szCs w:val="24"/>
                <w:highlight w:val="none"/>
              </w:rPr>
              <w:t>补租</w:t>
            </w:r>
          </w:p>
          <w:p>
            <w:pPr>
              <w:widowControl/>
              <w:spacing w:line="360" w:lineRule="auto"/>
              <w:jc w:val="center"/>
              <w:rPr>
                <w:rFonts w:ascii="宋体" w:hAnsi="宋体" w:cs="Segoe UI"/>
                <w:b/>
                <w:color w:val="000000"/>
                <w:kern w:val="0"/>
                <w:sz w:val="24"/>
                <w:szCs w:val="24"/>
                <w:highlight w:val="none"/>
              </w:rPr>
            </w:pPr>
            <w:r>
              <w:rPr>
                <w:rFonts w:ascii="宋体" w:hAnsi="宋体" w:cs="Segoe UI"/>
                <w:b/>
                <w:color w:val="000000"/>
                <w:kern w:val="0"/>
                <w:sz w:val="24"/>
                <w:szCs w:val="24"/>
                <w:highlight w:val="none"/>
              </w:rPr>
              <w:t>配额上限</w:t>
            </w:r>
          </w:p>
        </w:tc>
        <w:tc>
          <w:tcPr>
            <w:tcW w:w="1205" w:type="dxa"/>
            <w:tcBorders>
              <w:top w:val="single" w:color="auto" w:sz="8" w:space="0"/>
              <w:left w:val="nil"/>
              <w:bottom w:val="single" w:color="auto" w:sz="8" w:space="0"/>
              <w:right w:val="single" w:color="auto" w:sz="8" w:space="0"/>
            </w:tcBorders>
            <w:vAlign w:val="center"/>
          </w:tcPr>
          <w:p>
            <w:pPr>
              <w:spacing w:line="360" w:lineRule="auto"/>
              <w:jc w:val="center"/>
              <w:rPr>
                <w:rFonts w:hint="eastAsia" w:ascii="宋体" w:hAnsi="宋体" w:cs="Segoe UI"/>
                <w:b/>
                <w:color w:val="000000"/>
                <w:kern w:val="0"/>
                <w:sz w:val="24"/>
                <w:szCs w:val="24"/>
                <w:highlight w:val="none"/>
              </w:rPr>
            </w:pPr>
            <w:r>
              <w:rPr>
                <w:rFonts w:ascii="宋体" w:hAnsi="宋体" w:cs="Segoe UI"/>
                <w:b/>
                <w:color w:val="000000"/>
                <w:kern w:val="0"/>
                <w:sz w:val="24"/>
                <w:szCs w:val="24"/>
                <w:highlight w:val="none"/>
              </w:rPr>
              <w:t>配租</w:t>
            </w:r>
          </w:p>
          <w:p>
            <w:pPr>
              <w:spacing w:line="360" w:lineRule="auto"/>
              <w:jc w:val="center"/>
              <w:rPr>
                <w:rFonts w:ascii="宋体" w:hAnsi="宋体" w:cs="Segoe UI"/>
                <w:b/>
                <w:color w:val="000000"/>
                <w:kern w:val="0"/>
                <w:sz w:val="24"/>
                <w:szCs w:val="24"/>
                <w:highlight w:val="none"/>
              </w:rPr>
            </w:pPr>
            <w:r>
              <w:rPr>
                <w:rFonts w:ascii="宋体" w:hAnsi="宋体" w:cs="Segoe UI"/>
                <w:b/>
                <w:color w:val="000000"/>
                <w:kern w:val="0"/>
                <w:sz w:val="24"/>
                <w:szCs w:val="24"/>
                <w:highlight w:val="none"/>
              </w:rPr>
              <w:t>配额上限</w:t>
            </w:r>
          </w:p>
        </w:tc>
      </w:tr>
      <w:tr>
        <w:tblPrEx>
          <w:tblLayout w:type="fixed"/>
          <w:tblCellMar>
            <w:top w:w="0" w:type="dxa"/>
            <w:left w:w="0" w:type="dxa"/>
            <w:bottom w:w="0" w:type="dxa"/>
            <w:right w:w="0" w:type="dxa"/>
          </w:tblCellMar>
        </w:tblPrEx>
        <w:tc>
          <w:tcPr>
            <w:tcW w:w="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ascii="宋体" w:hAnsi="宋体" w:cs="Segoe UI"/>
                <w:color w:val="000000"/>
                <w:kern w:val="0"/>
                <w:sz w:val="24"/>
                <w:szCs w:val="24"/>
                <w:highlight w:val="none"/>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ascii="宋体" w:hAnsi="宋体"/>
                <w:color w:val="000000"/>
                <w:kern w:val="0"/>
                <w:sz w:val="24"/>
                <w:highlight w:val="none"/>
              </w:rPr>
              <w:t>第一档</w:t>
            </w:r>
          </w:p>
        </w:tc>
        <w:tc>
          <w:tcPr>
            <w:tcW w:w="4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ascii="宋体" w:hAnsi="宋体"/>
                <w:color w:val="000000"/>
                <w:kern w:val="0"/>
                <w:sz w:val="24"/>
                <w:highlight w:val="none"/>
              </w:rPr>
              <w:t>人才规模</w:t>
            </w:r>
            <w:r>
              <w:rPr>
                <w:rFonts w:hint="eastAsia" w:ascii="宋体" w:hAnsi="宋体"/>
                <w:color w:val="000000"/>
                <w:kern w:val="0"/>
                <w:sz w:val="24"/>
                <w:highlight w:val="none"/>
              </w:rPr>
              <w:t>100人</w:t>
            </w:r>
            <w:r>
              <w:rPr>
                <w:rFonts w:ascii="宋体" w:hAnsi="宋体"/>
                <w:color w:val="000000"/>
                <w:kern w:val="0"/>
                <w:sz w:val="24"/>
                <w:highlight w:val="none"/>
              </w:rPr>
              <w:t>（含）以上</w:t>
            </w:r>
          </w:p>
        </w:tc>
        <w:tc>
          <w:tcPr>
            <w:tcW w:w="12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40</w:t>
            </w:r>
            <w:r>
              <w:rPr>
                <w:rFonts w:ascii="宋体" w:hAnsi="宋体"/>
                <w:color w:val="000000"/>
                <w:kern w:val="0"/>
                <w:sz w:val="24"/>
                <w:highlight w:val="none"/>
              </w:rPr>
              <w:t>套</w:t>
            </w:r>
          </w:p>
        </w:tc>
        <w:tc>
          <w:tcPr>
            <w:tcW w:w="1205" w:type="dxa"/>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6套</w:t>
            </w:r>
          </w:p>
        </w:tc>
      </w:tr>
      <w:tr>
        <w:tblPrEx>
          <w:tblLayout w:type="fixed"/>
          <w:tblCellMar>
            <w:top w:w="0" w:type="dxa"/>
            <w:left w:w="0" w:type="dxa"/>
            <w:bottom w:w="0" w:type="dxa"/>
            <w:right w:w="0" w:type="dxa"/>
          </w:tblCellMar>
        </w:tblPrEx>
        <w:tc>
          <w:tcPr>
            <w:tcW w:w="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ascii="宋体" w:hAnsi="宋体"/>
                <w:color w:val="000000"/>
                <w:kern w:val="0"/>
                <w:sz w:val="24"/>
                <w:highlight w:val="none"/>
              </w:rPr>
              <w:t>第二档</w:t>
            </w:r>
          </w:p>
        </w:tc>
        <w:tc>
          <w:tcPr>
            <w:tcW w:w="4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ascii="宋体" w:hAnsi="宋体"/>
                <w:color w:val="000000"/>
                <w:kern w:val="0"/>
                <w:sz w:val="24"/>
                <w:highlight w:val="none"/>
              </w:rPr>
              <w:t>人才规模</w:t>
            </w:r>
            <w:r>
              <w:rPr>
                <w:rFonts w:hint="eastAsia" w:ascii="宋体" w:hAnsi="宋体"/>
                <w:color w:val="000000"/>
                <w:kern w:val="0"/>
                <w:sz w:val="24"/>
                <w:highlight w:val="none"/>
              </w:rPr>
              <w:t>50人（含）至99人</w:t>
            </w:r>
          </w:p>
        </w:tc>
        <w:tc>
          <w:tcPr>
            <w:tcW w:w="12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30套</w:t>
            </w:r>
          </w:p>
        </w:tc>
        <w:tc>
          <w:tcPr>
            <w:tcW w:w="1205" w:type="dxa"/>
            <w:tcBorders>
              <w:top w:val="single" w:color="auto" w:sz="8" w:space="0"/>
              <w:left w:val="nil"/>
              <w:bottom w:val="single" w:color="auto" w:sz="8" w:space="0"/>
              <w:right w:val="single" w:color="auto" w:sz="8" w:space="0"/>
            </w:tcBorders>
            <w:vAlign w:val="center"/>
          </w:tcPr>
          <w:p>
            <w:pPr>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4套</w:t>
            </w:r>
          </w:p>
        </w:tc>
      </w:tr>
      <w:tr>
        <w:tblPrEx>
          <w:tblLayout w:type="fixed"/>
          <w:tblCellMar>
            <w:top w:w="0" w:type="dxa"/>
            <w:left w:w="0" w:type="dxa"/>
            <w:bottom w:w="0" w:type="dxa"/>
            <w:right w:w="0" w:type="dxa"/>
          </w:tblCellMar>
        </w:tblPrEx>
        <w:tc>
          <w:tcPr>
            <w:tcW w:w="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ascii="宋体" w:hAnsi="宋体"/>
                <w:color w:val="000000"/>
                <w:kern w:val="0"/>
                <w:sz w:val="24"/>
                <w:highlight w:val="none"/>
              </w:rPr>
              <w:t>第</w:t>
            </w:r>
            <w:r>
              <w:rPr>
                <w:rFonts w:hint="eastAsia" w:ascii="宋体" w:hAnsi="宋体"/>
                <w:color w:val="000000"/>
                <w:kern w:val="0"/>
                <w:sz w:val="24"/>
                <w:highlight w:val="none"/>
              </w:rPr>
              <w:t>三</w:t>
            </w:r>
            <w:r>
              <w:rPr>
                <w:rFonts w:ascii="宋体" w:hAnsi="宋体"/>
                <w:color w:val="000000"/>
                <w:kern w:val="0"/>
                <w:sz w:val="24"/>
                <w:highlight w:val="none"/>
              </w:rPr>
              <w:t>档</w:t>
            </w:r>
          </w:p>
        </w:tc>
        <w:tc>
          <w:tcPr>
            <w:tcW w:w="4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ascii="宋体" w:hAnsi="宋体"/>
                <w:color w:val="000000"/>
                <w:kern w:val="0"/>
                <w:sz w:val="24"/>
                <w:highlight w:val="none"/>
              </w:rPr>
              <w:t>人才规模</w:t>
            </w:r>
            <w:r>
              <w:rPr>
                <w:rFonts w:hint="eastAsia" w:ascii="宋体" w:hAnsi="宋体"/>
                <w:color w:val="000000"/>
                <w:kern w:val="0"/>
                <w:sz w:val="24"/>
                <w:highlight w:val="none"/>
              </w:rPr>
              <w:t>50人以下</w:t>
            </w:r>
          </w:p>
        </w:tc>
        <w:tc>
          <w:tcPr>
            <w:tcW w:w="12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10套</w:t>
            </w:r>
          </w:p>
        </w:tc>
        <w:tc>
          <w:tcPr>
            <w:tcW w:w="1205" w:type="dxa"/>
            <w:tcBorders>
              <w:top w:val="single" w:color="auto" w:sz="8" w:space="0"/>
              <w:left w:val="nil"/>
              <w:bottom w:val="single" w:color="auto" w:sz="8" w:space="0"/>
              <w:right w:val="single" w:color="auto" w:sz="8" w:space="0"/>
            </w:tcBorders>
            <w:vAlign w:val="center"/>
          </w:tcPr>
          <w:p>
            <w:pPr>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3套</w:t>
            </w:r>
          </w:p>
        </w:tc>
      </w:tr>
    </w:tbl>
    <w:p>
      <w:pPr>
        <w:widowControl/>
        <w:shd w:val="clear" w:color="auto" w:fill="FFFFFF"/>
        <w:spacing w:line="360" w:lineRule="auto"/>
        <w:rPr>
          <w:rFonts w:hint="eastAsia" w:ascii="宋体" w:hAnsi="宋体"/>
          <w:color w:val="000000"/>
          <w:sz w:val="24"/>
          <w:highlight w:val="none"/>
        </w:rPr>
      </w:pPr>
    </w:p>
    <w:p>
      <w:pPr>
        <w:widowControl/>
        <w:shd w:val="clear" w:color="auto" w:fill="FFFFFF"/>
        <w:spacing w:line="360" w:lineRule="auto"/>
        <w:ind w:firstLine="482" w:firstLineChars="200"/>
        <w:rPr>
          <w:rFonts w:hint="eastAsia" w:ascii="宋体" w:hAnsi="宋体"/>
          <w:b/>
          <w:color w:val="000000"/>
          <w:kern w:val="0"/>
          <w:sz w:val="24"/>
          <w:szCs w:val="24"/>
          <w:highlight w:val="none"/>
        </w:rPr>
      </w:pPr>
      <w:r>
        <w:rPr>
          <w:rFonts w:hint="eastAsia" w:ascii="宋体" w:hAnsi="宋体"/>
          <w:b/>
          <w:color w:val="000000"/>
          <w:kern w:val="0"/>
          <w:sz w:val="24"/>
          <w:szCs w:val="24"/>
          <w:highlight w:val="none"/>
        </w:rPr>
        <w:t>（三）“留学人员创业企业”申报条件、评分细则、申报资料、配额上限</w:t>
      </w:r>
    </w:p>
    <w:p>
      <w:pPr>
        <w:widowControl/>
        <w:shd w:val="clear" w:color="auto" w:fill="FFFFFF"/>
        <w:spacing w:line="360" w:lineRule="auto"/>
        <w:ind w:firstLine="482" w:firstLineChars="200"/>
        <w:rPr>
          <w:rFonts w:hint="eastAsia" w:ascii="宋体" w:hAnsi="宋体"/>
          <w:color w:val="000000"/>
          <w:kern w:val="0"/>
          <w:sz w:val="44"/>
          <w:szCs w:val="44"/>
          <w:highlight w:val="none"/>
        </w:rPr>
      </w:pPr>
      <w:r>
        <w:rPr>
          <w:rFonts w:hint="eastAsia" w:ascii="宋体" w:hAnsi="宋体"/>
          <w:b/>
          <w:color w:val="000000"/>
          <w:kern w:val="0"/>
          <w:sz w:val="24"/>
          <w:szCs w:val="24"/>
          <w:highlight w:val="none"/>
        </w:rPr>
        <w:t>1、申报条件（</w:t>
      </w:r>
      <w:r>
        <w:rPr>
          <w:rFonts w:hint="eastAsia" w:ascii="宋体" w:hAnsi="宋体" w:cs="Segoe UI"/>
          <w:b/>
          <w:color w:val="000000"/>
          <w:kern w:val="0"/>
          <w:sz w:val="24"/>
          <w:szCs w:val="24"/>
          <w:highlight w:val="none"/>
        </w:rPr>
        <w:t>须同时具备</w:t>
      </w:r>
      <w:r>
        <w:rPr>
          <w:rFonts w:hint="eastAsia" w:ascii="宋体" w:hAnsi="宋体"/>
          <w:b/>
          <w:color w:val="000000"/>
          <w:kern w:val="0"/>
          <w:sz w:val="24"/>
          <w:szCs w:val="24"/>
          <w:highlight w:val="none"/>
        </w:rPr>
        <w:t>）</w:t>
      </w:r>
    </w:p>
    <w:p>
      <w:pPr>
        <w:widowControl/>
        <w:shd w:val="clear" w:color="auto" w:fill="FFFFFF"/>
        <w:spacing w:line="360" w:lineRule="auto"/>
        <w:ind w:firstLine="480" w:firstLineChars="20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（1）近三年（2016-2018年）获得深圳市出国留学人员来深创业前期费用补贴一、二等的企业；</w:t>
      </w:r>
    </w:p>
    <w:p>
      <w:pPr>
        <w:widowControl/>
        <w:shd w:val="clear" w:color="auto" w:fill="FFFFFF"/>
        <w:spacing w:line="360" w:lineRule="auto"/>
        <w:ind w:firstLine="470" w:firstLineChars="196"/>
        <w:jc w:val="left"/>
        <w:rPr>
          <w:rFonts w:ascii="宋体" w:hAnsi="宋体"/>
          <w:b/>
          <w:color w:val="000000"/>
          <w:kern w:val="0"/>
          <w:sz w:val="24"/>
          <w:szCs w:val="24"/>
          <w:highlight w:val="none"/>
        </w:rPr>
      </w:pPr>
      <w:r>
        <w:rPr>
          <w:rFonts w:hint="eastAsia" w:ascii="宋体" w:hAnsi="宋体" w:cs="Segoe UI"/>
          <w:color w:val="000000"/>
          <w:kern w:val="0"/>
          <w:sz w:val="24"/>
          <w:szCs w:val="24"/>
          <w:highlight w:val="none"/>
        </w:rPr>
        <w:t>（2）工商注册和税务登记均在南山区。</w:t>
      </w:r>
    </w:p>
    <w:p>
      <w:pPr>
        <w:widowControl/>
        <w:shd w:val="clear" w:color="auto" w:fill="FFFFFF"/>
        <w:spacing w:line="360" w:lineRule="auto"/>
        <w:ind w:firstLine="480"/>
        <w:jc w:val="left"/>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2、评分细则</w:t>
      </w:r>
    </w:p>
    <w:p>
      <w:pPr>
        <w:widowControl/>
        <w:shd w:val="clear" w:color="auto" w:fill="FFFFFF"/>
        <w:spacing w:line="360" w:lineRule="auto"/>
        <w:ind w:firstLine="480"/>
        <w:jc w:val="left"/>
        <w:rPr>
          <w:rFonts w:hint="eastAsia" w:ascii="宋体" w:hAnsi="宋体"/>
          <w:color w:val="000000"/>
          <w:sz w:val="24"/>
          <w:szCs w:val="24"/>
          <w:highlight w:val="none"/>
        </w:rPr>
      </w:pPr>
      <w:r>
        <w:rPr>
          <w:rFonts w:hint="eastAsia" w:ascii="宋体" w:hAnsi="宋体" w:cs="Segoe UI"/>
          <w:color w:val="000000"/>
          <w:kern w:val="0"/>
          <w:sz w:val="24"/>
          <w:szCs w:val="24"/>
          <w:highlight w:val="none"/>
        </w:rPr>
        <w:t>（1）根据企业获市资助等级、人才规模、税收贡献三项指标，按权重比例计算出分值：市资助等级 x50%</w:t>
      </w:r>
      <w:r>
        <w:rPr>
          <w:rFonts w:hint="eastAsia" w:ascii="宋体" w:hAnsi="宋体"/>
          <w:color w:val="000000"/>
          <w:kern w:val="0"/>
          <w:sz w:val="24"/>
          <w:highlight w:val="none"/>
        </w:rPr>
        <w:t>+</w:t>
      </w:r>
      <w:r>
        <w:rPr>
          <w:rFonts w:hint="eastAsia" w:ascii="宋体" w:hAnsi="宋体" w:cs="Segoe UI"/>
          <w:color w:val="000000"/>
          <w:kern w:val="0"/>
          <w:sz w:val="24"/>
          <w:szCs w:val="24"/>
          <w:highlight w:val="none"/>
        </w:rPr>
        <w:t>人才规模 x30%</w:t>
      </w:r>
      <w:r>
        <w:rPr>
          <w:rFonts w:hint="eastAsia" w:ascii="宋体" w:hAnsi="宋体"/>
          <w:color w:val="000000"/>
          <w:kern w:val="0"/>
          <w:sz w:val="24"/>
          <w:highlight w:val="none"/>
        </w:rPr>
        <w:t>+税收贡献</w:t>
      </w:r>
      <w:r>
        <w:rPr>
          <w:rFonts w:hint="eastAsia" w:ascii="宋体" w:hAnsi="宋体" w:cs="Segoe UI"/>
          <w:color w:val="000000"/>
          <w:kern w:val="0"/>
          <w:sz w:val="24"/>
          <w:szCs w:val="24"/>
          <w:highlight w:val="none"/>
        </w:rPr>
        <w:t>x20%</w:t>
      </w:r>
      <w:r>
        <w:rPr>
          <w:rFonts w:hint="eastAsia" w:ascii="宋体" w:hAnsi="宋体"/>
          <w:color w:val="000000"/>
          <w:sz w:val="24"/>
          <w:szCs w:val="24"/>
          <w:highlight w:val="none"/>
        </w:rPr>
        <w:t>；</w:t>
      </w:r>
    </w:p>
    <w:p>
      <w:pPr>
        <w:widowControl/>
        <w:shd w:val="clear" w:color="auto" w:fill="FFFFFF"/>
        <w:spacing w:line="360" w:lineRule="auto"/>
        <w:ind w:firstLine="48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（2）税收贡献，上一年度（1月1日-12月31日）税款缴纳时间为准，不考虑税款的所属期，含代扣代缴税费。</w:t>
      </w:r>
    </w:p>
    <w:p>
      <w:pPr>
        <w:widowControl/>
        <w:shd w:val="clear" w:color="auto" w:fill="FFFFFF"/>
        <w:spacing w:line="360" w:lineRule="auto"/>
        <w:ind w:firstLine="480"/>
        <w:jc w:val="left"/>
        <w:rPr>
          <w:rFonts w:ascii="宋体" w:hAnsi="宋体" w:cs="Segoe UI"/>
          <w:color w:val="000000"/>
          <w:kern w:val="0"/>
          <w:sz w:val="24"/>
          <w:szCs w:val="24"/>
          <w:highlight w:val="none"/>
        </w:rPr>
      </w:pPr>
      <w:r>
        <w:rPr>
          <w:rFonts w:hint="eastAsia" w:ascii="宋体" w:hAnsi="宋体" w:cs="Segoe UI"/>
          <w:color w:val="000000"/>
          <w:kern w:val="0"/>
          <w:sz w:val="24"/>
          <w:szCs w:val="24"/>
          <w:highlight w:val="none"/>
        </w:rPr>
        <w:t>具体细则如下：</w:t>
      </w:r>
    </w:p>
    <w:tbl>
      <w:tblPr>
        <w:tblStyle w:val="8"/>
        <w:tblW w:w="8931" w:type="dxa"/>
        <w:tblInd w:w="-34" w:type="dxa"/>
        <w:tblLayout w:type="fixed"/>
        <w:tblCellMar>
          <w:top w:w="0" w:type="dxa"/>
          <w:left w:w="0" w:type="dxa"/>
          <w:bottom w:w="0" w:type="dxa"/>
          <w:right w:w="0" w:type="dxa"/>
        </w:tblCellMar>
      </w:tblPr>
      <w:tblGrid>
        <w:gridCol w:w="568"/>
        <w:gridCol w:w="1559"/>
        <w:gridCol w:w="6095"/>
        <w:gridCol w:w="709"/>
      </w:tblGrid>
      <w:tr>
        <w:tblPrEx>
          <w:tblLayout w:type="fixed"/>
          <w:tblCellMar>
            <w:top w:w="0" w:type="dxa"/>
            <w:left w:w="0" w:type="dxa"/>
            <w:bottom w:w="0" w:type="dxa"/>
            <w:right w:w="0" w:type="dxa"/>
          </w:tblCellMar>
        </w:tblPrEx>
        <w:trPr>
          <w:trHeight w:val="834" w:hRule="atLeast"/>
        </w:trPr>
        <w:tc>
          <w:tcPr>
            <w:tcW w:w="5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指标名称</w:t>
            </w:r>
          </w:p>
        </w:tc>
        <w:tc>
          <w:tcPr>
            <w:tcW w:w="60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评分说明</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得分</w:t>
            </w:r>
          </w:p>
        </w:tc>
      </w:tr>
      <w:tr>
        <w:tblPrEx>
          <w:tblLayout w:type="fixed"/>
          <w:tblCellMar>
            <w:top w:w="0" w:type="dxa"/>
            <w:left w:w="0" w:type="dxa"/>
            <w:bottom w:w="0" w:type="dxa"/>
            <w:right w:w="0" w:type="dxa"/>
          </w:tblCellMar>
        </w:tblPrEx>
        <w:trPr>
          <w:trHeight w:val="649" w:hRule="atLeast"/>
        </w:trPr>
        <w:tc>
          <w:tcPr>
            <w:tcW w:w="5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olor w:val="000000"/>
                <w:kern w:val="0"/>
                <w:sz w:val="24"/>
                <w:highlight w:val="none"/>
              </w:rPr>
            </w:pPr>
            <w:r>
              <w:rPr>
                <w:rFonts w:hint="eastAsia" w:ascii="宋体" w:hAnsi="宋体"/>
                <w:color w:val="000000"/>
                <w:kern w:val="0"/>
                <w:sz w:val="24"/>
                <w:highlight w:val="none"/>
              </w:rPr>
              <w:t>1</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rPr>
                <w:rFonts w:ascii="宋体" w:hAnsi="宋体"/>
                <w:color w:val="000000"/>
                <w:kern w:val="0"/>
                <w:sz w:val="24"/>
                <w:highlight w:val="none"/>
              </w:rPr>
            </w:pPr>
            <w:r>
              <w:rPr>
                <w:rFonts w:hint="eastAsia" w:ascii="宋体" w:hAnsi="宋体"/>
                <w:color w:val="000000"/>
                <w:kern w:val="0"/>
                <w:sz w:val="24"/>
                <w:highlight w:val="none"/>
              </w:rPr>
              <w:t>市资助等级</w:t>
            </w:r>
          </w:p>
        </w:tc>
        <w:tc>
          <w:tcPr>
            <w:tcW w:w="60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rPr>
                <w:rFonts w:ascii="宋体" w:hAnsi="宋体"/>
                <w:color w:val="000000"/>
                <w:kern w:val="0"/>
                <w:sz w:val="24"/>
                <w:highlight w:val="none"/>
              </w:rPr>
            </w:pPr>
            <w:r>
              <w:rPr>
                <w:rFonts w:hint="eastAsia" w:ascii="宋体" w:hAnsi="宋体" w:cs="Segoe UI"/>
                <w:color w:val="000000"/>
                <w:kern w:val="0"/>
                <w:sz w:val="24"/>
                <w:szCs w:val="24"/>
                <w:highlight w:val="none"/>
              </w:rPr>
              <w:t>获得深圳市出国留学人员来深创业前期费用补贴一等资助的，得100分，</w:t>
            </w:r>
            <w:r>
              <w:rPr>
                <w:rFonts w:hint="eastAsia" w:ascii="宋体" w:hAnsi="宋体"/>
                <w:color w:val="000000"/>
                <w:kern w:val="0"/>
                <w:sz w:val="24"/>
                <w:highlight w:val="none"/>
              </w:rPr>
              <w:t>获得深圳市出国留学人员来深圳创业前期费用二等资助的，得60分。</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olor w:val="000000"/>
                <w:kern w:val="0"/>
                <w:sz w:val="24"/>
                <w:highlight w:val="none"/>
              </w:rPr>
            </w:pPr>
            <w:r>
              <w:rPr>
                <w:rFonts w:hint="eastAsia" w:ascii="宋体" w:hAnsi="宋体"/>
                <w:color w:val="000000"/>
                <w:kern w:val="0"/>
                <w:sz w:val="24"/>
                <w:highlight w:val="none"/>
              </w:rPr>
              <w:t>A</w:t>
            </w:r>
          </w:p>
        </w:tc>
      </w:tr>
      <w:tr>
        <w:tblPrEx>
          <w:tblLayout w:type="fixed"/>
          <w:tblCellMar>
            <w:top w:w="0" w:type="dxa"/>
            <w:left w:w="0" w:type="dxa"/>
            <w:bottom w:w="0" w:type="dxa"/>
            <w:right w:w="0" w:type="dxa"/>
          </w:tblCellMar>
        </w:tblPrEx>
        <w:trPr>
          <w:trHeight w:val="771" w:hRule="atLeast"/>
        </w:trPr>
        <w:tc>
          <w:tcPr>
            <w:tcW w:w="5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2</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ascii="宋体" w:hAnsi="宋体"/>
                <w:color w:val="000000"/>
                <w:kern w:val="0"/>
                <w:sz w:val="24"/>
                <w:highlight w:val="none"/>
              </w:rPr>
            </w:pPr>
            <w:r>
              <w:rPr>
                <w:rFonts w:hint="eastAsia" w:ascii="宋体" w:hAnsi="宋体"/>
                <w:color w:val="000000"/>
                <w:kern w:val="0"/>
                <w:sz w:val="24"/>
                <w:highlight w:val="none"/>
              </w:rPr>
              <w:t>人才规模</w:t>
            </w:r>
          </w:p>
        </w:tc>
        <w:tc>
          <w:tcPr>
            <w:tcW w:w="60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hint="eastAsia" w:ascii="宋体" w:hAnsi="宋体"/>
                <w:color w:val="000000"/>
                <w:kern w:val="0"/>
                <w:sz w:val="24"/>
                <w:highlight w:val="none"/>
              </w:rPr>
              <w:t>人才规模10人（含）以上，得50分，每增加一名硕士得10分，每增加一名博士得20分，满分为100分。</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olor w:val="000000"/>
                <w:kern w:val="0"/>
                <w:sz w:val="24"/>
                <w:highlight w:val="none"/>
              </w:rPr>
            </w:pPr>
            <w:r>
              <w:rPr>
                <w:rFonts w:hint="eastAsia" w:ascii="宋体" w:hAnsi="宋体"/>
                <w:color w:val="000000"/>
                <w:kern w:val="0"/>
                <w:sz w:val="24"/>
                <w:highlight w:val="none"/>
              </w:rPr>
              <w:t>B</w:t>
            </w:r>
          </w:p>
        </w:tc>
      </w:tr>
      <w:tr>
        <w:tblPrEx>
          <w:tblLayout w:type="fixed"/>
          <w:tblCellMar>
            <w:top w:w="0" w:type="dxa"/>
            <w:left w:w="0" w:type="dxa"/>
            <w:bottom w:w="0" w:type="dxa"/>
            <w:right w:w="0" w:type="dxa"/>
          </w:tblCellMar>
        </w:tblPrEx>
        <w:trPr>
          <w:trHeight w:val="771" w:hRule="atLeast"/>
        </w:trPr>
        <w:tc>
          <w:tcPr>
            <w:tcW w:w="5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3</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ascii="宋体" w:hAnsi="宋体"/>
                <w:color w:val="000000"/>
                <w:kern w:val="0"/>
                <w:sz w:val="24"/>
                <w:highlight w:val="none"/>
              </w:rPr>
            </w:pPr>
            <w:r>
              <w:rPr>
                <w:rFonts w:hint="eastAsia" w:ascii="宋体" w:hAnsi="宋体"/>
                <w:color w:val="000000"/>
                <w:kern w:val="0"/>
                <w:sz w:val="24"/>
                <w:highlight w:val="none"/>
              </w:rPr>
              <w:t>税收贡献</w:t>
            </w:r>
          </w:p>
        </w:tc>
        <w:tc>
          <w:tcPr>
            <w:tcW w:w="60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hint="eastAsia" w:ascii="宋体" w:hAnsi="宋体"/>
                <w:color w:val="000000"/>
                <w:kern w:val="0"/>
                <w:sz w:val="24"/>
                <w:highlight w:val="none"/>
              </w:rPr>
              <w:t>上年度纳税50万元（含）以下的，得50分；每增加1万元加1分，满分为100分。</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olor w:val="000000"/>
                <w:kern w:val="0"/>
                <w:sz w:val="24"/>
                <w:highlight w:val="none"/>
              </w:rPr>
            </w:pPr>
            <w:r>
              <w:rPr>
                <w:rFonts w:hint="eastAsia" w:ascii="宋体" w:hAnsi="宋体"/>
                <w:color w:val="000000"/>
                <w:kern w:val="0"/>
                <w:sz w:val="24"/>
                <w:highlight w:val="none"/>
              </w:rPr>
              <w:t>C</w:t>
            </w:r>
          </w:p>
        </w:tc>
      </w:tr>
      <w:tr>
        <w:tblPrEx>
          <w:tblLayout w:type="fixed"/>
          <w:tblCellMar>
            <w:top w:w="0" w:type="dxa"/>
            <w:left w:w="0" w:type="dxa"/>
            <w:bottom w:w="0" w:type="dxa"/>
            <w:right w:w="0" w:type="dxa"/>
          </w:tblCellMar>
        </w:tblPrEx>
        <w:trPr>
          <w:trHeight w:val="576" w:hRule="atLeast"/>
        </w:trPr>
        <w:tc>
          <w:tcPr>
            <w:tcW w:w="212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center"/>
              <w:rPr>
                <w:rFonts w:ascii="宋体" w:hAnsi="宋体"/>
                <w:color w:val="000000"/>
                <w:kern w:val="0"/>
                <w:sz w:val="24"/>
                <w:highlight w:val="none"/>
              </w:rPr>
            </w:pPr>
            <w:r>
              <w:rPr>
                <w:rFonts w:hint="eastAsia" w:ascii="宋体" w:hAnsi="宋体"/>
                <w:color w:val="000000"/>
                <w:kern w:val="0"/>
                <w:sz w:val="24"/>
                <w:highlight w:val="none"/>
              </w:rPr>
              <w:t>总评分</w:t>
            </w:r>
          </w:p>
        </w:tc>
        <w:tc>
          <w:tcPr>
            <w:tcW w:w="609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计算方法：Ax50%+Bx30%+Cx20%（满分100分）</w:t>
            </w:r>
          </w:p>
          <w:p>
            <w:pPr>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(总分相等的企业按上年度纳税金额高低排序)</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olor w:val="000000"/>
                <w:kern w:val="0"/>
                <w:sz w:val="24"/>
                <w:highlight w:val="none"/>
              </w:rPr>
            </w:pPr>
          </w:p>
        </w:tc>
      </w:tr>
    </w:tbl>
    <w:p>
      <w:pPr>
        <w:widowControl/>
        <w:shd w:val="clear" w:color="auto" w:fill="FFFFFF"/>
        <w:spacing w:line="360" w:lineRule="auto"/>
        <w:ind w:firstLine="472" w:firstLineChars="196"/>
        <w:jc w:val="left"/>
        <w:rPr>
          <w:rFonts w:ascii="宋体" w:hAnsi="宋体" w:cs="Segoe UI"/>
          <w:b/>
          <w:color w:val="000000"/>
          <w:kern w:val="0"/>
          <w:sz w:val="24"/>
          <w:szCs w:val="24"/>
          <w:highlight w:val="none"/>
        </w:rPr>
      </w:pPr>
      <w:r>
        <w:rPr>
          <w:rFonts w:hint="eastAsia" w:ascii="宋体" w:hAnsi="宋体" w:cs="Segoe UI"/>
          <w:b/>
          <w:color w:val="000000"/>
          <w:kern w:val="0"/>
          <w:sz w:val="24"/>
          <w:szCs w:val="24"/>
          <w:highlight w:val="none"/>
        </w:rPr>
        <w:t>3、申报材料</w:t>
      </w:r>
    </w:p>
    <w:tbl>
      <w:tblPr>
        <w:tblStyle w:val="8"/>
        <w:tblW w:w="9000" w:type="dxa"/>
        <w:tblInd w:w="-72" w:type="dxa"/>
        <w:tblLayout w:type="fixed"/>
        <w:tblCellMar>
          <w:top w:w="0" w:type="dxa"/>
          <w:left w:w="0" w:type="dxa"/>
          <w:bottom w:w="0" w:type="dxa"/>
          <w:right w:w="0" w:type="dxa"/>
        </w:tblCellMar>
      </w:tblPr>
      <w:tblGrid>
        <w:gridCol w:w="720"/>
        <w:gridCol w:w="5760"/>
        <w:gridCol w:w="2520"/>
      </w:tblGrid>
      <w:tr>
        <w:tblPrEx>
          <w:tblLayout w:type="fixed"/>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b/>
                <w:color w:val="000000"/>
                <w:kern w:val="0"/>
                <w:sz w:val="24"/>
                <w:highlight w:val="none"/>
              </w:rPr>
              <w:t>序号</w:t>
            </w:r>
          </w:p>
        </w:tc>
        <w:tc>
          <w:tcPr>
            <w:tcW w:w="57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b/>
                <w:color w:val="000000"/>
                <w:kern w:val="0"/>
                <w:sz w:val="24"/>
                <w:highlight w:val="none"/>
              </w:rPr>
              <w:t>材料名称</w:t>
            </w:r>
          </w:p>
        </w:tc>
        <w:tc>
          <w:tcPr>
            <w:tcW w:w="25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b/>
                <w:color w:val="000000"/>
                <w:kern w:val="0"/>
                <w:sz w:val="24"/>
                <w:highlight w:val="none"/>
              </w:rPr>
              <w:t>材料形式</w:t>
            </w:r>
          </w:p>
        </w:tc>
      </w:tr>
      <w:tr>
        <w:tblPrEx>
          <w:tblLayout w:type="fixed"/>
          <w:tblCellMar>
            <w:top w:w="0" w:type="dxa"/>
            <w:left w:w="0" w:type="dxa"/>
            <w:bottom w:w="0" w:type="dxa"/>
            <w:right w:w="0" w:type="dxa"/>
          </w:tblCellMar>
        </w:tblPrEx>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1</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hint="eastAsia" w:ascii="宋体" w:hAnsi="宋体"/>
                <w:color w:val="000000"/>
                <w:kern w:val="0"/>
                <w:sz w:val="24"/>
                <w:highlight w:val="none"/>
              </w:rPr>
              <w:t>南山区人才安居定向配租补租申报表。</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rPr>
          <w:trHeight w:val="694"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2</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hint="eastAsia" w:ascii="宋体" w:hAnsi="宋体"/>
                <w:color w:val="000000"/>
                <w:kern w:val="0"/>
                <w:sz w:val="24"/>
                <w:highlight w:val="none"/>
              </w:rPr>
              <w:t>三证合一新版营业执照（未换领三证合一新版营业执照的，提交原旧版营业执照、组织机构代码证书、税务登记证书）、法定代表人（或非法人企业负责人）身份证复印件。</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rPr>
          <w:trHeight w:val="694" w:hRule="atLeast"/>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3</w:t>
            </w:r>
          </w:p>
        </w:tc>
        <w:tc>
          <w:tcPr>
            <w:tcW w:w="57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hint="eastAsia" w:ascii="宋体" w:hAnsi="宋体"/>
                <w:color w:val="000000"/>
                <w:kern w:val="0"/>
                <w:sz w:val="24"/>
                <w:highlight w:val="none"/>
              </w:rPr>
              <w:t>深圳市出国留学人员资格证明。</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rPr>
          <w:trHeight w:val="168" w:hRule="atLeast"/>
        </w:trPr>
        <w:tc>
          <w:tcPr>
            <w:tcW w:w="72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4</w:t>
            </w:r>
          </w:p>
        </w:tc>
        <w:tc>
          <w:tcPr>
            <w:tcW w:w="5760"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ascii="宋体" w:hAnsi="宋体"/>
                <w:color w:val="000000"/>
                <w:kern w:val="0"/>
                <w:sz w:val="24"/>
                <w:highlight w:val="none"/>
              </w:rPr>
            </w:pPr>
            <w:r>
              <w:rPr>
                <w:rFonts w:hint="eastAsia" w:ascii="宋体" w:hAnsi="宋体"/>
                <w:color w:val="000000"/>
                <w:kern w:val="0"/>
                <w:sz w:val="24"/>
                <w:highlight w:val="none"/>
              </w:rPr>
              <w:t>获得市留创补贴资助的证明材料（如公示截图、补贴入账记录等）。</w:t>
            </w:r>
          </w:p>
        </w:tc>
        <w:tc>
          <w:tcPr>
            <w:tcW w:w="2520" w:type="dxa"/>
            <w:tcBorders>
              <w:top w:val="nil"/>
              <w:left w:val="nil"/>
              <w:bottom w:val="single" w:color="auto" w:sz="4" w:space="0"/>
              <w:right w:val="single" w:color="auto" w:sz="8" w:space="0"/>
            </w:tcBorders>
            <w:tcMar>
              <w:top w:w="0" w:type="dxa"/>
              <w:left w:w="108" w:type="dxa"/>
              <w:bottom w:w="0" w:type="dxa"/>
              <w:right w:w="108" w:type="dxa"/>
            </w:tcMar>
            <w:vAlign w:val="center"/>
          </w:tcPr>
          <w:p>
            <w:pPr>
              <w:spacing w:line="360" w:lineRule="auto"/>
              <w:jc w:val="center"/>
              <w:rPr>
                <w:rFonts w:ascii="宋体" w:hAnsi="宋体"/>
                <w:color w:val="000000"/>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rPr>
          <w:trHeight w:val="168" w:hRule="atLeast"/>
        </w:trPr>
        <w:tc>
          <w:tcPr>
            <w:tcW w:w="72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5</w:t>
            </w:r>
          </w:p>
        </w:tc>
        <w:tc>
          <w:tcPr>
            <w:tcW w:w="5760"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olor w:val="000000"/>
                <w:kern w:val="0"/>
                <w:sz w:val="24"/>
                <w:highlight w:val="none"/>
              </w:rPr>
            </w:pPr>
            <w:r>
              <w:rPr>
                <w:rFonts w:hint="eastAsia" w:ascii="宋体" w:hAnsi="宋体"/>
                <w:color w:val="000000"/>
                <w:kern w:val="0"/>
                <w:sz w:val="24"/>
                <w:highlight w:val="none"/>
              </w:rPr>
              <w:t>上年度的纳税证明（2018年1月1日至12月31日）。</w:t>
            </w:r>
          </w:p>
        </w:tc>
        <w:tc>
          <w:tcPr>
            <w:tcW w:w="2520" w:type="dxa"/>
            <w:tcBorders>
              <w:top w:val="nil"/>
              <w:left w:val="nil"/>
              <w:bottom w:val="single" w:color="auto" w:sz="4" w:space="0"/>
              <w:right w:val="single" w:color="auto" w:sz="8" w:space="0"/>
            </w:tcBorders>
            <w:tcMar>
              <w:top w:w="0" w:type="dxa"/>
              <w:left w:w="108" w:type="dxa"/>
              <w:bottom w:w="0" w:type="dxa"/>
              <w:right w:w="108" w:type="dxa"/>
            </w:tcMar>
            <w:vAlign w:val="center"/>
          </w:tcPr>
          <w:p>
            <w:pPr>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rPr>
          <w:trHeight w:val="168" w:hRule="atLeast"/>
        </w:trPr>
        <w:tc>
          <w:tcPr>
            <w:tcW w:w="72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spacing w:line="360" w:lineRule="auto"/>
              <w:jc w:val="center"/>
              <w:rPr>
                <w:rFonts w:ascii="宋体" w:hAnsi="宋体"/>
                <w:color w:val="000000"/>
                <w:kern w:val="0"/>
                <w:sz w:val="24"/>
                <w:highlight w:val="none"/>
              </w:rPr>
            </w:pPr>
            <w:r>
              <w:rPr>
                <w:rFonts w:hint="eastAsia" w:ascii="宋体" w:hAnsi="宋体"/>
                <w:color w:val="000000"/>
                <w:kern w:val="0"/>
                <w:sz w:val="24"/>
                <w:highlight w:val="none"/>
              </w:rPr>
              <w:t>6</w:t>
            </w:r>
          </w:p>
        </w:tc>
        <w:tc>
          <w:tcPr>
            <w:tcW w:w="5760" w:type="dxa"/>
            <w:tcBorders>
              <w:top w:val="nil"/>
              <w:left w:val="nil"/>
              <w:bottom w:val="single" w:color="auto" w:sz="4" w:space="0"/>
              <w:right w:val="single" w:color="auto" w:sz="8" w:space="0"/>
            </w:tcBorders>
            <w:tcMar>
              <w:top w:w="0" w:type="dxa"/>
              <w:left w:w="108" w:type="dxa"/>
              <w:bottom w:w="0" w:type="dxa"/>
              <w:right w:w="108" w:type="dxa"/>
            </w:tcMar>
            <w:vAlign w:val="center"/>
          </w:tcPr>
          <w:p>
            <w:pPr>
              <w:spacing w:line="360" w:lineRule="auto"/>
              <w:jc w:val="left"/>
              <w:rPr>
                <w:rFonts w:ascii="宋体" w:hAnsi="宋体"/>
                <w:color w:val="000000"/>
                <w:kern w:val="0"/>
                <w:sz w:val="24"/>
                <w:highlight w:val="none"/>
              </w:rPr>
            </w:pPr>
            <w:r>
              <w:rPr>
                <w:rFonts w:hint="eastAsia" w:ascii="宋体" w:hAnsi="宋体"/>
                <w:color w:val="000000"/>
                <w:kern w:val="0"/>
                <w:sz w:val="24"/>
                <w:highlight w:val="none"/>
              </w:rPr>
              <w:t>申报定向配租补租人才明细表。</w:t>
            </w:r>
          </w:p>
        </w:tc>
        <w:tc>
          <w:tcPr>
            <w:tcW w:w="2520" w:type="dxa"/>
            <w:tcBorders>
              <w:top w:val="nil"/>
              <w:left w:val="nil"/>
              <w:bottom w:val="single" w:color="auto" w:sz="4" w:space="0"/>
              <w:right w:val="single" w:color="auto" w:sz="8" w:space="0"/>
            </w:tcBorders>
            <w:tcMar>
              <w:top w:w="0" w:type="dxa"/>
              <w:left w:w="108" w:type="dxa"/>
              <w:bottom w:w="0" w:type="dxa"/>
              <w:right w:w="108" w:type="dxa"/>
            </w:tcMar>
            <w:vAlign w:val="center"/>
          </w:tcPr>
          <w:p>
            <w:pPr>
              <w:spacing w:line="360" w:lineRule="auto"/>
              <w:jc w:val="center"/>
              <w:rPr>
                <w:rFonts w:ascii="宋体" w:hAnsi="宋体"/>
                <w:color w:val="000000"/>
                <w:kern w:val="0"/>
                <w:sz w:val="24"/>
                <w:highlight w:val="none"/>
              </w:rPr>
            </w:pPr>
            <w:r>
              <w:rPr>
                <w:rFonts w:hint="eastAsia" w:ascii="宋体" w:hAnsi="宋体"/>
                <w:color w:val="000000"/>
                <w:sz w:val="24"/>
                <w:szCs w:val="24"/>
                <w:highlight w:val="none"/>
              </w:rPr>
              <w:t>在“申报系统”中直接填报，或下载模板填写上传</w:t>
            </w:r>
          </w:p>
        </w:tc>
      </w:tr>
    </w:tbl>
    <w:p>
      <w:pPr>
        <w:widowControl/>
        <w:shd w:val="clear" w:color="auto" w:fill="FFFFFF"/>
        <w:spacing w:line="360" w:lineRule="auto"/>
        <w:ind w:firstLine="472" w:firstLineChars="19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4、配额上限</w:t>
      </w:r>
    </w:p>
    <w:p>
      <w:pPr>
        <w:widowControl/>
        <w:shd w:val="clear" w:color="auto" w:fill="FFFFFF"/>
        <w:spacing w:line="360" w:lineRule="auto"/>
        <w:ind w:firstLine="480" w:firstLineChars="200"/>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补租配额统一上限40套，配租配额统一上限3套。</w:t>
      </w:r>
    </w:p>
    <w:p>
      <w:pPr>
        <w:widowControl/>
        <w:shd w:val="clear" w:color="auto" w:fill="FFFFFF"/>
        <w:spacing w:line="360" w:lineRule="auto"/>
        <w:ind w:firstLine="480" w:firstLineChars="200"/>
        <w:jc w:val="left"/>
        <w:rPr>
          <w:rFonts w:hint="eastAsia" w:ascii="宋体" w:hAnsi="宋体"/>
          <w:color w:val="000000"/>
          <w:sz w:val="24"/>
          <w:highlight w:val="none"/>
        </w:rPr>
      </w:pPr>
    </w:p>
    <w:p>
      <w:pPr>
        <w:widowControl/>
        <w:shd w:val="clear" w:color="auto" w:fill="FFFFFF"/>
        <w:spacing w:line="360" w:lineRule="auto"/>
        <w:jc w:val="both"/>
        <w:rPr>
          <w:rFonts w:hint="eastAsia" w:ascii="宋体" w:hAnsi="宋体"/>
          <w:b/>
          <w:color w:val="000000"/>
          <w:kern w:val="0"/>
          <w:sz w:val="36"/>
          <w:szCs w:val="36"/>
          <w:highlight w:val="none"/>
        </w:rPr>
      </w:pPr>
    </w:p>
    <w:p>
      <w:pPr>
        <w:widowControl/>
        <w:shd w:val="clear" w:color="auto" w:fill="FFFFFF"/>
        <w:spacing w:line="360" w:lineRule="auto"/>
        <w:jc w:val="center"/>
        <w:rPr>
          <w:rFonts w:ascii="宋体" w:hAnsi="宋体" w:cs="Segoe UI"/>
          <w:color w:val="000000"/>
          <w:kern w:val="0"/>
          <w:sz w:val="24"/>
          <w:highlight w:val="none"/>
        </w:rPr>
      </w:pPr>
      <w:r>
        <w:rPr>
          <w:rFonts w:hint="eastAsia" w:ascii="宋体" w:hAnsi="宋体"/>
          <w:b/>
          <w:color w:val="000000"/>
          <w:kern w:val="0"/>
          <w:sz w:val="36"/>
          <w:szCs w:val="36"/>
          <w:highlight w:val="none"/>
        </w:rPr>
        <w:t>Ⅹ 院士和国家重点人才工程入选专家</w:t>
      </w:r>
      <w:r>
        <w:rPr>
          <w:rFonts w:hint="eastAsia" w:ascii="宋体" w:hAnsi="宋体" w:cs="Segoe UI"/>
          <w:color w:val="000000"/>
          <w:kern w:val="0"/>
          <w:sz w:val="24"/>
          <w:highlight w:val="none"/>
        </w:rPr>
        <w:t>(区人才工作局)</w:t>
      </w:r>
    </w:p>
    <w:p>
      <w:pPr>
        <w:widowControl/>
        <w:shd w:val="clear" w:color="auto" w:fill="FFFFFF"/>
        <w:spacing w:line="360" w:lineRule="auto"/>
        <w:ind w:firstLine="480"/>
        <w:jc w:val="left"/>
        <w:rPr>
          <w:rFonts w:hint="eastAsia" w:ascii="宋体" w:hAnsi="宋体" w:cs="Segoe UI"/>
          <w:b/>
          <w:color w:val="000000"/>
          <w:kern w:val="0"/>
          <w:sz w:val="32"/>
          <w:szCs w:val="32"/>
          <w:highlight w:val="none"/>
        </w:rPr>
      </w:pPr>
    </w:p>
    <w:p>
      <w:pPr>
        <w:widowControl/>
        <w:shd w:val="clear" w:color="auto" w:fill="FFFFFF"/>
        <w:spacing w:line="360" w:lineRule="auto"/>
        <w:ind w:firstLine="480"/>
        <w:jc w:val="left"/>
        <w:rPr>
          <w:rFonts w:ascii="宋体" w:hAnsi="宋体" w:cs="Segoe UI"/>
          <w:b/>
          <w:color w:val="000000"/>
          <w:kern w:val="0"/>
          <w:sz w:val="24"/>
          <w:highlight w:val="none"/>
        </w:rPr>
      </w:pPr>
      <w:r>
        <w:rPr>
          <w:rFonts w:hint="eastAsia" w:ascii="宋体" w:hAnsi="宋体" w:cs="Segoe UI"/>
          <w:b/>
          <w:color w:val="000000"/>
          <w:kern w:val="0"/>
          <w:sz w:val="24"/>
          <w:highlight w:val="none"/>
        </w:rPr>
        <w:t>（一）分类标准</w:t>
      </w:r>
    </w:p>
    <w:p>
      <w:pPr>
        <w:widowControl/>
        <w:shd w:val="clear" w:color="auto" w:fill="FFFFFF"/>
        <w:spacing w:line="360" w:lineRule="auto"/>
        <w:ind w:firstLine="480" w:firstLineChars="200"/>
        <w:jc w:val="left"/>
        <w:rPr>
          <w:rFonts w:hint="eastAsia" w:ascii="宋体" w:hAnsi="宋体" w:eastAsia="宋体" w:cs="Segoe UI"/>
          <w:color w:val="000000"/>
          <w:kern w:val="0"/>
          <w:sz w:val="24"/>
          <w:szCs w:val="24"/>
          <w:highlight w:val="none"/>
          <w:lang w:eastAsia="zh-CN"/>
        </w:rPr>
      </w:pPr>
      <w:r>
        <w:rPr>
          <w:rFonts w:hint="eastAsia" w:ascii="宋体" w:hAnsi="宋体" w:cs="Segoe UI"/>
          <w:color w:val="000000"/>
          <w:kern w:val="0"/>
          <w:sz w:val="24"/>
          <w:highlight w:val="none"/>
        </w:rPr>
        <w:t>院士和国家重点人才工程入选专家</w:t>
      </w:r>
      <w:r>
        <w:rPr>
          <w:rFonts w:hint="eastAsia" w:ascii="宋体" w:hAnsi="宋体" w:cs="Segoe UI"/>
          <w:color w:val="000000"/>
          <w:kern w:val="0"/>
          <w:sz w:val="24"/>
          <w:highlight w:val="none"/>
          <w:lang w:eastAsia="zh-CN"/>
        </w:rPr>
        <w:t>。</w:t>
      </w:r>
    </w:p>
    <w:p>
      <w:pPr>
        <w:widowControl/>
        <w:shd w:val="clear" w:color="auto" w:fill="FFFFFF"/>
        <w:spacing w:line="360" w:lineRule="auto"/>
        <w:ind w:firstLine="48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（二）申报条件（须同时具备）</w:t>
      </w:r>
    </w:p>
    <w:p>
      <w:pPr>
        <w:widowControl/>
        <w:tabs>
          <w:tab w:val="left" w:pos="1680"/>
        </w:tabs>
        <w:adjustRightInd w:val="0"/>
        <w:snapToGrid w:val="0"/>
        <w:spacing w:line="360" w:lineRule="auto"/>
        <w:ind w:firstLine="480" w:firstLineChars="200"/>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1、当选中国科学院院士或中国工程院院士</w:t>
      </w:r>
      <w:r>
        <w:rPr>
          <w:rFonts w:hint="eastAsia" w:ascii="宋体" w:hAnsi="宋体" w:cs="Segoe UI"/>
          <w:color w:val="000000"/>
          <w:kern w:val="0"/>
          <w:sz w:val="24"/>
          <w:szCs w:val="24"/>
          <w:highlight w:val="none"/>
          <w:lang w:eastAsia="zh-CN"/>
        </w:rPr>
        <w:t>（包括发达国家院士）</w:t>
      </w:r>
      <w:r>
        <w:rPr>
          <w:rFonts w:hint="eastAsia" w:ascii="宋体" w:hAnsi="宋体" w:cs="Segoe UI"/>
          <w:color w:val="000000"/>
          <w:kern w:val="0"/>
          <w:sz w:val="24"/>
          <w:szCs w:val="24"/>
          <w:highlight w:val="none"/>
        </w:rPr>
        <w:t>，或</w:t>
      </w:r>
      <w:r>
        <w:rPr>
          <w:rFonts w:hint="eastAsia" w:ascii="宋体" w:hAnsi="宋体" w:cs="Segoe UI"/>
          <w:color w:val="000000"/>
          <w:kern w:val="0"/>
          <w:sz w:val="24"/>
          <w:szCs w:val="24"/>
          <w:highlight w:val="none"/>
          <w:lang w:eastAsia="zh-CN"/>
        </w:rPr>
        <w:t>国家重点人才工程入选专家</w:t>
      </w:r>
      <w:r>
        <w:rPr>
          <w:rFonts w:hint="eastAsia" w:ascii="宋体" w:hAnsi="宋体" w:cs="Segoe UI"/>
          <w:color w:val="000000"/>
          <w:kern w:val="0"/>
          <w:sz w:val="24"/>
          <w:szCs w:val="24"/>
          <w:highlight w:val="none"/>
        </w:rPr>
        <w:t>；</w:t>
      </w:r>
    </w:p>
    <w:p>
      <w:pPr>
        <w:widowControl/>
        <w:tabs>
          <w:tab w:val="left" w:pos="1680"/>
        </w:tabs>
        <w:adjustRightInd w:val="0"/>
        <w:snapToGrid w:val="0"/>
        <w:spacing w:line="360" w:lineRule="auto"/>
        <w:ind w:firstLine="424" w:firstLineChars="177"/>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 xml:space="preserve">2、人才与工商注册和税务登记均在南山区的单位有全职工作关系，通过工作单位进行申报。 </w:t>
      </w:r>
    </w:p>
    <w:p>
      <w:pPr>
        <w:widowControl/>
        <w:shd w:val="clear" w:color="auto" w:fill="FFFFFF"/>
        <w:spacing w:line="360" w:lineRule="auto"/>
        <w:ind w:firstLine="426"/>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（三）评分细则</w:t>
      </w:r>
    </w:p>
    <w:p>
      <w:pPr>
        <w:widowControl/>
        <w:shd w:val="clear" w:color="auto" w:fill="FFFFFF"/>
        <w:spacing w:line="360" w:lineRule="auto"/>
        <w:ind w:firstLine="426"/>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人才类别、在南山全职工作时间等指标分别先按百分制计算出分数（A、B），再分别按权重比例计算出分值：Ax50%+Bx50%。</w:t>
      </w:r>
    </w:p>
    <w:p>
      <w:pPr>
        <w:widowControl/>
        <w:shd w:val="clear" w:color="auto" w:fill="FFFFFF"/>
        <w:spacing w:line="360" w:lineRule="auto"/>
        <w:ind w:firstLine="480" w:firstLineChars="200"/>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 xml:space="preserve"> 具体细则如下：</w:t>
      </w:r>
    </w:p>
    <w:tbl>
      <w:tblPr>
        <w:tblStyle w:val="8"/>
        <w:tblW w:w="9214" w:type="dxa"/>
        <w:tblInd w:w="-34" w:type="dxa"/>
        <w:tblLayout w:type="fixed"/>
        <w:tblCellMar>
          <w:top w:w="0" w:type="dxa"/>
          <w:left w:w="0" w:type="dxa"/>
          <w:bottom w:w="0" w:type="dxa"/>
          <w:right w:w="0" w:type="dxa"/>
        </w:tblCellMar>
      </w:tblPr>
      <w:tblGrid>
        <w:gridCol w:w="851"/>
        <w:gridCol w:w="1985"/>
        <w:gridCol w:w="5670"/>
        <w:gridCol w:w="708"/>
      </w:tblGrid>
      <w:tr>
        <w:tblPrEx>
          <w:tblLayout w:type="fixed"/>
          <w:tblCellMar>
            <w:top w:w="0" w:type="dxa"/>
            <w:left w:w="0" w:type="dxa"/>
            <w:bottom w:w="0" w:type="dxa"/>
            <w:right w:w="0" w:type="dxa"/>
          </w:tblCellMar>
        </w:tblPrEx>
        <w:trPr>
          <w:trHeight w:val="649"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19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指标名称</w:t>
            </w:r>
          </w:p>
        </w:tc>
        <w:tc>
          <w:tcPr>
            <w:tcW w:w="56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评分说明</w:t>
            </w:r>
          </w:p>
        </w:tc>
        <w:tc>
          <w:tcPr>
            <w:tcW w:w="7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得分</w:t>
            </w:r>
          </w:p>
        </w:tc>
      </w:tr>
      <w:tr>
        <w:tblPrEx>
          <w:tblLayout w:type="fixed"/>
          <w:tblCellMar>
            <w:top w:w="0" w:type="dxa"/>
            <w:left w:w="0" w:type="dxa"/>
            <w:bottom w:w="0" w:type="dxa"/>
            <w:right w:w="0" w:type="dxa"/>
          </w:tblCellMar>
        </w:tblPrEx>
        <w:trPr>
          <w:trHeight w:val="771" w:hRule="atLeast"/>
        </w:trPr>
        <w:tc>
          <w:tcPr>
            <w:tcW w:w="8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19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人才类别</w:t>
            </w:r>
          </w:p>
        </w:tc>
        <w:tc>
          <w:tcPr>
            <w:tcW w:w="567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院士得100分；</w:t>
            </w:r>
            <w:r>
              <w:rPr>
                <w:rFonts w:hint="eastAsia" w:ascii="宋体" w:hAnsi="宋体" w:cs="Segoe UI"/>
                <w:color w:val="000000"/>
                <w:kern w:val="0"/>
                <w:sz w:val="24"/>
                <w:szCs w:val="24"/>
                <w:highlight w:val="none"/>
                <w:lang w:eastAsia="zh-CN"/>
              </w:rPr>
              <w:t>国家重点人才工程入选专家</w:t>
            </w:r>
            <w:r>
              <w:rPr>
                <w:rFonts w:hint="eastAsia" w:ascii="宋体" w:hAnsi="宋体" w:cs="Segoe UI"/>
                <w:color w:val="000000"/>
                <w:kern w:val="0"/>
                <w:sz w:val="24"/>
                <w:szCs w:val="24"/>
                <w:highlight w:val="none"/>
              </w:rPr>
              <w:t>得80分。</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A</w:t>
            </w:r>
          </w:p>
        </w:tc>
      </w:tr>
      <w:tr>
        <w:tblPrEx>
          <w:tblLayout w:type="fixed"/>
          <w:tblCellMar>
            <w:top w:w="0" w:type="dxa"/>
            <w:left w:w="0" w:type="dxa"/>
            <w:bottom w:w="0" w:type="dxa"/>
            <w:right w:w="0" w:type="dxa"/>
          </w:tblCellMar>
        </w:tblPrEx>
        <w:trPr>
          <w:trHeight w:val="771" w:hRule="atLeast"/>
        </w:trPr>
        <w:tc>
          <w:tcPr>
            <w:tcW w:w="8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198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在南山全职工作时间</w:t>
            </w:r>
          </w:p>
        </w:tc>
        <w:tc>
          <w:tcPr>
            <w:tcW w:w="567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3年（含）以上得100分；3年以下得80分。</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B</w:t>
            </w:r>
          </w:p>
        </w:tc>
      </w:tr>
      <w:tr>
        <w:tblPrEx>
          <w:tblLayout w:type="fixed"/>
          <w:tblCellMar>
            <w:top w:w="0" w:type="dxa"/>
            <w:left w:w="0" w:type="dxa"/>
            <w:bottom w:w="0" w:type="dxa"/>
            <w:right w:w="0" w:type="dxa"/>
          </w:tblCellMar>
        </w:tblPrEx>
        <w:trPr>
          <w:trHeight w:val="576" w:hRule="atLeast"/>
        </w:trPr>
        <w:tc>
          <w:tcPr>
            <w:tcW w:w="283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总评分</w:t>
            </w:r>
          </w:p>
        </w:tc>
        <w:tc>
          <w:tcPr>
            <w:tcW w:w="567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计算方法：Ax50%+Bx50%</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p>
        </w:tc>
      </w:tr>
    </w:tbl>
    <w:p>
      <w:pPr>
        <w:widowControl/>
        <w:shd w:val="clear" w:color="auto" w:fill="FFFFFF"/>
        <w:spacing w:line="360" w:lineRule="auto"/>
        <w:ind w:firstLine="361" w:firstLineChars="150"/>
        <w:jc w:val="left"/>
        <w:rPr>
          <w:rFonts w:hint="eastAsia" w:ascii="宋体" w:hAnsi="宋体" w:cs="Segoe UI"/>
          <w:b/>
          <w:color w:val="000000"/>
          <w:kern w:val="0"/>
          <w:sz w:val="24"/>
          <w:szCs w:val="24"/>
          <w:highlight w:val="none"/>
        </w:rPr>
      </w:pPr>
    </w:p>
    <w:p>
      <w:pPr>
        <w:widowControl/>
        <w:shd w:val="clear" w:color="auto" w:fill="FFFFFF"/>
        <w:spacing w:line="360" w:lineRule="auto"/>
        <w:ind w:firstLine="361" w:firstLineChars="15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（四）申报材料</w:t>
      </w:r>
    </w:p>
    <w:tbl>
      <w:tblPr>
        <w:tblStyle w:val="8"/>
        <w:tblW w:w="9214" w:type="dxa"/>
        <w:tblInd w:w="-34" w:type="dxa"/>
        <w:tblLayout w:type="fixed"/>
        <w:tblCellMar>
          <w:top w:w="0" w:type="dxa"/>
          <w:left w:w="0" w:type="dxa"/>
          <w:bottom w:w="0" w:type="dxa"/>
          <w:right w:w="0" w:type="dxa"/>
        </w:tblCellMar>
      </w:tblPr>
      <w:tblGrid>
        <w:gridCol w:w="1135"/>
        <w:gridCol w:w="5262"/>
        <w:gridCol w:w="2817"/>
      </w:tblGrid>
      <w:tr>
        <w:tblPrEx>
          <w:tblLayout w:type="fixed"/>
          <w:tblCellMar>
            <w:top w:w="0" w:type="dxa"/>
            <w:left w:w="0" w:type="dxa"/>
            <w:bottom w:w="0" w:type="dxa"/>
            <w:right w:w="0" w:type="dxa"/>
          </w:tblCellMar>
        </w:tblPrEx>
        <w:trPr>
          <w:trHeight w:val="516" w:hRule="atLeast"/>
        </w:trPr>
        <w:tc>
          <w:tcPr>
            <w:tcW w:w="1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序号</w:t>
            </w:r>
          </w:p>
        </w:tc>
        <w:tc>
          <w:tcPr>
            <w:tcW w:w="526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材料名称</w:t>
            </w:r>
          </w:p>
        </w:tc>
        <w:tc>
          <w:tcPr>
            <w:tcW w:w="28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材料形式</w:t>
            </w:r>
          </w:p>
        </w:tc>
      </w:tr>
      <w:tr>
        <w:tblPrEx>
          <w:tblLayout w:type="fixed"/>
          <w:tblCellMar>
            <w:top w:w="0" w:type="dxa"/>
            <w:left w:w="0" w:type="dxa"/>
            <w:bottom w:w="0" w:type="dxa"/>
            <w:right w:w="0" w:type="dxa"/>
          </w:tblCellMar>
        </w:tblPrEx>
        <w:tc>
          <w:tcPr>
            <w:tcW w:w="1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1</w:t>
            </w:r>
          </w:p>
        </w:tc>
        <w:tc>
          <w:tcPr>
            <w:tcW w:w="526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s="Segoe UI"/>
                <w:color w:val="000000"/>
                <w:kern w:val="0"/>
                <w:sz w:val="24"/>
                <w:szCs w:val="24"/>
                <w:highlight w:val="none"/>
              </w:rPr>
            </w:pPr>
            <w:r>
              <w:rPr>
                <w:rFonts w:hint="eastAsia" w:ascii="宋体" w:hAnsi="宋体"/>
                <w:color w:val="000000"/>
                <w:kern w:val="0"/>
                <w:sz w:val="24"/>
                <w:highlight w:val="none"/>
              </w:rPr>
              <w:t>南山区人才安居定向配租补租申报表。</w:t>
            </w:r>
          </w:p>
        </w:tc>
        <w:tc>
          <w:tcPr>
            <w:tcW w:w="2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1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2</w:t>
            </w:r>
          </w:p>
        </w:tc>
        <w:tc>
          <w:tcPr>
            <w:tcW w:w="526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单位组织机构代码证、法定代表人（或非法人企业负责人）身份证复印件。</w:t>
            </w:r>
          </w:p>
        </w:tc>
        <w:tc>
          <w:tcPr>
            <w:tcW w:w="2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1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3</w:t>
            </w:r>
          </w:p>
        </w:tc>
        <w:tc>
          <w:tcPr>
            <w:tcW w:w="526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院士证书、</w:t>
            </w:r>
            <w:r>
              <w:rPr>
                <w:rFonts w:hint="eastAsia" w:ascii="宋体" w:hAnsi="宋体" w:cs="Segoe UI"/>
                <w:color w:val="000000"/>
                <w:kern w:val="0"/>
                <w:sz w:val="24"/>
                <w:szCs w:val="24"/>
                <w:highlight w:val="none"/>
                <w:lang w:eastAsia="zh-CN"/>
              </w:rPr>
              <w:t>国家重点人才工程</w:t>
            </w:r>
            <w:r>
              <w:rPr>
                <w:rFonts w:hint="eastAsia" w:ascii="宋体" w:hAnsi="宋体" w:cs="Segoe UI"/>
                <w:color w:val="000000"/>
                <w:kern w:val="0"/>
                <w:sz w:val="24"/>
                <w:szCs w:val="24"/>
                <w:highlight w:val="none"/>
              </w:rPr>
              <w:t>入选文件。</w:t>
            </w:r>
          </w:p>
        </w:tc>
        <w:tc>
          <w:tcPr>
            <w:tcW w:w="2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1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4</w:t>
            </w:r>
          </w:p>
        </w:tc>
        <w:tc>
          <w:tcPr>
            <w:tcW w:w="526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聘用协议或劳动合同。</w:t>
            </w:r>
          </w:p>
        </w:tc>
        <w:tc>
          <w:tcPr>
            <w:tcW w:w="2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olor w:val="000000"/>
                <w:kern w:val="0"/>
                <w:sz w:val="24"/>
                <w:highlight w:val="none"/>
              </w:rPr>
            </w:pPr>
            <w:r>
              <w:rPr>
                <w:rFonts w:hint="eastAsia" w:ascii="宋体" w:hAnsi="宋体"/>
                <w:color w:val="000000"/>
                <w:kern w:val="0"/>
                <w:sz w:val="24"/>
                <w:highlight w:val="none"/>
              </w:rPr>
              <w:t>盖章后扫描上传</w:t>
            </w:r>
          </w:p>
        </w:tc>
      </w:tr>
      <w:tr>
        <w:tblPrEx>
          <w:tblLayout w:type="fixed"/>
          <w:tblCellMar>
            <w:top w:w="0" w:type="dxa"/>
            <w:left w:w="0" w:type="dxa"/>
            <w:bottom w:w="0" w:type="dxa"/>
            <w:right w:w="0" w:type="dxa"/>
          </w:tblCellMar>
        </w:tblPrEx>
        <w:tc>
          <w:tcPr>
            <w:tcW w:w="11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s="Segoe UI"/>
                <w:color w:val="000000"/>
                <w:kern w:val="0"/>
                <w:sz w:val="24"/>
                <w:szCs w:val="24"/>
                <w:highlight w:val="none"/>
              </w:rPr>
              <w:t>5</w:t>
            </w:r>
          </w:p>
        </w:tc>
        <w:tc>
          <w:tcPr>
            <w:tcW w:w="526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cs="Segoe UI"/>
                <w:color w:val="000000"/>
                <w:kern w:val="0"/>
                <w:sz w:val="24"/>
                <w:szCs w:val="24"/>
                <w:highlight w:val="none"/>
              </w:rPr>
            </w:pPr>
            <w:r>
              <w:rPr>
                <w:rFonts w:hint="eastAsia" w:ascii="宋体" w:hAnsi="宋体"/>
                <w:color w:val="000000"/>
                <w:kern w:val="0"/>
                <w:sz w:val="24"/>
                <w:highlight w:val="none"/>
              </w:rPr>
              <w:t>申报定向配租补租人才明细表。</w:t>
            </w:r>
          </w:p>
        </w:tc>
        <w:tc>
          <w:tcPr>
            <w:tcW w:w="28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cs="Segoe UI"/>
                <w:color w:val="000000"/>
                <w:kern w:val="0"/>
                <w:sz w:val="24"/>
                <w:szCs w:val="24"/>
                <w:highlight w:val="none"/>
              </w:rPr>
            </w:pPr>
            <w:r>
              <w:rPr>
                <w:rFonts w:hint="eastAsia" w:ascii="宋体" w:hAnsi="宋体"/>
                <w:color w:val="000000"/>
                <w:sz w:val="24"/>
                <w:szCs w:val="24"/>
                <w:highlight w:val="none"/>
              </w:rPr>
              <w:t>在“申报系统”中直接填报，或下载模板填写上传</w:t>
            </w:r>
          </w:p>
        </w:tc>
      </w:tr>
    </w:tbl>
    <w:p>
      <w:pPr>
        <w:widowControl/>
        <w:shd w:val="clear" w:color="auto" w:fill="FFFFFF"/>
        <w:spacing w:line="360" w:lineRule="auto"/>
        <w:ind w:firstLine="482" w:firstLineChars="200"/>
        <w:jc w:val="left"/>
        <w:rPr>
          <w:rFonts w:hint="eastAsia" w:ascii="宋体" w:hAnsi="宋体" w:cs="Segoe UI"/>
          <w:b/>
          <w:color w:val="000000"/>
          <w:kern w:val="0"/>
          <w:sz w:val="24"/>
          <w:szCs w:val="24"/>
          <w:highlight w:val="none"/>
        </w:rPr>
      </w:pPr>
    </w:p>
    <w:p>
      <w:pPr>
        <w:widowControl/>
        <w:shd w:val="clear" w:color="auto" w:fill="FFFFFF"/>
        <w:spacing w:line="360" w:lineRule="auto"/>
        <w:ind w:firstLine="482" w:firstLineChars="200"/>
        <w:jc w:val="left"/>
        <w:rPr>
          <w:rFonts w:hint="eastAsia" w:ascii="宋体" w:hAnsi="宋体" w:cs="Segoe UI"/>
          <w:b/>
          <w:color w:val="000000"/>
          <w:kern w:val="0"/>
          <w:sz w:val="24"/>
          <w:szCs w:val="24"/>
          <w:highlight w:val="none"/>
        </w:rPr>
      </w:pPr>
      <w:r>
        <w:rPr>
          <w:rFonts w:hint="eastAsia" w:ascii="宋体" w:hAnsi="宋体" w:cs="Segoe UI"/>
          <w:b/>
          <w:color w:val="000000"/>
          <w:kern w:val="0"/>
          <w:sz w:val="24"/>
          <w:szCs w:val="24"/>
          <w:highlight w:val="none"/>
        </w:rPr>
        <w:t>（五）配额上限</w:t>
      </w:r>
    </w:p>
    <w:tbl>
      <w:tblPr>
        <w:tblStyle w:val="8"/>
        <w:tblW w:w="9214" w:type="dxa"/>
        <w:tblInd w:w="-34" w:type="dxa"/>
        <w:tblLayout w:type="fixed"/>
        <w:tblCellMar>
          <w:top w:w="0" w:type="dxa"/>
          <w:left w:w="0" w:type="dxa"/>
          <w:bottom w:w="0" w:type="dxa"/>
          <w:right w:w="0" w:type="dxa"/>
        </w:tblCellMar>
      </w:tblPr>
      <w:tblGrid>
        <w:gridCol w:w="862"/>
        <w:gridCol w:w="1080"/>
        <w:gridCol w:w="4863"/>
        <w:gridCol w:w="2409"/>
      </w:tblGrid>
      <w:tr>
        <w:tblPrEx>
          <w:tblLayout w:type="fixed"/>
          <w:tblCellMar>
            <w:top w:w="0" w:type="dxa"/>
            <w:left w:w="0" w:type="dxa"/>
            <w:bottom w:w="0" w:type="dxa"/>
            <w:right w:w="0" w:type="dxa"/>
          </w:tblCellMar>
        </w:tblPrEx>
        <w:tc>
          <w:tcPr>
            <w:tcW w:w="86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Ansi="宋体" w:cs="Segoe UI"/>
                <w:b/>
                <w:color w:val="000000"/>
                <w:kern w:val="0"/>
                <w:sz w:val="24"/>
                <w:szCs w:val="24"/>
                <w:highlight w:val="none"/>
              </w:rPr>
            </w:pPr>
            <w:r>
              <w:rPr>
                <w:rFonts w:hAnsi="宋体" w:cs="Segoe UI"/>
                <w:b/>
                <w:color w:val="000000"/>
                <w:kern w:val="0"/>
                <w:sz w:val="24"/>
                <w:szCs w:val="24"/>
                <w:highlight w:val="none"/>
              </w:rPr>
              <w:t>序号</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pacing w:line="360" w:lineRule="auto"/>
              <w:jc w:val="center"/>
              <w:rPr>
                <w:rFonts w:hAnsi="宋体" w:cs="Segoe UI"/>
                <w:b/>
                <w:color w:val="000000"/>
                <w:kern w:val="0"/>
                <w:sz w:val="24"/>
                <w:szCs w:val="24"/>
                <w:highlight w:val="none"/>
              </w:rPr>
            </w:pPr>
            <w:r>
              <w:rPr>
                <w:rFonts w:hAnsi="宋体" w:cs="Segoe UI"/>
                <w:b/>
                <w:color w:val="000000"/>
                <w:kern w:val="0"/>
                <w:sz w:val="24"/>
                <w:szCs w:val="24"/>
                <w:highlight w:val="none"/>
              </w:rPr>
              <w:t>档次</w:t>
            </w:r>
          </w:p>
        </w:tc>
        <w:tc>
          <w:tcPr>
            <w:tcW w:w="48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widowControl/>
              <w:spacing w:line="360" w:lineRule="auto"/>
              <w:jc w:val="center"/>
              <w:rPr>
                <w:rFonts w:hAnsi="宋体" w:cs="Segoe UI"/>
                <w:b/>
                <w:color w:val="000000"/>
                <w:kern w:val="0"/>
                <w:sz w:val="24"/>
                <w:szCs w:val="24"/>
                <w:highlight w:val="none"/>
              </w:rPr>
            </w:pPr>
            <w:r>
              <w:rPr>
                <w:rFonts w:hAnsi="宋体" w:cs="Segoe UI"/>
                <w:b/>
                <w:color w:val="000000"/>
                <w:kern w:val="0"/>
                <w:sz w:val="24"/>
                <w:szCs w:val="24"/>
                <w:highlight w:val="none"/>
              </w:rPr>
              <w:t>得分</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Ansi="宋体" w:cs="Segoe UI"/>
                <w:b/>
                <w:color w:val="000000"/>
                <w:kern w:val="0"/>
                <w:sz w:val="24"/>
                <w:szCs w:val="24"/>
                <w:highlight w:val="none"/>
              </w:rPr>
            </w:pPr>
            <w:r>
              <w:rPr>
                <w:rFonts w:hAnsi="宋体" w:cs="Segoe UI"/>
                <w:b/>
                <w:color w:val="000000"/>
                <w:kern w:val="0"/>
                <w:sz w:val="24"/>
                <w:szCs w:val="24"/>
                <w:highlight w:val="none"/>
              </w:rPr>
              <w:t>配租配额上限</w:t>
            </w:r>
          </w:p>
        </w:tc>
      </w:tr>
      <w:tr>
        <w:tblPrEx>
          <w:tblLayout w:type="fixed"/>
          <w:tblCellMar>
            <w:top w:w="0" w:type="dxa"/>
            <w:left w:w="0" w:type="dxa"/>
            <w:bottom w:w="0" w:type="dxa"/>
            <w:right w:w="0" w:type="dxa"/>
          </w:tblCellMar>
        </w:tblPrEx>
        <w:tc>
          <w:tcPr>
            <w:tcW w:w="86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ascii="宋体" w:hAnsi="宋体"/>
                <w:color w:val="000000"/>
                <w:kern w:val="0"/>
                <w:sz w:val="24"/>
                <w:highlight w:val="none"/>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60" w:lineRule="auto"/>
              <w:jc w:val="left"/>
              <w:rPr>
                <w:rFonts w:ascii="宋体" w:hAnsi="宋体"/>
                <w:color w:val="000000"/>
                <w:kern w:val="0"/>
                <w:sz w:val="24"/>
                <w:highlight w:val="none"/>
              </w:rPr>
            </w:pPr>
            <w:r>
              <w:rPr>
                <w:rFonts w:ascii="宋体" w:hAnsi="宋体"/>
                <w:color w:val="000000"/>
                <w:kern w:val="0"/>
                <w:sz w:val="24"/>
                <w:highlight w:val="none"/>
              </w:rPr>
              <w:t>第一档</w:t>
            </w:r>
          </w:p>
        </w:tc>
        <w:tc>
          <w:tcPr>
            <w:tcW w:w="4863"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line="360" w:lineRule="auto"/>
              <w:jc w:val="left"/>
              <w:rPr>
                <w:rFonts w:ascii="宋体" w:hAnsi="宋体"/>
                <w:color w:val="000000"/>
                <w:kern w:val="0"/>
                <w:sz w:val="24"/>
                <w:highlight w:val="none"/>
              </w:rPr>
            </w:pPr>
            <w:r>
              <w:rPr>
                <w:rFonts w:ascii="宋体" w:hAnsi="宋体"/>
                <w:color w:val="000000"/>
                <w:kern w:val="0"/>
                <w:sz w:val="24"/>
                <w:highlight w:val="none"/>
              </w:rPr>
              <w:t>90分（含）以上</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ascii="宋体" w:hAnsi="宋体"/>
                <w:color w:val="000000"/>
                <w:kern w:val="0"/>
                <w:sz w:val="24"/>
                <w:highlight w:val="none"/>
              </w:rPr>
              <w:t>3房1套</w:t>
            </w:r>
          </w:p>
        </w:tc>
      </w:tr>
      <w:tr>
        <w:tblPrEx>
          <w:tblLayout w:type="fixed"/>
          <w:tblCellMar>
            <w:top w:w="0" w:type="dxa"/>
            <w:left w:w="0" w:type="dxa"/>
            <w:bottom w:w="0" w:type="dxa"/>
            <w:right w:w="0" w:type="dxa"/>
          </w:tblCellMar>
        </w:tblPrEx>
        <w:tc>
          <w:tcPr>
            <w:tcW w:w="86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ascii="宋体" w:hAnsi="宋体"/>
                <w:color w:val="000000"/>
                <w:kern w:val="0"/>
                <w:sz w:val="24"/>
                <w:highlight w:val="none"/>
              </w:rPr>
              <w:t>2</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top"/>
          </w:tcPr>
          <w:p>
            <w:pPr>
              <w:widowControl/>
              <w:spacing w:line="360" w:lineRule="auto"/>
              <w:jc w:val="left"/>
              <w:rPr>
                <w:rFonts w:ascii="宋体" w:hAnsi="宋体"/>
                <w:color w:val="000000"/>
                <w:kern w:val="0"/>
                <w:sz w:val="24"/>
                <w:highlight w:val="none"/>
              </w:rPr>
            </w:pPr>
            <w:r>
              <w:rPr>
                <w:rFonts w:ascii="宋体" w:hAnsi="宋体"/>
                <w:color w:val="000000"/>
                <w:kern w:val="0"/>
                <w:sz w:val="24"/>
                <w:highlight w:val="none"/>
              </w:rPr>
              <w:t>第二档</w:t>
            </w:r>
          </w:p>
        </w:tc>
        <w:tc>
          <w:tcPr>
            <w:tcW w:w="4863" w:type="dxa"/>
            <w:tcBorders>
              <w:top w:val="nil"/>
              <w:left w:val="nil"/>
              <w:bottom w:val="single" w:color="auto" w:sz="4" w:space="0"/>
              <w:right w:val="single" w:color="auto" w:sz="8" w:space="0"/>
            </w:tcBorders>
            <w:tcMar>
              <w:top w:w="0" w:type="dxa"/>
              <w:left w:w="108" w:type="dxa"/>
              <w:bottom w:w="0" w:type="dxa"/>
              <w:right w:w="108" w:type="dxa"/>
            </w:tcMar>
            <w:vAlign w:val="top"/>
          </w:tcPr>
          <w:p>
            <w:pPr>
              <w:widowControl/>
              <w:spacing w:line="360" w:lineRule="auto"/>
              <w:jc w:val="left"/>
              <w:rPr>
                <w:rFonts w:ascii="宋体" w:hAnsi="宋体"/>
                <w:color w:val="000000"/>
                <w:kern w:val="0"/>
                <w:sz w:val="24"/>
                <w:highlight w:val="none"/>
              </w:rPr>
            </w:pPr>
            <w:r>
              <w:rPr>
                <w:rFonts w:ascii="宋体" w:hAnsi="宋体"/>
                <w:color w:val="000000"/>
                <w:kern w:val="0"/>
                <w:sz w:val="24"/>
                <w:highlight w:val="none"/>
              </w:rPr>
              <w:t>80分（含）至90分</w:t>
            </w:r>
          </w:p>
        </w:tc>
        <w:tc>
          <w:tcPr>
            <w:tcW w:w="2409"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center"/>
              <w:rPr>
                <w:rFonts w:ascii="宋体" w:hAnsi="宋体"/>
                <w:color w:val="000000"/>
                <w:kern w:val="0"/>
                <w:sz w:val="24"/>
                <w:highlight w:val="none"/>
              </w:rPr>
            </w:pPr>
            <w:r>
              <w:rPr>
                <w:rFonts w:ascii="宋体" w:hAnsi="宋体"/>
                <w:color w:val="000000"/>
                <w:kern w:val="0"/>
                <w:sz w:val="24"/>
                <w:highlight w:val="none"/>
              </w:rPr>
              <w:t>2房1套</w:t>
            </w:r>
          </w:p>
        </w:tc>
      </w:tr>
    </w:tbl>
    <w:p>
      <w:pPr>
        <w:widowControl/>
        <w:shd w:val="clear" w:color="auto" w:fill="FFFFFF"/>
        <w:spacing w:line="360" w:lineRule="auto"/>
        <w:jc w:val="center"/>
        <w:rPr>
          <w:rFonts w:hint="eastAsia" w:ascii="宋体" w:hAnsi="宋体"/>
          <w:b/>
          <w:color w:val="000000"/>
          <w:kern w:val="0"/>
          <w:sz w:val="36"/>
          <w:szCs w:val="36"/>
          <w:highlight w:val="none"/>
        </w:rPr>
      </w:pPr>
    </w:p>
    <w:p>
      <w:pPr>
        <w:widowControl/>
        <w:shd w:val="clear" w:color="auto" w:fill="FFFFFF"/>
        <w:spacing w:line="360" w:lineRule="auto"/>
        <w:rPr>
          <w:rFonts w:hint="eastAsia" w:ascii="宋体" w:hAnsi="宋体"/>
          <w:b/>
          <w:color w:val="000000"/>
          <w:kern w:val="0"/>
          <w:sz w:val="36"/>
          <w:szCs w:val="36"/>
          <w:highlight w:val="none"/>
        </w:rPr>
      </w:pPr>
    </w:p>
    <w:p>
      <w:pPr>
        <w:widowControl/>
        <w:shd w:val="clear" w:color="auto" w:fill="FFFFFF"/>
        <w:spacing w:line="360" w:lineRule="auto"/>
        <w:rPr>
          <w:rFonts w:hint="eastAsia" w:ascii="宋体" w:hAnsi="宋体"/>
          <w:b/>
          <w:color w:val="000000"/>
          <w:kern w:val="0"/>
          <w:sz w:val="36"/>
          <w:szCs w:val="36"/>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723" w:firstLineChars="200"/>
        <w:textAlignment w:val="auto"/>
        <w:outlineLvl w:val="9"/>
        <w:rPr>
          <w:rFonts w:hint="eastAsia" w:ascii="宋体" w:hAnsi="宋体"/>
          <w:b/>
          <w:color w:val="000000"/>
          <w:kern w:val="0"/>
          <w:sz w:val="36"/>
          <w:szCs w:val="36"/>
          <w:highlight w:val="none"/>
        </w:rPr>
      </w:pPr>
      <w:r>
        <w:rPr>
          <w:rFonts w:hint="eastAsia" w:ascii="宋体" w:hAnsi="宋体"/>
          <w:b/>
          <w:color w:val="000000"/>
          <w:kern w:val="0"/>
          <w:sz w:val="36"/>
          <w:szCs w:val="36"/>
          <w:highlight w:val="none"/>
        </w:rPr>
        <w:t>二、人才规模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jc w:val="left"/>
        <w:textAlignment w:val="auto"/>
        <w:outlineLvl w:val="9"/>
        <w:rPr>
          <w:rFonts w:hint="eastAsia" w:ascii="宋体" w:hAnsi="宋体"/>
          <w:color w:val="000000"/>
          <w:kern w:val="0"/>
          <w:sz w:val="24"/>
          <w:highlight w:val="none"/>
        </w:rPr>
      </w:pPr>
      <w:r>
        <w:rPr>
          <w:rFonts w:hint="eastAsia" w:ascii="宋体" w:hAnsi="宋体"/>
          <w:color w:val="000000"/>
          <w:kern w:val="0"/>
          <w:sz w:val="24"/>
          <w:highlight w:val="none"/>
        </w:rPr>
        <w:t>企业和机构申报的人才规模是指，具有大学本科及以上学历，或中级及以上职称，或二级技师及以上证书的人才数量(以通告日期社保登记为准)，且与申报单位签订全职劳动合同并处于有效期，同时在本单位正常缴纳社保及个人所得税（退休返聘人员或外籍人员仅须缴纳个人所得税）。人才规模需在《南山区人才安居定向配租补租申报表》中如实填写。</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723" w:firstLineChars="200"/>
        <w:jc w:val="left"/>
        <w:textAlignment w:val="auto"/>
        <w:outlineLvl w:val="9"/>
        <w:rPr>
          <w:rFonts w:hint="eastAsia" w:ascii="宋体" w:hAnsi="宋体"/>
          <w:b/>
          <w:color w:val="000000"/>
          <w:kern w:val="0"/>
          <w:sz w:val="36"/>
          <w:szCs w:val="36"/>
          <w:highlight w:val="none"/>
        </w:rPr>
      </w:pPr>
      <w:r>
        <w:rPr>
          <w:rFonts w:hint="eastAsia" w:ascii="宋体" w:hAnsi="宋体"/>
          <w:b/>
          <w:color w:val="000000"/>
          <w:kern w:val="0"/>
          <w:sz w:val="36"/>
          <w:szCs w:val="36"/>
          <w:highlight w:val="none"/>
        </w:rPr>
        <w:t>三、一票否决执行标准</w:t>
      </w:r>
    </w:p>
    <w:p>
      <w:pPr>
        <w:pStyle w:val="11"/>
        <w:keepNext w:val="0"/>
        <w:keepLines w:val="0"/>
        <w:pageBreakBefore w:val="0"/>
        <w:kinsoku/>
        <w:wordWrap/>
        <w:overflowPunct/>
        <w:topLinePunct w:val="0"/>
        <w:autoSpaceDE/>
        <w:autoSpaceDN/>
        <w:bidi w:val="0"/>
        <w:adjustRightInd/>
        <w:snapToGrid/>
        <w:spacing w:line="500" w:lineRule="exact"/>
        <w:ind w:firstLine="48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近三年内，在税收、环保、诚信、劳资关系、安全生产等方面未发生违法行为，未受到行政处罚或司法机关追究刑事责任。</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723" w:firstLineChars="200"/>
        <w:jc w:val="left"/>
        <w:textAlignment w:val="auto"/>
        <w:outlineLvl w:val="9"/>
        <w:rPr>
          <w:rFonts w:hint="eastAsia" w:ascii="宋体" w:hAnsi="宋体"/>
          <w:b/>
          <w:color w:val="000000"/>
          <w:kern w:val="0"/>
          <w:sz w:val="36"/>
          <w:szCs w:val="36"/>
          <w:highlight w:val="none"/>
          <w:lang w:val="en-US" w:eastAsia="zh-CN"/>
        </w:rPr>
      </w:pPr>
      <w:r>
        <w:rPr>
          <w:rFonts w:hint="eastAsia" w:ascii="宋体" w:hAnsi="宋体"/>
          <w:b/>
          <w:color w:val="000000"/>
          <w:kern w:val="0"/>
          <w:sz w:val="36"/>
          <w:szCs w:val="36"/>
          <w:highlight w:val="none"/>
          <w:lang w:val="en-US" w:eastAsia="zh-CN"/>
        </w:rPr>
        <w:t>四、配额计算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（一）根据《南山区2019年度人才安居住房定向配租补租评分标准》，对各类别企业和机构进行评分、排序，结合企业和机构实际需求及房源数量或专项资金额度，确定配租及补租套数。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二）各类别配额上限是以企业纳税、统计贡献、人才规模情况及参照部分特殊行业特点为标准，配租额度原则不能超过人才规模的5%，补租额度原则上不超过人才规模的50%，配租总量不超过50套，补租总量不超过300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（三）具有一定经营规模且对辖区社会经济贡献较大的企业、部分区政府年度重点引进企业等其他特殊情形的企业和机构，经研究同意，在资金允许的情况下，补租配额上限可增至400套。</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723" w:firstLineChars="200"/>
        <w:jc w:val="left"/>
        <w:textAlignment w:val="auto"/>
        <w:outlineLvl w:val="9"/>
        <w:rPr>
          <w:rFonts w:hint="eastAsia" w:ascii="宋体" w:hAnsi="宋体"/>
          <w:b/>
          <w:color w:val="000000"/>
          <w:kern w:val="0"/>
          <w:sz w:val="36"/>
          <w:szCs w:val="36"/>
          <w:highlight w:val="none"/>
          <w:lang w:val="en-US" w:eastAsia="zh-CN"/>
        </w:rPr>
      </w:pPr>
      <w:r>
        <w:rPr>
          <w:rFonts w:hint="eastAsia" w:ascii="宋体" w:hAnsi="宋体"/>
          <w:b/>
          <w:color w:val="000000"/>
          <w:kern w:val="0"/>
          <w:sz w:val="36"/>
          <w:szCs w:val="36"/>
          <w:highlight w:val="none"/>
          <w:lang w:val="en-US" w:eastAsia="zh-CN"/>
        </w:rPr>
        <w:t>五、其他重要提示</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b/>
          <w:bCs/>
          <w:color w:val="000000"/>
          <w:kern w:val="0"/>
          <w:sz w:val="24"/>
          <w:szCs w:val="22"/>
          <w:highlight w:val="none"/>
          <w:lang w:val="en-US" w:eastAsia="zh-CN" w:bidi="ar-SA"/>
        </w:rPr>
      </w:pPr>
      <w:r>
        <w:rPr>
          <w:rFonts w:hint="eastAsia" w:ascii="宋体" w:hAnsi="宋体"/>
          <w:b/>
          <w:bCs/>
          <w:color w:val="000000"/>
          <w:kern w:val="0"/>
          <w:sz w:val="24"/>
          <w:szCs w:val="22"/>
          <w:highlight w:val="none"/>
          <w:lang w:val="en-US" w:eastAsia="zh-CN" w:bidi="ar-SA"/>
        </w:rPr>
        <w:t>（一）关于市、区、前海分工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根据《关于完善人才住房制度的若干措施》（深发[2016]13号），市本级负责市级认定的高层次人才、总部企业高级管理人才、在站博士后，以及市级党政机关和事业单位、中央驻深机构、市政府批准的其他单位人才住房的建设筹集和供应。市前海管理局参照各区政府，负责前海深港现代服务业合作区人才住房的建设筹集和供应。</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b/>
          <w:bCs/>
          <w:color w:val="000000"/>
          <w:kern w:val="0"/>
          <w:sz w:val="24"/>
          <w:szCs w:val="22"/>
          <w:highlight w:val="none"/>
          <w:lang w:val="en-US" w:eastAsia="zh-CN" w:bidi="ar-SA"/>
        </w:rPr>
      </w:pPr>
      <w:r>
        <w:rPr>
          <w:rFonts w:hint="eastAsia" w:ascii="宋体" w:hAnsi="宋体"/>
          <w:b/>
          <w:bCs/>
          <w:color w:val="000000"/>
          <w:kern w:val="0"/>
          <w:sz w:val="24"/>
          <w:szCs w:val="22"/>
          <w:highlight w:val="none"/>
          <w:lang w:val="en-US" w:eastAsia="zh-CN" w:bidi="ar-SA"/>
        </w:rPr>
        <w:t>（二）关于集团公司（总公司）与下属公司合并申报、分配的问题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1、下属公司包括子公司、分公司、分厂、分店等。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2、同时具备以下条件，集团公司（总公司）与下属公司可一并申报纳税贡献和人才规模：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（1）集团公司（总公司）与下属公司的注册地及纳税地（含个人所得税扣缴）、社保缴纳地均在南山区（含前海管理局认定的总部企业，不含高尔夫、房地产类企业）。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（2）集团公司（总公司）对下属公司直接控股，且控股比例超过51%（含51%）。</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b w:val="0"/>
          <w:bCs w:val="0"/>
          <w:color w:val="000000"/>
          <w:kern w:val="0"/>
          <w:sz w:val="24"/>
          <w:szCs w:val="22"/>
          <w:highlight w:val="none"/>
          <w:lang w:val="en-US" w:eastAsia="zh-CN" w:bidi="ar-SA"/>
        </w:rPr>
      </w:pPr>
      <w:r>
        <w:rPr>
          <w:rFonts w:hint="eastAsia" w:ascii="宋体" w:hAnsi="宋体"/>
          <w:b w:val="0"/>
          <w:bCs w:val="0"/>
          <w:color w:val="000000"/>
          <w:kern w:val="0"/>
          <w:sz w:val="24"/>
          <w:szCs w:val="22"/>
          <w:highlight w:val="none"/>
          <w:lang w:val="en-US" w:eastAsia="zh-CN" w:bidi="ar-SA"/>
        </w:rPr>
        <w:t>3、申报单位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（1）当集团公司（总公司）仅与一家下属公司合并申报时，申报单位可以是集团公司（总公司），也可以是下属公司。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（2）当集团公司（总公司）与两家或以上下属公司合并申报时，申报单位应当是集团公司（总公司）。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b w:val="0"/>
          <w:bCs w:val="0"/>
          <w:color w:val="000000"/>
          <w:kern w:val="0"/>
          <w:sz w:val="24"/>
          <w:szCs w:val="22"/>
          <w:highlight w:val="none"/>
          <w:lang w:val="en-US" w:eastAsia="zh-CN" w:bidi="ar-SA"/>
        </w:rPr>
      </w:pPr>
      <w:r>
        <w:rPr>
          <w:rFonts w:hint="eastAsia" w:ascii="宋体" w:hAnsi="宋体"/>
          <w:b w:val="0"/>
          <w:bCs w:val="0"/>
          <w:color w:val="000000"/>
          <w:kern w:val="0"/>
          <w:sz w:val="24"/>
          <w:szCs w:val="22"/>
          <w:highlight w:val="none"/>
          <w:lang w:val="en-US" w:eastAsia="zh-CN" w:bidi="ar-SA"/>
        </w:rPr>
        <w:t>4、合并申报应提供如下证明材料：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（1）集团公司（总公司）、下属公司隶属关系证明。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（2）集团公司（总公司）、下属公司的纳税证明、营业执照、企业信用信息资料等相关基本资料。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（3）其他需要的有关资料。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b w:val="0"/>
          <w:bCs w:val="0"/>
          <w:color w:val="000000"/>
          <w:kern w:val="0"/>
          <w:sz w:val="24"/>
          <w:szCs w:val="22"/>
          <w:highlight w:val="none"/>
          <w:lang w:val="en-US" w:eastAsia="zh-CN" w:bidi="ar-SA"/>
        </w:rPr>
      </w:pPr>
      <w:r>
        <w:rPr>
          <w:rFonts w:hint="eastAsia" w:ascii="宋体" w:hAnsi="宋体"/>
          <w:b w:val="0"/>
          <w:bCs w:val="0"/>
          <w:color w:val="000000"/>
          <w:kern w:val="0"/>
          <w:sz w:val="24"/>
          <w:szCs w:val="22"/>
          <w:highlight w:val="none"/>
          <w:lang w:val="en-US" w:eastAsia="zh-CN" w:bidi="ar-SA"/>
        </w:rPr>
        <w:t>5、配租、补租款项统一分配至申报单位，再由申报单位分配给申报单位及合并申报公司中符合条件的人才。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b w:val="0"/>
          <w:bCs w:val="0"/>
          <w:color w:val="000000"/>
          <w:kern w:val="0"/>
          <w:sz w:val="24"/>
          <w:szCs w:val="22"/>
          <w:highlight w:val="none"/>
          <w:lang w:val="en-US" w:eastAsia="zh-CN" w:bidi="ar-SA"/>
        </w:rPr>
      </w:pPr>
      <w:r>
        <w:rPr>
          <w:rFonts w:hint="eastAsia" w:ascii="宋体" w:hAnsi="宋体"/>
          <w:b w:val="0"/>
          <w:bCs w:val="0"/>
          <w:color w:val="000000"/>
          <w:kern w:val="0"/>
          <w:sz w:val="24"/>
          <w:szCs w:val="22"/>
          <w:highlight w:val="none"/>
          <w:lang w:val="en-US" w:eastAsia="zh-CN" w:bidi="ar-SA"/>
        </w:rPr>
        <w:t>6、合并申报的集团公司（总公司）、下属公司不得再次单独申报。</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b/>
          <w:bCs/>
          <w:color w:val="000000"/>
          <w:kern w:val="0"/>
          <w:sz w:val="24"/>
          <w:szCs w:val="22"/>
          <w:highlight w:val="none"/>
          <w:lang w:val="en-US" w:eastAsia="zh-CN" w:bidi="ar-SA"/>
        </w:rPr>
      </w:pPr>
      <w:r>
        <w:rPr>
          <w:rFonts w:hint="eastAsia" w:ascii="宋体" w:hAnsi="宋体"/>
          <w:b/>
          <w:bCs/>
          <w:color w:val="000000"/>
          <w:kern w:val="0"/>
          <w:sz w:val="24"/>
          <w:szCs w:val="22"/>
          <w:highlight w:val="none"/>
          <w:lang w:val="en-US" w:eastAsia="zh-CN" w:bidi="ar-SA"/>
        </w:rPr>
        <w:t>（三）关于集团公司（总公司）、下属公司分开申报的问题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1、集团公司（总公司）、下属公司各自符合申报条件的，可分开申报。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2、分开申报补租的集团公司（总公司）、下属公司，补租款不可以相互混合发放。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四）企业和机构应当面向达到如下学历或职称证书标准的员工发放配租、补租：具有大学本科及以上学历、或中级及以上职称，或二级技师及以上证书。企业和机构确因工作实际，可以适当向未达到上述学历或职称证书标准、但同时满足以下条件的骨干员工发放配租、补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（1）具有大学专科学历且在本单位缴纳社保满5年、同时在本单位重要岗位工作且对本单位作出了突出贡献。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（2）与企业和机构签订全职劳动合同并处于有效期，且在本单位正常缴纳社保及个人所得税（退休返聘人员或外籍人员仅须在本单位缴纳个人所得税）。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3）人才及配偶、未成年子女在本市未拥有任何形式自有住房或住房建设用地、未购买或正在租赁保障性政策性住房、未领取过购房补贴；其中，住房包括安居房（含准成本房、全成本房、社会微利房、全成本微利房）、房改房、经济适用住房、公共租赁住房、安居型商品房、前海人才住房等政策性住房、集资房、拆迁安置房、军产房、商品房、自建私房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（4）人才未同时享受任何形式保障性政策性的租房补贴（包括杰出、领军人才租房补贴，新引进人才租房和生活补贴，领航人才租房补贴，南山区企业人才住房补租，前海总部企业人才租房补贴等）。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color w:val="000000"/>
          <w:kern w:val="2"/>
          <w:sz w:val="21"/>
          <w:szCs w:val="22"/>
          <w:highlight w:val="none"/>
          <w:lang w:val="en-US" w:eastAsia="zh-CN" w:bidi="ar-SA"/>
        </w:rPr>
      </w:pPr>
      <w:r>
        <w:rPr>
          <w:rFonts w:hint="eastAsia" w:ascii="宋体" w:hAnsi="宋体"/>
          <w:color w:val="000000"/>
          <w:kern w:val="0"/>
          <w:sz w:val="24"/>
          <w:szCs w:val="22"/>
          <w:highlight w:val="none"/>
          <w:lang w:val="en-US" w:eastAsia="zh-CN" w:bidi="ar-SA"/>
        </w:rPr>
        <w:t>（5）备案材料除上述外，另须增加：企业和机构会议确定人选的纪要或决定文件、发放人员明细表、骨干员工的主要贡献介绍（包括但不限于突出业绩表现、表彰通告、科研专利成果等），上述资料须在单位内部进行公示（不少于5个工作日）。</w:t>
      </w:r>
      <w:r>
        <w:rPr>
          <w:rFonts w:hint="eastAsia"/>
          <w:color w:val="000000"/>
          <w:kern w:val="2"/>
          <w:sz w:val="21"/>
          <w:szCs w:val="22"/>
          <w:highlight w:val="none"/>
          <w:lang w:val="en-US" w:eastAsia="zh-CN" w:bidi="ar-SA"/>
        </w:rPr>
        <w:tab/>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（五）后续区住房和建设局将组织相关部门对企业和机构的公示、建档备案工作、申报材料及发放情况进行核查，企业和机构需无条件配合核查工作。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（六）区人才和保障房分配管理领导小组有</w:t>
      </w:r>
      <w:bookmarkStart w:id="1" w:name="_Toc344143448"/>
      <w:bookmarkStart w:id="2" w:name="_Toc344216284"/>
      <w:bookmarkStart w:id="3" w:name="_Toc344276127"/>
      <w:r>
        <w:rPr>
          <w:rFonts w:hint="eastAsia" w:ascii="宋体" w:hAnsi="宋体"/>
          <w:color w:val="000000"/>
          <w:kern w:val="0"/>
          <w:sz w:val="24"/>
          <w:szCs w:val="22"/>
          <w:highlight w:val="none"/>
          <w:lang w:val="en-US" w:eastAsia="zh-CN" w:bidi="ar-SA"/>
        </w:rPr>
        <w:t>保留校验所有附件原件的权利。</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kern w:val="0"/>
          <w:sz w:val="24"/>
          <w:szCs w:val="22"/>
          <w:highlight w:val="none"/>
          <w:lang w:val="en-US" w:eastAsia="zh-CN" w:bidi="ar-SA"/>
        </w:rPr>
      </w:pPr>
      <w:r>
        <w:rPr>
          <w:rFonts w:hint="eastAsia" w:ascii="宋体" w:hAnsi="宋体"/>
          <w:color w:val="000000"/>
          <w:kern w:val="0"/>
          <w:sz w:val="24"/>
          <w:szCs w:val="22"/>
          <w:highlight w:val="none"/>
          <w:lang w:val="en-US" w:eastAsia="zh-CN" w:bidi="ar-SA"/>
        </w:rPr>
        <w:t>（七）以上提及的所有事业单位均指企业化管理的事业单位。</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color w:val="000000"/>
          <w:sz w:val="24"/>
          <w:highlight w:val="none"/>
        </w:rPr>
      </w:pPr>
      <w:r>
        <w:rPr>
          <w:rFonts w:hint="eastAsia" w:ascii="宋体" w:hAnsi="宋体"/>
          <w:color w:val="000000"/>
          <w:kern w:val="0"/>
          <w:sz w:val="24"/>
          <w:szCs w:val="22"/>
          <w:highlight w:val="none"/>
          <w:lang w:val="en-US" w:eastAsia="zh-CN" w:bidi="ar-SA"/>
        </w:rPr>
        <w:t>（八）2018年施行的《南山区2018年度人才安居重点企业定向配租评分标准》不再使用。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15624"/>
    <w:multiLevelType w:val="multilevel"/>
    <w:tmpl w:val="26D15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AC"/>
    <w:rsid w:val="00000AFF"/>
    <w:rsid w:val="00002574"/>
    <w:rsid w:val="00005068"/>
    <w:rsid w:val="0000527D"/>
    <w:rsid w:val="00006A60"/>
    <w:rsid w:val="00013898"/>
    <w:rsid w:val="00014C33"/>
    <w:rsid w:val="000204AC"/>
    <w:rsid w:val="00021397"/>
    <w:rsid w:val="00021B4B"/>
    <w:rsid w:val="00025BE0"/>
    <w:rsid w:val="000264C1"/>
    <w:rsid w:val="00027BF9"/>
    <w:rsid w:val="00033452"/>
    <w:rsid w:val="00034CDE"/>
    <w:rsid w:val="00035EAA"/>
    <w:rsid w:val="00037898"/>
    <w:rsid w:val="00042BF2"/>
    <w:rsid w:val="00047C8F"/>
    <w:rsid w:val="00052189"/>
    <w:rsid w:val="00052551"/>
    <w:rsid w:val="00056339"/>
    <w:rsid w:val="00063BF6"/>
    <w:rsid w:val="00064294"/>
    <w:rsid w:val="00067159"/>
    <w:rsid w:val="00070058"/>
    <w:rsid w:val="000744C3"/>
    <w:rsid w:val="00087546"/>
    <w:rsid w:val="00087E8E"/>
    <w:rsid w:val="000A0C50"/>
    <w:rsid w:val="000A1A71"/>
    <w:rsid w:val="000A27D2"/>
    <w:rsid w:val="000A3CF9"/>
    <w:rsid w:val="000A6EC6"/>
    <w:rsid w:val="000B0A52"/>
    <w:rsid w:val="000B0D20"/>
    <w:rsid w:val="000B0F03"/>
    <w:rsid w:val="000B150E"/>
    <w:rsid w:val="000B60CF"/>
    <w:rsid w:val="000C2B7C"/>
    <w:rsid w:val="000C2EC6"/>
    <w:rsid w:val="000C3175"/>
    <w:rsid w:val="000C6924"/>
    <w:rsid w:val="000D3B15"/>
    <w:rsid w:val="000D4B40"/>
    <w:rsid w:val="000D5D9B"/>
    <w:rsid w:val="000D608F"/>
    <w:rsid w:val="000D6969"/>
    <w:rsid w:val="000E22A1"/>
    <w:rsid w:val="000E615F"/>
    <w:rsid w:val="000E6DC7"/>
    <w:rsid w:val="000F025E"/>
    <w:rsid w:val="000F31F0"/>
    <w:rsid w:val="000F3448"/>
    <w:rsid w:val="000F3469"/>
    <w:rsid w:val="000F34FC"/>
    <w:rsid w:val="0010185C"/>
    <w:rsid w:val="00101884"/>
    <w:rsid w:val="00105516"/>
    <w:rsid w:val="0010695F"/>
    <w:rsid w:val="00110155"/>
    <w:rsid w:val="00115648"/>
    <w:rsid w:val="00115D83"/>
    <w:rsid w:val="0011673F"/>
    <w:rsid w:val="00116DE7"/>
    <w:rsid w:val="00116DFD"/>
    <w:rsid w:val="001171FE"/>
    <w:rsid w:val="00122752"/>
    <w:rsid w:val="00123A41"/>
    <w:rsid w:val="00123F6A"/>
    <w:rsid w:val="001250E5"/>
    <w:rsid w:val="00127494"/>
    <w:rsid w:val="001312D5"/>
    <w:rsid w:val="00132986"/>
    <w:rsid w:val="001355F7"/>
    <w:rsid w:val="001405D9"/>
    <w:rsid w:val="001409B9"/>
    <w:rsid w:val="00140D38"/>
    <w:rsid w:val="00141E1C"/>
    <w:rsid w:val="00142CD1"/>
    <w:rsid w:val="001433E6"/>
    <w:rsid w:val="00150F4A"/>
    <w:rsid w:val="00156AE4"/>
    <w:rsid w:val="0017095B"/>
    <w:rsid w:val="00172AD6"/>
    <w:rsid w:val="00174CB0"/>
    <w:rsid w:val="001750E0"/>
    <w:rsid w:val="00175558"/>
    <w:rsid w:val="001757A9"/>
    <w:rsid w:val="00176E4F"/>
    <w:rsid w:val="001808EC"/>
    <w:rsid w:val="00180AEE"/>
    <w:rsid w:val="0018110D"/>
    <w:rsid w:val="001836DF"/>
    <w:rsid w:val="00186685"/>
    <w:rsid w:val="001873D7"/>
    <w:rsid w:val="00187B27"/>
    <w:rsid w:val="0019720B"/>
    <w:rsid w:val="00197625"/>
    <w:rsid w:val="001A2CA7"/>
    <w:rsid w:val="001A46F5"/>
    <w:rsid w:val="001A476F"/>
    <w:rsid w:val="001A54D8"/>
    <w:rsid w:val="001A73EB"/>
    <w:rsid w:val="001B6E09"/>
    <w:rsid w:val="001C51D3"/>
    <w:rsid w:val="001C5339"/>
    <w:rsid w:val="001D3949"/>
    <w:rsid w:val="001D6C2D"/>
    <w:rsid w:val="001E200E"/>
    <w:rsid w:val="001E60CE"/>
    <w:rsid w:val="001F0102"/>
    <w:rsid w:val="001F2E72"/>
    <w:rsid w:val="001F4A77"/>
    <w:rsid w:val="00200D41"/>
    <w:rsid w:val="00202E63"/>
    <w:rsid w:val="0020703B"/>
    <w:rsid w:val="002109FB"/>
    <w:rsid w:val="002127C9"/>
    <w:rsid w:val="00212985"/>
    <w:rsid w:val="002153BF"/>
    <w:rsid w:val="00215910"/>
    <w:rsid w:val="00217F95"/>
    <w:rsid w:val="002234FB"/>
    <w:rsid w:val="00223E79"/>
    <w:rsid w:val="0022439D"/>
    <w:rsid w:val="00224F79"/>
    <w:rsid w:val="00230435"/>
    <w:rsid w:val="00231736"/>
    <w:rsid w:val="002331D5"/>
    <w:rsid w:val="002347CA"/>
    <w:rsid w:val="00235098"/>
    <w:rsid w:val="00246EC8"/>
    <w:rsid w:val="00250E94"/>
    <w:rsid w:val="00257512"/>
    <w:rsid w:val="00261388"/>
    <w:rsid w:val="002615AE"/>
    <w:rsid w:val="0026359B"/>
    <w:rsid w:val="002636C8"/>
    <w:rsid w:val="002656EE"/>
    <w:rsid w:val="0027682F"/>
    <w:rsid w:val="00281E9A"/>
    <w:rsid w:val="00282246"/>
    <w:rsid w:val="00285C3C"/>
    <w:rsid w:val="00285D8D"/>
    <w:rsid w:val="00287BE1"/>
    <w:rsid w:val="00290809"/>
    <w:rsid w:val="00292D43"/>
    <w:rsid w:val="00292F36"/>
    <w:rsid w:val="00294C8A"/>
    <w:rsid w:val="00295DBF"/>
    <w:rsid w:val="00296B81"/>
    <w:rsid w:val="002A4C9B"/>
    <w:rsid w:val="002A68C0"/>
    <w:rsid w:val="002B1752"/>
    <w:rsid w:val="002B18AC"/>
    <w:rsid w:val="002B2013"/>
    <w:rsid w:val="002B4563"/>
    <w:rsid w:val="002B4E2E"/>
    <w:rsid w:val="002B4EBB"/>
    <w:rsid w:val="002B5BF6"/>
    <w:rsid w:val="002C13D8"/>
    <w:rsid w:val="002C28B7"/>
    <w:rsid w:val="002C5609"/>
    <w:rsid w:val="002C58C0"/>
    <w:rsid w:val="002D4C97"/>
    <w:rsid w:val="002E0FB4"/>
    <w:rsid w:val="002E43A5"/>
    <w:rsid w:val="002F07E1"/>
    <w:rsid w:val="00300D94"/>
    <w:rsid w:val="00302370"/>
    <w:rsid w:val="00304D9E"/>
    <w:rsid w:val="00306A16"/>
    <w:rsid w:val="00316097"/>
    <w:rsid w:val="003161AA"/>
    <w:rsid w:val="00316A86"/>
    <w:rsid w:val="003204E9"/>
    <w:rsid w:val="00325493"/>
    <w:rsid w:val="003369E5"/>
    <w:rsid w:val="00340C62"/>
    <w:rsid w:val="00342181"/>
    <w:rsid w:val="00342FAC"/>
    <w:rsid w:val="00343860"/>
    <w:rsid w:val="00343CA8"/>
    <w:rsid w:val="00343F01"/>
    <w:rsid w:val="00352210"/>
    <w:rsid w:val="00352F3B"/>
    <w:rsid w:val="0035408B"/>
    <w:rsid w:val="00354C2E"/>
    <w:rsid w:val="00354E53"/>
    <w:rsid w:val="00361E62"/>
    <w:rsid w:val="00370079"/>
    <w:rsid w:val="00370C83"/>
    <w:rsid w:val="003749E0"/>
    <w:rsid w:val="003766B1"/>
    <w:rsid w:val="00377D97"/>
    <w:rsid w:val="00380100"/>
    <w:rsid w:val="003824A5"/>
    <w:rsid w:val="003859F2"/>
    <w:rsid w:val="00387E4E"/>
    <w:rsid w:val="0039034E"/>
    <w:rsid w:val="00391845"/>
    <w:rsid w:val="00395572"/>
    <w:rsid w:val="003963C9"/>
    <w:rsid w:val="003A0EDB"/>
    <w:rsid w:val="003A56C1"/>
    <w:rsid w:val="003B2BEA"/>
    <w:rsid w:val="003B3FBB"/>
    <w:rsid w:val="003B725F"/>
    <w:rsid w:val="003B72BC"/>
    <w:rsid w:val="003C0F13"/>
    <w:rsid w:val="003C1225"/>
    <w:rsid w:val="003C23BA"/>
    <w:rsid w:val="003C37A3"/>
    <w:rsid w:val="003C44DA"/>
    <w:rsid w:val="003D080D"/>
    <w:rsid w:val="003D54B3"/>
    <w:rsid w:val="003D7E06"/>
    <w:rsid w:val="003E1D64"/>
    <w:rsid w:val="003E217A"/>
    <w:rsid w:val="003F06E0"/>
    <w:rsid w:val="003F0DEB"/>
    <w:rsid w:val="003F0E5C"/>
    <w:rsid w:val="003F3788"/>
    <w:rsid w:val="003F63CD"/>
    <w:rsid w:val="003F7191"/>
    <w:rsid w:val="00407B78"/>
    <w:rsid w:val="00407B95"/>
    <w:rsid w:val="00414CAB"/>
    <w:rsid w:val="00414D11"/>
    <w:rsid w:val="00415351"/>
    <w:rsid w:val="004157D9"/>
    <w:rsid w:val="0042261F"/>
    <w:rsid w:val="004232AC"/>
    <w:rsid w:val="00423A0F"/>
    <w:rsid w:val="004254C9"/>
    <w:rsid w:val="0042651B"/>
    <w:rsid w:val="00431355"/>
    <w:rsid w:val="0043665E"/>
    <w:rsid w:val="00437B85"/>
    <w:rsid w:val="00440F98"/>
    <w:rsid w:val="004431EC"/>
    <w:rsid w:val="00444D01"/>
    <w:rsid w:val="004473D5"/>
    <w:rsid w:val="00450F87"/>
    <w:rsid w:val="00451BB3"/>
    <w:rsid w:val="00457C4D"/>
    <w:rsid w:val="00462E67"/>
    <w:rsid w:val="0047001D"/>
    <w:rsid w:val="00470B6A"/>
    <w:rsid w:val="00474D0B"/>
    <w:rsid w:val="004812DD"/>
    <w:rsid w:val="00486217"/>
    <w:rsid w:val="00487DAF"/>
    <w:rsid w:val="00492CE0"/>
    <w:rsid w:val="004967EB"/>
    <w:rsid w:val="004A020E"/>
    <w:rsid w:val="004A15FB"/>
    <w:rsid w:val="004A7BC4"/>
    <w:rsid w:val="004B0F09"/>
    <w:rsid w:val="004B22ED"/>
    <w:rsid w:val="004B43F1"/>
    <w:rsid w:val="004B758C"/>
    <w:rsid w:val="004C2006"/>
    <w:rsid w:val="004C5783"/>
    <w:rsid w:val="004C6A84"/>
    <w:rsid w:val="004C7B09"/>
    <w:rsid w:val="004D030A"/>
    <w:rsid w:val="004D0DCB"/>
    <w:rsid w:val="004D3D39"/>
    <w:rsid w:val="004D7FA4"/>
    <w:rsid w:val="004E7813"/>
    <w:rsid w:val="004F226F"/>
    <w:rsid w:val="004F4321"/>
    <w:rsid w:val="004F5CE9"/>
    <w:rsid w:val="004F64CF"/>
    <w:rsid w:val="00502812"/>
    <w:rsid w:val="00503039"/>
    <w:rsid w:val="00504F8A"/>
    <w:rsid w:val="00506669"/>
    <w:rsid w:val="0051006D"/>
    <w:rsid w:val="00513DE7"/>
    <w:rsid w:val="00516389"/>
    <w:rsid w:val="005213CA"/>
    <w:rsid w:val="00522D26"/>
    <w:rsid w:val="00525804"/>
    <w:rsid w:val="00525BCD"/>
    <w:rsid w:val="005265E4"/>
    <w:rsid w:val="0053140E"/>
    <w:rsid w:val="00533E61"/>
    <w:rsid w:val="005359AB"/>
    <w:rsid w:val="00537B34"/>
    <w:rsid w:val="00540636"/>
    <w:rsid w:val="005426E3"/>
    <w:rsid w:val="00545004"/>
    <w:rsid w:val="005503B5"/>
    <w:rsid w:val="00554D50"/>
    <w:rsid w:val="00556EE8"/>
    <w:rsid w:val="00561A24"/>
    <w:rsid w:val="0056242F"/>
    <w:rsid w:val="0056503B"/>
    <w:rsid w:val="005662C1"/>
    <w:rsid w:val="00566B6A"/>
    <w:rsid w:val="005708FF"/>
    <w:rsid w:val="0057341E"/>
    <w:rsid w:val="00575CB2"/>
    <w:rsid w:val="00582A92"/>
    <w:rsid w:val="00582B78"/>
    <w:rsid w:val="00583716"/>
    <w:rsid w:val="0058477B"/>
    <w:rsid w:val="005848D6"/>
    <w:rsid w:val="00585D14"/>
    <w:rsid w:val="00586AD9"/>
    <w:rsid w:val="005916F6"/>
    <w:rsid w:val="00591D01"/>
    <w:rsid w:val="00592565"/>
    <w:rsid w:val="0059361D"/>
    <w:rsid w:val="00595030"/>
    <w:rsid w:val="005A04D8"/>
    <w:rsid w:val="005A1CBC"/>
    <w:rsid w:val="005A210F"/>
    <w:rsid w:val="005A6055"/>
    <w:rsid w:val="005A6061"/>
    <w:rsid w:val="005A7C14"/>
    <w:rsid w:val="005B2225"/>
    <w:rsid w:val="005B2EC8"/>
    <w:rsid w:val="005B6F72"/>
    <w:rsid w:val="005C3F53"/>
    <w:rsid w:val="005C6373"/>
    <w:rsid w:val="005C64A8"/>
    <w:rsid w:val="005C6D57"/>
    <w:rsid w:val="005C6E7C"/>
    <w:rsid w:val="005D1286"/>
    <w:rsid w:val="005D1BB8"/>
    <w:rsid w:val="005D272F"/>
    <w:rsid w:val="005D374D"/>
    <w:rsid w:val="005D4F68"/>
    <w:rsid w:val="005D75D2"/>
    <w:rsid w:val="005E069E"/>
    <w:rsid w:val="005E11C5"/>
    <w:rsid w:val="005E27F3"/>
    <w:rsid w:val="005F0629"/>
    <w:rsid w:val="005F0F07"/>
    <w:rsid w:val="005F464F"/>
    <w:rsid w:val="005F4B55"/>
    <w:rsid w:val="005F626C"/>
    <w:rsid w:val="006006E1"/>
    <w:rsid w:val="00600FFB"/>
    <w:rsid w:val="006028AC"/>
    <w:rsid w:val="00603C00"/>
    <w:rsid w:val="006043E2"/>
    <w:rsid w:val="006100F4"/>
    <w:rsid w:val="00610A91"/>
    <w:rsid w:val="0061526C"/>
    <w:rsid w:val="00615A4F"/>
    <w:rsid w:val="006248F0"/>
    <w:rsid w:val="006255B1"/>
    <w:rsid w:val="006264DB"/>
    <w:rsid w:val="00626A72"/>
    <w:rsid w:val="006376CD"/>
    <w:rsid w:val="00637817"/>
    <w:rsid w:val="00637D9E"/>
    <w:rsid w:val="00646330"/>
    <w:rsid w:val="00646403"/>
    <w:rsid w:val="0065030D"/>
    <w:rsid w:val="006510C1"/>
    <w:rsid w:val="00651BC3"/>
    <w:rsid w:val="0065577F"/>
    <w:rsid w:val="00657B91"/>
    <w:rsid w:val="006606AB"/>
    <w:rsid w:val="0066205B"/>
    <w:rsid w:val="00662B19"/>
    <w:rsid w:val="00663F66"/>
    <w:rsid w:val="00666AD0"/>
    <w:rsid w:val="00671FE3"/>
    <w:rsid w:val="0067533F"/>
    <w:rsid w:val="00676404"/>
    <w:rsid w:val="0067673D"/>
    <w:rsid w:val="00682AA1"/>
    <w:rsid w:val="00685494"/>
    <w:rsid w:val="0068703E"/>
    <w:rsid w:val="00694EF5"/>
    <w:rsid w:val="006952BC"/>
    <w:rsid w:val="00697A3A"/>
    <w:rsid w:val="006A4FC5"/>
    <w:rsid w:val="006A7915"/>
    <w:rsid w:val="006B1720"/>
    <w:rsid w:val="006B1B3A"/>
    <w:rsid w:val="006B3967"/>
    <w:rsid w:val="006B7562"/>
    <w:rsid w:val="006C5128"/>
    <w:rsid w:val="006C559C"/>
    <w:rsid w:val="006C6A92"/>
    <w:rsid w:val="006D2A87"/>
    <w:rsid w:val="006D3DF1"/>
    <w:rsid w:val="006D4D73"/>
    <w:rsid w:val="006D5F4D"/>
    <w:rsid w:val="006E07F4"/>
    <w:rsid w:val="006E7CAA"/>
    <w:rsid w:val="006F1FA9"/>
    <w:rsid w:val="006F334D"/>
    <w:rsid w:val="006F4180"/>
    <w:rsid w:val="006F6FDB"/>
    <w:rsid w:val="00700353"/>
    <w:rsid w:val="0070046F"/>
    <w:rsid w:val="0070692B"/>
    <w:rsid w:val="0072380B"/>
    <w:rsid w:val="0073046C"/>
    <w:rsid w:val="0073176B"/>
    <w:rsid w:val="007326CE"/>
    <w:rsid w:val="0073461D"/>
    <w:rsid w:val="00734891"/>
    <w:rsid w:val="007348F2"/>
    <w:rsid w:val="007348FA"/>
    <w:rsid w:val="0074029E"/>
    <w:rsid w:val="0074098C"/>
    <w:rsid w:val="00743511"/>
    <w:rsid w:val="0075026F"/>
    <w:rsid w:val="00755CF8"/>
    <w:rsid w:val="00756376"/>
    <w:rsid w:val="00766ED1"/>
    <w:rsid w:val="00766FEA"/>
    <w:rsid w:val="00767AC1"/>
    <w:rsid w:val="007719D2"/>
    <w:rsid w:val="00773329"/>
    <w:rsid w:val="00773B9E"/>
    <w:rsid w:val="0077521C"/>
    <w:rsid w:val="007775DA"/>
    <w:rsid w:val="00780235"/>
    <w:rsid w:val="00780DCA"/>
    <w:rsid w:val="00782670"/>
    <w:rsid w:val="00782D8F"/>
    <w:rsid w:val="00784287"/>
    <w:rsid w:val="00785B18"/>
    <w:rsid w:val="00785F66"/>
    <w:rsid w:val="00792C51"/>
    <w:rsid w:val="00793C8F"/>
    <w:rsid w:val="007A0370"/>
    <w:rsid w:val="007A52C2"/>
    <w:rsid w:val="007A63C9"/>
    <w:rsid w:val="007B4731"/>
    <w:rsid w:val="007B54AA"/>
    <w:rsid w:val="007B6DCD"/>
    <w:rsid w:val="007B793E"/>
    <w:rsid w:val="007C1CCA"/>
    <w:rsid w:val="007C4CBB"/>
    <w:rsid w:val="007D0F18"/>
    <w:rsid w:val="007D114D"/>
    <w:rsid w:val="007D15EA"/>
    <w:rsid w:val="007D5B45"/>
    <w:rsid w:val="007D65B1"/>
    <w:rsid w:val="007D7F18"/>
    <w:rsid w:val="007E069B"/>
    <w:rsid w:val="007E0C41"/>
    <w:rsid w:val="007E1C31"/>
    <w:rsid w:val="007E1CD5"/>
    <w:rsid w:val="007E537E"/>
    <w:rsid w:val="007E721A"/>
    <w:rsid w:val="007F25E2"/>
    <w:rsid w:val="007F29BE"/>
    <w:rsid w:val="007F2D8B"/>
    <w:rsid w:val="007F3E70"/>
    <w:rsid w:val="007F5F19"/>
    <w:rsid w:val="007F6603"/>
    <w:rsid w:val="00806053"/>
    <w:rsid w:val="00806B77"/>
    <w:rsid w:val="008144B1"/>
    <w:rsid w:val="00814A4B"/>
    <w:rsid w:val="00817EFB"/>
    <w:rsid w:val="008235BE"/>
    <w:rsid w:val="00823854"/>
    <w:rsid w:val="008327B9"/>
    <w:rsid w:val="00841B7F"/>
    <w:rsid w:val="008434E1"/>
    <w:rsid w:val="008453D8"/>
    <w:rsid w:val="008471C1"/>
    <w:rsid w:val="0084732D"/>
    <w:rsid w:val="0085044B"/>
    <w:rsid w:val="00854317"/>
    <w:rsid w:val="00855B59"/>
    <w:rsid w:val="00855FF4"/>
    <w:rsid w:val="00857C40"/>
    <w:rsid w:val="00865C40"/>
    <w:rsid w:val="00865D2D"/>
    <w:rsid w:val="00867556"/>
    <w:rsid w:val="0087070E"/>
    <w:rsid w:val="008709C0"/>
    <w:rsid w:val="00872B09"/>
    <w:rsid w:val="00872FC1"/>
    <w:rsid w:val="00874279"/>
    <w:rsid w:val="008745B1"/>
    <w:rsid w:val="00874737"/>
    <w:rsid w:val="008802B2"/>
    <w:rsid w:val="008806D0"/>
    <w:rsid w:val="008862E2"/>
    <w:rsid w:val="0089076A"/>
    <w:rsid w:val="0089369D"/>
    <w:rsid w:val="00896D87"/>
    <w:rsid w:val="00897EFC"/>
    <w:rsid w:val="008A049A"/>
    <w:rsid w:val="008A0E5B"/>
    <w:rsid w:val="008A36D0"/>
    <w:rsid w:val="008A3CFA"/>
    <w:rsid w:val="008B09F5"/>
    <w:rsid w:val="008B3224"/>
    <w:rsid w:val="008B4867"/>
    <w:rsid w:val="008B4E66"/>
    <w:rsid w:val="008B75D3"/>
    <w:rsid w:val="008C0671"/>
    <w:rsid w:val="008C3266"/>
    <w:rsid w:val="008C36B2"/>
    <w:rsid w:val="008C62C3"/>
    <w:rsid w:val="008D2196"/>
    <w:rsid w:val="008E24F2"/>
    <w:rsid w:val="008E3FA3"/>
    <w:rsid w:val="008E48CF"/>
    <w:rsid w:val="008E5A1E"/>
    <w:rsid w:val="008E6A12"/>
    <w:rsid w:val="008E7BE5"/>
    <w:rsid w:val="008E7EB8"/>
    <w:rsid w:val="008F244A"/>
    <w:rsid w:val="008F57D4"/>
    <w:rsid w:val="008F7293"/>
    <w:rsid w:val="00900024"/>
    <w:rsid w:val="00905C21"/>
    <w:rsid w:val="00906809"/>
    <w:rsid w:val="00907BED"/>
    <w:rsid w:val="009129F8"/>
    <w:rsid w:val="00923C9D"/>
    <w:rsid w:val="00931684"/>
    <w:rsid w:val="00933E80"/>
    <w:rsid w:val="00934D4F"/>
    <w:rsid w:val="00935452"/>
    <w:rsid w:val="009368C4"/>
    <w:rsid w:val="009369A8"/>
    <w:rsid w:val="009370C2"/>
    <w:rsid w:val="009410EB"/>
    <w:rsid w:val="0094260B"/>
    <w:rsid w:val="00942D85"/>
    <w:rsid w:val="00943DB4"/>
    <w:rsid w:val="0094596D"/>
    <w:rsid w:val="00945AF0"/>
    <w:rsid w:val="00947CE9"/>
    <w:rsid w:val="0095195E"/>
    <w:rsid w:val="009520FC"/>
    <w:rsid w:val="00952156"/>
    <w:rsid w:val="009553F1"/>
    <w:rsid w:val="00957B7B"/>
    <w:rsid w:val="00957B7C"/>
    <w:rsid w:val="00963D3A"/>
    <w:rsid w:val="0096431D"/>
    <w:rsid w:val="009753CD"/>
    <w:rsid w:val="00975B5A"/>
    <w:rsid w:val="00980CE0"/>
    <w:rsid w:val="00981836"/>
    <w:rsid w:val="00987BC5"/>
    <w:rsid w:val="009909BA"/>
    <w:rsid w:val="00991927"/>
    <w:rsid w:val="009942FF"/>
    <w:rsid w:val="00997591"/>
    <w:rsid w:val="009A2F94"/>
    <w:rsid w:val="009A59B1"/>
    <w:rsid w:val="009A76AC"/>
    <w:rsid w:val="009B1B7A"/>
    <w:rsid w:val="009B4969"/>
    <w:rsid w:val="009B549D"/>
    <w:rsid w:val="009B574E"/>
    <w:rsid w:val="009B7B4F"/>
    <w:rsid w:val="009B7F4C"/>
    <w:rsid w:val="009C1859"/>
    <w:rsid w:val="009C19E5"/>
    <w:rsid w:val="009C1B30"/>
    <w:rsid w:val="009C1C1C"/>
    <w:rsid w:val="009C20D2"/>
    <w:rsid w:val="009C2A11"/>
    <w:rsid w:val="009C3B9B"/>
    <w:rsid w:val="009C3FDA"/>
    <w:rsid w:val="009C4DE7"/>
    <w:rsid w:val="009C7ADE"/>
    <w:rsid w:val="009D0786"/>
    <w:rsid w:val="009D08E0"/>
    <w:rsid w:val="009D0E1A"/>
    <w:rsid w:val="009D2B43"/>
    <w:rsid w:val="009D5526"/>
    <w:rsid w:val="009D6902"/>
    <w:rsid w:val="009D6D08"/>
    <w:rsid w:val="009E0115"/>
    <w:rsid w:val="009E1B02"/>
    <w:rsid w:val="009E3463"/>
    <w:rsid w:val="009E4C82"/>
    <w:rsid w:val="009E5EA5"/>
    <w:rsid w:val="009F0B01"/>
    <w:rsid w:val="009F3579"/>
    <w:rsid w:val="009F4FA0"/>
    <w:rsid w:val="009F67AD"/>
    <w:rsid w:val="009F6A21"/>
    <w:rsid w:val="00A01744"/>
    <w:rsid w:val="00A045A9"/>
    <w:rsid w:val="00A054E4"/>
    <w:rsid w:val="00A077E4"/>
    <w:rsid w:val="00A11275"/>
    <w:rsid w:val="00A127DA"/>
    <w:rsid w:val="00A163CC"/>
    <w:rsid w:val="00A24275"/>
    <w:rsid w:val="00A273F7"/>
    <w:rsid w:val="00A2742D"/>
    <w:rsid w:val="00A31D3D"/>
    <w:rsid w:val="00A33154"/>
    <w:rsid w:val="00A331BD"/>
    <w:rsid w:val="00A34C22"/>
    <w:rsid w:val="00A350A6"/>
    <w:rsid w:val="00A36C9C"/>
    <w:rsid w:val="00A417B2"/>
    <w:rsid w:val="00A41A90"/>
    <w:rsid w:val="00A42F8E"/>
    <w:rsid w:val="00A43F8F"/>
    <w:rsid w:val="00A4466F"/>
    <w:rsid w:val="00A45784"/>
    <w:rsid w:val="00A45978"/>
    <w:rsid w:val="00A46C0C"/>
    <w:rsid w:val="00A53FF5"/>
    <w:rsid w:val="00A55EA4"/>
    <w:rsid w:val="00A5691F"/>
    <w:rsid w:val="00A60E63"/>
    <w:rsid w:val="00A62804"/>
    <w:rsid w:val="00A64DDC"/>
    <w:rsid w:val="00A66EB7"/>
    <w:rsid w:val="00A677EA"/>
    <w:rsid w:val="00A702CB"/>
    <w:rsid w:val="00A73BA2"/>
    <w:rsid w:val="00A74AF1"/>
    <w:rsid w:val="00A74CCF"/>
    <w:rsid w:val="00A74D8F"/>
    <w:rsid w:val="00A77694"/>
    <w:rsid w:val="00A80012"/>
    <w:rsid w:val="00A8011E"/>
    <w:rsid w:val="00A80A12"/>
    <w:rsid w:val="00A81B3A"/>
    <w:rsid w:val="00A82394"/>
    <w:rsid w:val="00A8310D"/>
    <w:rsid w:val="00A85763"/>
    <w:rsid w:val="00A857C5"/>
    <w:rsid w:val="00A85D1C"/>
    <w:rsid w:val="00A8747C"/>
    <w:rsid w:val="00A90EEB"/>
    <w:rsid w:val="00A92557"/>
    <w:rsid w:val="00A94423"/>
    <w:rsid w:val="00A95CDF"/>
    <w:rsid w:val="00A97EFE"/>
    <w:rsid w:val="00AA1103"/>
    <w:rsid w:val="00AA1154"/>
    <w:rsid w:val="00AA7CE4"/>
    <w:rsid w:val="00AB1025"/>
    <w:rsid w:val="00AB556A"/>
    <w:rsid w:val="00AC020D"/>
    <w:rsid w:val="00AC334F"/>
    <w:rsid w:val="00AC3952"/>
    <w:rsid w:val="00AC3AAF"/>
    <w:rsid w:val="00AC599C"/>
    <w:rsid w:val="00AC6EDC"/>
    <w:rsid w:val="00AD241F"/>
    <w:rsid w:val="00AD3479"/>
    <w:rsid w:val="00AD3F69"/>
    <w:rsid w:val="00AD7EB2"/>
    <w:rsid w:val="00AE5D81"/>
    <w:rsid w:val="00AE665B"/>
    <w:rsid w:val="00AE6BA3"/>
    <w:rsid w:val="00AE755F"/>
    <w:rsid w:val="00AE7A0C"/>
    <w:rsid w:val="00AF06F2"/>
    <w:rsid w:val="00AF4F1C"/>
    <w:rsid w:val="00AF55C4"/>
    <w:rsid w:val="00AF75F0"/>
    <w:rsid w:val="00B00A01"/>
    <w:rsid w:val="00B06B74"/>
    <w:rsid w:val="00B1703F"/>
    <w:rsid w:val="00B17C64"/>
    <w:rsid w:val="00B204D2"/>
    <w:rsid w:val="00B2081A"/>
    <w:rsid w:val="00B22989"/>
    <w:rsid w:val="00B23310"/>
    <w:rsid w:val="00B2467A"/>
    <w:rsid w:val="00B2669E"/>
    <w:rsid w:val="00B307B6"/>
    <w:rsid w:val="00B31269"/>
    <w:rsid w:val="00B344CF"/>
    <w:rsid w:val="00B36A1C"/>
    <w:rsid w:val="00B374C2"/>
    <w:rsid w:val="00B37EAA"/>
    <w:rsid w:val="00B41600"/>
    <w:rsid w:val="00B43EF0"/>
    <w:rsid w:val="00B50450"/>
    <w:rsid w:val="00B557BD"/>
    <w:rsid w:val="00B61F2F"/>
    <w:rsid w:val="00B66BBE"/>
    <w:rsid w:val="00B73825"/>
    <w:rsid w:val="00B761BD"/>
    <w:rsid w:val="00B76449"/>
    <w:rsid w:val="00B7658F"/>
    <w:rsid w:val="00B7760B"/>
    <w:rsid w:val="00B8249D"/>
    <w:rsid w:val="00B85C26"/>
    <w:rsid w:val="00B8732A"/>
    <w:rsid w:val="00B87615"/>
    <w:rsid w:val="00B87852"/>
    <w:rsid w:val="00B87DB2"/>
    <w:rsid w:val="00B87EA9"/>
    <w:rsid w:val="00B913CC"/>
    <w:rsid w:val="00B938DA"/>
    <w:rsid w:val="00B958EB"/>
    <w:rsid w:val="00B9717E"/>
    <w:rsid w:val="00BA0D74"/>
    <w:rsid w:val="00BA3C80"/>
    <w:rsid w:val="00BA4056"/>
    <w:rsid w:val="00BA4482"/>
    <w:rsid w:val="00BA66DB"/>
    <w:rsid w:val="00BA7005"/>
    <w:rsid w:val="00BB12E3"/>
    <w:rsid w:val="00BB4AAC"/>
    <w:rsid w:val="00BC10BF"/>
    <w:rsid w:val="00BC4504"/>
    <w:rsid w:val="00BD0431"/>
    <w:rsid w:val="00BD0917"/>
    <w:rsid w:val="00BD1349"/>
    <w:rsid w:val="00BD3279"/>
    <w:rsid w:val="00BE22A8"/>
    <w:rsid w:val="00BE4776"/>
    <w:rsid w:val="00BE5A09"/>
    <w:rsid w:val="00BE608C"/>
    <w:rsid w:val="00BE656A"/>
    <w:rsid w:val="00BE7DAC"/>
    <w:rsid w:val="00BF32D2"/>
    <w:rsid w:val="00BF7E2B"/>
    <w:rsid w:val="00C00583"/>
    <w:rsid w:val="00C01481"/>
    <w:rsid w:val="00C01565"/>
    <w:rsid w:val="00C01C83"/>
    <w:rsid w:val="00C03B94"/>
    <w:rsid w:val="00C066FD"/>
    <w:rsid w:val="00C07ECB"/>
    <w:rsid w:val="00C1400E"/>
    <w:rsid w:val="00C1475D"/>
    <w:rsid w:val="00C15656"/>
    <w:rsid w:val="00C17978"/>
    <w:rsid w:val="00C23F11"/>
    <w:rsid w:val="00C273BE"/>
    <w:rsid w:val="00C30780"/>
    <w:rsid w:val="00C34F69"/>
    <w:rsid w:val="00C35010"/>
    <w:rsid w:val="00C448CE"/>
    <w:rsid w:val="00C51312"/>
    <w:rsid w:val="00C51E75"/>
    <w:rsid w:val="00C52A69"/>
    <w:rsid w:val="00C52C25"/>
    <w:rsid w:val="00C54571"/>
    <w:rsid w:val="00C548FD"/>
    <w:rsid w:val="00C5507C"/>
    <w:rsid w:val="00C579AE"/>
    <w:rsid w:val="00C61F3B"/>
    <w:rsid w:val="00C62F6E"/>
    <w:rsid w:val="00C706CD"/>
    <w:rsid w:val="00C778C6"/>
    <w:rsid w:val="00C80A8E"/>
    <w:rsid w:val="00C80EC1"/>
    <w:rsid w:val="00C821F3"/>
    <w:rsid w:val="00C824F3"/>
    <w:rsid w:val="00C85B27"/>
    <w:rsid w:val="00C86A7D"/>
    <w:rsid w:val="00C87634"/>
    <w:rsid w:val="00C91EE6"/>
    <w:rsid w:val="00CA03CD"/>
    <w:rsid w:val="00CA1B05"/>
    <w:rsid w:val="00CA1BC0"/>
    <w:rsid w:val="00CA1DD2"/>
    <w:rsid w:val="00CA5AAC"/>
    <w:rsid w:val="00CA6260"/>
    <w:rsid w:val="00CA6957"/>
    <w:rsid w:val="00CA735F"/>
    <w:rsid w:val="00CA7E89"/>
    <w:rsid w:val="00CB0149"/>
    <w:rsid w:val="00CB2C67"/>
    <w:rsid w:val="00CB5091"/>
    <w:rsid w:val="00CB513D"/>
    <w:rsid w:val="00CB6EB3"/>
    <w:rsid w:val="00CB7910"/>
    <w:rsid w:val="00CC16EB"/>
    <w:rsid w:val="00CD57B8"/>
    <w:rsid w:val="00CD7042"/>
    <w:rsid w:val="00CE00E2"/>
    <w:rsid w:val="00CE1C9C"/>
    <w:rsid w:val="00CE571F"/>
    <w:rsid w:val="00CE5D58"/>
    <w:rsid w:val="00CE7057"/>
    <w:rsid w:val="00CF0574"/>
    <w:rsid w:val="00CF4689"/>
    <w:rsid w:val="00CF50CB"/>
    <w:rsid w:val="00CF566B"/>
    <w:rsid w:val="00D01820"/>
    <w:rsid w:val="00D02795"/>
    <w:rsid w:val="00D0369E"/>
    <w:rsid w:val="00D03EF5"/>
    <w:rsid w:val="00D04414"/>
    <w:rsid w:val="00D06487"/>
    <w:rsid w:val="00D10F19"/>
    <w:rsid w:val="00D14040"/>
    <w:rsid w:val="00D14F84"/>
    <w:rsid w:val="00D21ABA"/>
    <w:rsid w:val="00D24509"/>
    <w:rsid w:val="00D25F14"/>
    <w:rsid w:val="00D266E2"/>
    <w:rsid w:val="00D31423"/>
    <w:rsid w:val="00D365EA"/>
    <w:rsid w:val="00D3691A"/>
    <w:rsid w:val="00D40A03"/>
    <w:rsid w:val="00D506E9"/>
    <w:rsid w:val="00D5450B"/>
    <w:rsid w:val="00D6043A"/>
    <w:rsid w:val="00D6389C"/>
    <w:rsid w:val="00D770DA"/>
    <w:rsid w:val="00D812BC"/>
    <w:rsid w:val="00D83833"/>
    <w:rsid w:val="00D83992"/>
    <w:rsid w:val="00D8404E"/>
    <w:rsid w:val="00D84596"/>
    <w:rsid w:val="00D848AC"/>
    <w:rsid w:val="00D84B51"/>
    <w:rsid w:val="00D86B99"/>
    <w:rsid w:val="00D90163"/>
    <w:rsid w:val="00D9016C"/>
    <w:rsid w:val="00D9179F"/>
    <w:rsid w:val="00D97973"/>
    <w:rsid w:val="00D979FC"/>
    <w:rsid w:val="00DA1EEB"/>
    <w:rsid w:val="00DA2E8E"/>
    <w:rsid w:val="00DA653A"/>
    <w:rsid w:val="00DA712F"/>
    <w:rsid w:val="00DB0975"/>
    <w:rsid w:val="00DB596A"/>
    <w:rsid w:val="00DC0EA6"/>
    <w:rsid w:val="00DC3745"/>
    <w:rsid w:val="00DC45DA"/>
    <w:rsid w:val="00DC4879"/>
    <w:rsid w:val="00DD426A"/>
    <w:rsid w:val="00DD617B"/>
    <w:rsid w:val="00DD6FC8"/>
    <w:rsid w:val="00DD7A58"/>
    <w:rsid w:val="00DE0B0F"/>
    <w:rsid w:val="00DE1675"/>
    <w:rsid w:val="00DE20EF"/>
    <w:rsid w:val="00DE2409"/>
    <w:rsid w:val="00DE582E"/>
    <w:rsid w:val="00DE6803"/>
    <w:rsid w:val="00DF157A"/>
    <w:rsid w:val="00DF2380"/>
    <w:rsid w:val="00DF3E32"/>
    <w:rsid w:val="00DF632C"/>
    <w:rsid w:val="00E00E3A"/>
    <w:rsid w:val="00E05F37"/>
    <w:rsid w:val="00E16F29"/>
    <w:rsid w:val="00E1729E"/>
    <w:rsid w:val="00E17C9B"/>
    <w:rsid w:val="00E3236A"/>
    <w:rsid w:val="00E400C6"/>
    <w:rsid w:val="00E41575"/>
    <w:rsid w:val="00E419AD"/>
    <w:rsid w:val="00E47928"/>
    <w:rsid w:val="00E51A05"/>
    <w:rsid w:val="00E535B5"/>
    <w:rsid w:val="00E61C78"/>
    <w:rsid w:val="00E6371E"/>
    <w:rsid w:val="00E642C9"/>
    <w:rsid w:val="00E670BE"/>
    <w:rsid w:val="00E67240"/>
    <w:rsid w:val="00E67D90"/>
    <w:rsid w:val="00E70F8D"/>
    <w:rsid w:val="00E72B0F"/>
    <w:rsid w:val="00E72D0E"/>
    <w:rsid w:val="00E74C6F"/>
    <w:rsid w:val="00E76F74"/>
    <w:rsid w:val="00E813CB"/>
    <w:rsid w:val="00E83D0E"/>
    <w:rsid w:val="00E91F0E"/>
    <w:rsid w:val="00E9324F"/>
    <w:rsid w:val="00E96E57"/>
    <w:rsid w:val="00EA20BE"/>
    <w:rsid w:val="00EA264E"/>
    <w:rsid w:val="00EA2695"/>
    <w:rsid w:val="00EA6DBD"/>
    <w:rsid w:val="00EA7916"/>
    <w:rsid w:val="00EB1071"/>
    <w:rsid w:val="00EC1CE7"/>
    <w:rsid w:val="00EC416C"/>
    <w:rsid w:val="00EC494F"/>
    <w:rsid w:val="00EC72DE"/>
    <w:rsid w:val="00ED1556"/>
    <w:rsid w:val="00ED7A60"/>
    <w:rsid w:val="00EE354B"/>
    <w:rsid w:val="00EF39C6"/>
    <w:rsid w:val="00EF51FA"/>
    <w:rsid w:val="00EF73B8"/>
    <w:rsid w:val="00F0419F"/>
    <w:rsid w:val="00F05B55"/>
    <w:rsid w:val="00F06E3E"/>
    <w:rsid w:val="00F074BC"/>
    <w:rsid w:val="00F101EA"/>
    <w:rsid w:val="00F13286"/>
    <w:rsid w:val="00F16274"/>
    <w:rsid w:val="00F17847"/>
    <w:rsid w:val="00F21F11"/>
    <w:rsid w:val="00F22E98"/>
    <w:rsid w:val="00F27C01"/>
    <w:rsid w:val="00F414E2"/>
    <w:rsid w:val="00F51DBC"/>
    <w:rsid w:val="00F540BC"/>
    <w:rsid w:val="00F55DE1"/>
    <w:rsid w:val="00F55E6F"/>
    <w:rsid w:val="00F5655F"/>
    <w:rsid w:val="00F57ED1"/>
    <w:rsid w:val="00F60487"/>
    <w:rsid w:val="00F6457B"/>
    <w:rsid w:val="00F6553A"/>
    <w:rsid w:val="00F72ADA"/>
    <w:rsid w:val="00F73F63"/>
    <w:rsid w:val="00F7496F"/>
    <w:rsid w:val="00F7643B"/>
    <w:rsid w:val="00F76AE9"/>
    <w:rsid w:val="00F7795A"/>
    <w:rsid w:val="00F8327D"/>
    <w:rsid w:val="00F83955"/>
    <w:rsid w:val="00F84D68"/>
    <w:rsid w:val="00F87291"/>
    <w:rsid w:val="00F918DD"/>
    <w:rsid w:val="00F95766"/>
    <w:rsid w:val="00F96DBF"/>
    <w:rsid w:val="00FA18ED"/>
    <w:rsid w:val="00FA2E4B"/>
    <w:rsid w:val="00FA46B5"/>
    <w:rsid w:val="00FA65C6"/>
    <w:rsid w:val="00FB038E"/>
    <w:rsid w:val="00FB2C2D"/>
    <w:rsid w:val="00FB7ACD"/>
    <w:rsid w:val="00FC27A6"/>
    <w:rsid w:val="00FC7BF6"/>
    <w:rsid w:val="00FD28B8"/>
    <w:rsid w:val="00FD3F7F"/>
    <w:rsid w:val="00FE03A0"/>
    <w:rsid w:val="00FE1248"/>
    <w:rsid w:val="00FE156D"/>
    <w:rsid w:val="00FE4060"/>
    <w:rsid w:val="00FE5E96"/>
    <w:rsid w:val="00FE6775"/>
    <w:rsid w:val="00FE67B2"/>
    <w:rsid w:val="00FF3FB8"/>
    <w:rsid w:val="00FF44E5"/>
    <w:rsid w:val="00FF64D4"/>
    <w:rsid w:val="00FF79B6"/>
    <w:rsid w:val="014C789D"/>
    <w:rsid w:val="01A26A2C"/>
    <w:rsid w:val="02025661"/>
    <w:rsid w:val="02165E43"/>
    <w:rsid w:val="035F221D"/>
    <w:rsid w:val="039F41FD"/>
    <w:rsid w:val="03CE319C"/>
    <w:rsid w:val="03FA76A6"/>
    <w:rsid w:val="04224748"/>
    <w:rsid w:val="046A699B"/>
    <w:rsid w:val="04A06E21"/>
    <w:rsid w:val="04B14A22"/>
    <w:rsid w:val="05DD6B66"/>
    <w:rsid w:val="05F143BC"/>
    <w:rsid w:val="06D7592D"/>
    <w:rsid w:val="07431BBC"/>
    <w:rsid w:val="0785563E"/>
    <w:rsid w:val="07AC4EFB"/>
    <w:rsid w:val="08417A2C"/>
    <w:rsid w:val="087C2269"/>
    <w:rsid w:val="08860347"/>
    <w:rsid w:val="08BB6AD0"/>
    <w:rsid w:val="08EF7C51"/>
    <w:rsid w:val="09665E94"/>
    <w:rsid w:val="096B6370"/>
    <w:rsid w:val="0A082338"/>
    <w:rsid w:val="0A2F31EB"/>
    <w:rsid w:val="0A7C09F8"/>
    <w:rsid w:val="0AB75038"/>
    <w:rsid w:val="0B046206"/>
    <w:rsid w:val="0B5F1015"/>
    <w:rsid w:val="0B99262E"/>
    <w:rsid w:val="0BA2624D"/>
    <w:rsid w:val="0C200C48"/>
    <w:rsid w:val="0C504662"/>
    <w:rsid w:val="0C6825FE"/>
    <w:rsid w:val="0CAE1925"/>
    <w:rsid w:val="0D386A33"/>
    <w:rsid w:val="0DE84B1F"/>
    <w:rsid w:val="0ED36105"/>
    <w:rsid w:val="0ED870F7"/>
    <w:rsid w:val="0F65291D"/>
    <w:rsid w:val="0FE65C23"/>
    <w:rsid w:val="105F3519"/>
    <w:rsid w:val="10B57BEB"/>
    <w:rsid w:val="12292902"/>
    <w:rsid w:val="12D71947"/>
    <w:rsid w:val="12EE7B62"/>
    <w:rsid w:val="133143C4"/>
    <w:rsid w:val="138E5D55"/>
    <w:rsid w:val="154116B4"/>
    <w:rsid w:val="155268DC"/>
    <w:rsid w:val="15BB7A5E"/>
    <w:rsid w:val="16013192"/>
    <w:rsid w:val="165F7B88"/>
    <w:rsid w:val="16720315"/>
    <w:rsid w:val="16B12963"/>
    <w:rsid w:val="16FD1CD5"/>
    <w:rsid w:val="17E665EB"/>
    <w:rsid w:val="18C85C63"/>
    <w:rsid w:val="19814DCD"/>
    <w:rsid w:val="19B23FF7"/>
    <w:rsid w:val="19C4031C"/>
    <w:rsid w:val="19CF0639"/>
    <w:rsid w:val="1A0A61BD"/>
    <w:rsid w:val="1A291353"/>
    <w:rsid w:val="1A6C5739"/>
    <w:rsid w:val="1ABB5F28"/>
    <w:rsid w:val="1AE56E1D"/>
    <w:rsid w:val="1B227EE3"/>
    <w:rsid w:val="1B3D076B"/>
    <w:rsid w:val="1C273114"/>
    <w:rsid w:val="1D491237"/>
    <w:rsid w:val="1D6D11A8"/>
    <w:rsid w:val="1D7C6CC9"/>
    <w:rsid w:val="1D9D0E2A"/>
    <w:rsid w:val="1DE471CA"/>
    <w:rsid w:val="1E4D0EBD"/>
    <w:rsid w:val="1FA94288"/>
    <w:rsid w:val="1FED0600"/>
    <w:rsid w:val="1FEE6E43"/>
    <w:rsid w:val="20381C79"/>
    <w:rsid w:val="20384F6C"/>
    <w:rsid w:val="20982014"/>
    <w:rsid w:val="20CD3706"/>
    <w:rsid w:val="20CF5328"/>
    <w:rsid w:val="20D903A0"/>
    <w:rsid w:val="21414F53"/>
    <w:rsid w:val="215835C2"/>
    <w:rsid w:val="228100BC"/>
    <w:rsid w:val="234B4AE7"/>
    <w:rsid w:val="2351776D"/>
    <w:rsid w:val="23C74D38"/>
    <w:rsid w:val="24060139"/>
    <w:rsid w:val="245A6ABD"/>
    <w:rsid w:val="25426869"/>
    <w:rsid w:val="25EE4EFA"/>
    <w:rsid w:val="26544F00"/>
    <w:rsid w:val="266B5552"/>
    <w:rsid w:val="26CD33F4"/>
    <w:rsid w:val="27185868"/>
    <w:rsid w:val="271C4C0B"/>
    <w:rsid w:val="27382C69"/>
    <w:rsid w:val="27421954"/>
    <w:rsid w:val="27EB3439"/>
    <w:rsid w:val="27FF1CED"/>
    <w:rsid w:val="28473059"/>
    <w:rsid w:val="28995A5C"/>
    <w:rsid w:val="28A00E6E"/>
    <w:rsid w:val="29C7079F"/>
    <w:rsid w:val="29EE305C"/>
    <w:rsid w:val="2AEE1F6A"/>
    <w:rsid w:val="2AF44317"/>
    <w:rsid w:val="2B9E17F6"/>
    <w:rsid w:val="2BF972F8"/>
    <w:rsid w:val="2D317DCB"/>
    <w:rsid w:val="2EC61001"/>
    <w:rsid w:val="2F51746C"/>
    <w:rsid w:val="2F7E0942"/>
    <w:rsid w:val="2FAC2E2A"/>
    <w:rsid w:val="30271B6A"/>
    <w:rsid w:val="30343142"/>
    <w:rsid w:val="31DF6CA0"/>
    <w:rsid w:val="3223149D"/>
    <w:rsid w:val="325B2331"/>
    <w:rsid w:val="32C047B8"/>
    <w:rsid w:val="32D85056"/>
    <w:rsid w:val="3333635D"/>
    <w:rsid w:val="33337F46"/>
    <w:rsid w:val="33A7222C"/>
    <w:rsid w:val="33DB3A22"/>
    <w:rsid w:val="347F396C"/>
    <w:rsid w:val="34A16B37"/>
    <w:rsid w:val="34C33D60"/>
    <w:rsid w:val="34E26D16"/>
    <w:rsid w:val="357507C6"/>
    <w:rsid w:val="35DB0D57"/>
    <w:rsid w:val="35F76C74"/>
    <w:rsid w:val="363C0C21"/>
    <w:rsid w:val="36917890"/>
    <w:rsid w:val="36A266BE"/>
    <w:rsid w:val="371256F3"/>
    <w:rsid w:val="375041C0"/>
    <w:rsid w:val="37A630A8"/>
    <w:rsid w:val="37CB3039"/>
    <w:rsid w:val="38026B38"/>
    <w:rsid w:val="382B333D"/>
    <w:rsid w:val="382F0636"/>
    <w:rsid w:val="38365608"/>
    <w:rsid w:val="3851006B"/>
    <w:rsid w:val="3A8F5F57"/>
    <w:rsid w:val="3B5E192D"/>
    <w:rsid w:val="3C476792"/>
    <w:rsid w:val="3C95609D"/>
    <w:rsid w:val="3D767BB1"/>
    <w:rsid w:val="3DD27E20"/>
    <w:rsid w:val="3E2E0ECB"/>
    <w:rsid w:val="3E3C1ED1"/>
    <w:rsid w:val="3F6E6BEC"/>
    <w:rsid w:val="3F7661F8"/>
    <w:rsid w:val="3FC30F76"/>
    <w:rsid w:val="4062029B"/>
    <w:rsid w:val="40B57769"/>
    <w:rsid w:val="40CE55D8"/>
    <w:rsid w:val="40F36540"/>
    <w:rsid w:val="41272D40"/>
    <w:rsid w:val="41CD5023"/>
    <w:rsid w:val="428438B4"/>
    <w:rsid w:val="42F301DB"/>
    <w:rsid w:val="432346E3"/>
    <w:rsid w:val="433E33D9"/>
    <w:rsid w:val="435C7C3C"/>
    <w:rsid w:val="43D50081"/>
    <w:rsid w:val="44681B93"/>
    <w:rsid w:val="44C040DB"/>
    <w:rsid w:val="44E65687"/>
    <w:rsid w:val="44EB0D0C"/>
    <w:rsid w:val="453216E2"/>
    <w:rsid w:val="45355858"/>
    <w:rsid w:val="46FA22A4"/>
    <w:rsid w:val="472F30A3"/>
    <w:rsid w:val="475A0FD8"/>
    <w:rsid w:val="47DB1461"/>
    <w:rsid w:val="48855DB7"/>
    <w:rsid w:val="48861510"/>
    <w:rsid w:val="48BC49A2"/>
    <w:rsid w:val="4A1D267D"/>
    <w:rsid w:val="4A785E64"/>
    <w:rsid w:val="4B3B1BA3"/>
    <w:rsid w:val="4BED20DB"/>
    <w:rsid w:val="4C037B68"/>
    <w:rsid w:val="4CA314B5"/>
    <w:rsid w:val="4CC5106B"/>
    <w:rsid w:val="4D1A240A"/>
    <w:rsid w:val="4D2E5512"/>
    <w:rsid w:val="4D476CD6"/>
    <w:rsid w:val="4DDF6689"/>
    <w:rsid w:val="4DE50BE0"/>
    <w:rsid w:val="4EB362F3"/>
    <w:rsid w:val="4EE721E8"/>
    <w:rsid w:val="4F1C5E1C"/>
    <w:rsid w:val="4FE928B0"/>
    <w:rsid w:val="50070EC3"/>
    <w:rsid w:val="50174A46"/>
    <w:rsid w:val="503679C0"/>
    <w:rsid w:val="511023CF"/>
    <w:rsid w:val="51491B26"/>
    <w:rsid w:val="52C03AF6"/>
    <w:rsid w:val="5301019E"/>
    <w:rsid w:val="530F5851"/>
    <w:rsid w:val="533B1E01"/>
    <w:rsid w:val="53DB1350"/>
    <w:rsid w:val="540A544E"/>
    <w:rsid w:val="54366E46"/>
    <w:rsid w:val="54A503DD"/>
    <w:rsid w:val="54C928A6"/>
    <w:rsid w:val="54E4047B"/>
    <w:rsid w:val="55DF39DA"/>
    <w:rsid w:val="56603935"/>
    <w:rsid w:val="56A52A16"/>
    <w:rsid w:val="56CE082E"/>
    <w:rsid w:val="56E27A5B"/>
    <w:rsid w:val="575C41A9"/>
    <w:rsid w:val="577460C5"/>
    <w:rsid w:val="578B4FBC"/>
    <w:rsid w:val="5807449F"/>
    <w:rsid w:val="585A6318"/>
    <w:rsid w:val="58AC4C4B"/>
    <w:rsid w:val="58F00DB5"/>
    <w:rsid w:val="58F515C4"/>
    <w:rsid w:val="590607F4"/>
    <w:rsid w:val="592B5E5C"/>
    <w:rsid w:val="593C319E"/>
    <w:rsid w:val="59BC0C97"/>
    <w:rsid w:val="59DA5DB3"/>
    <w:rsid w:val="5A433AF1"/>
    <w:rsid w:val="5ACC127B"/>
    <w:rsid w:val="5B0C2D91"/>
    <w:rsid w:val="5B2F64DC"/>
    <w:rsid w:val="5B5C3185"/>
    <w:rsid w:val="5B8A31A4"/>
    <w:rsid w:val="5BB364DB"/>
    <w:rsid w:val="5CBB49FC"/>
    <w:rsid w:val="5DB35DF7"/>
    <w:rsid w:val="5E616CC9"/>
    <w:rsid w:val="5E696374"/>
    <w:rsid w:val="5EE75D71"/>
    <w:rsid w:val="5EF92555"/>
    <w:rsid w:val="5F352032"/>
    <w:rsid w:val="5F8D26AD"/>
    <w:rsid w:val="60917D37"/>
    <w:rsid w:val="616A3DF6"/>
    <w:rsid w:val="618D4B70"/>
    <w:rsid w:val="62165842"/>
    <w:rsid w:val="62E17440"/>
    <w:rsid w:val="636376E8"/>
    <w:rsid w:val="63DA43AA"/>
    <w:rsid w:val="64437197"/>
    <w:rsid w:val="657E6887"/>
    <w:rsid w:val="65967CBF"/>
    <w:rsid w:val="66154AE5"/>
    <w:rsid w:val="66721B46"/>
    <w:rsid w:val="66871A22"/>
    <w:rsid w:val="673275BB"/>
    <w:rsid w:val="67B9792A"/>
    <w:rsid w:val="682A5DBB"/>
    <w:rsid w:val="683559FD"/>
    <w:rsid w:val="68E41B3D"/>
    <w:rsid w:val="6A4148C9"/>
    <w:rsid w:val="6A9C7BF0"/>
    <w:rsid w:val="6AA042D3"/>
    <w:rsid w:val="6AF26289"/>
    <w:rsid w:val="6AFB478C"/>
    <w:rsid w:val="6CF20AF1"/>
    <w:rsid w:val="6DB40F6E"/>
    <w:rsid w:val="6E05313C"/>
    <w:rsid w:val="6EB43B25"/>
    <w:rsid w:val="708C6290"/>
    <w:rsid w:val="70E10B38"/>
    <w:rsid w:val="71203D0A"/>
    <w:rsid w:val="716A6648"/>
    <w:rsid w:val="72077672"/>
    <w:rsid w:val="720D640E"/>
    <w:rsid w:val="72580ED4"/>
    <w:rsid w:val="725836DA"/>
    <w:rsid w:val="73E156FD"/>
    <w:rsid w:val="74694F6E"/>
    <w:rsid w:val="74A32E77"/>
    <w:rsid w:val="74A97C36"/>
    <w:rsid w:val="74F51103"/>
    <w:rsid w:val="74F75869"/>
    <w:rsid w:val="75137A04"/>
    <w:rsid w:val="75490120"/>
    <w:rsid w:val="757575D1"/>
    <w:rsid w:val="75C8059E"/>
    <w:rsid w:val="760A11E8"/>
    <w:rsid w:val="76F6009F"/>
    <w:rsid w:val="76FB2C7E"/>
    <w:rsid w:val="77C00C38"/>
    <w:rsid w:val="785264B3"/>
    <w:rsid w:val="787D1514"/>
    <w:rsid w:val="78D87CA3"/>
    <w:rsid w:val="78E86367"/>
    <w:rsid w:val="79B247A1"/>
    <w:rsid w:val="7A0B1155"/>
    <w:rsid w:val="7A775261"/>
    <w:rsid w:val="7AFD7E7D"/>
    <w:rsid w:val="7B0B3B33"/>
    <w:rsid w:val="7B4F2B1A"/>
    <w:rsid w:val="7B593F55"/>
    <w:rsid w:val="7B767D33"/>
    <w:rsid w:val="7BAB022A"/>
    <w:rsid w:val="7D106FF6"/>
    <w:rsid w:val="7D1D4053"/>
    <w:rsid w:val="7DDA4495"/>
    <w:rsid w:val="7E9C75C3"/>
    <w:rsid w:val="7E9E4178"/>
    <w:rsid w:val="7EE13044"/>
    <w:rsid w:val="7F3137C9"/>
    <w:rsid w:val="7F7F76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iPriority w:val="0"/>
    <w:rPr>
      <w:sz w:val="18"/>
      <w:szCs w:val="18"/>
    </w:rPr>
  </w:style>
  <w:style w:type="paragraph" w:styleId="4">
    <w:name w:val="footer"/>
    <w:basedOn w:val="1"/>
    <w:link w:val="16"/>
    <w:uiPriority w:val="0"/>
    <w:pPr>
      <w:tabs>
        <w:tab w:val="center" w:pos="4153"/>
        <w:tab w:val="right" w:pos="8306"/>
      </w:tabs>
      <w:snapToGrid w:val="0"/>
      <w:jc w:val="left"/>
    </w:pPr>
    <w:rPr>
      <w:sz w:val="18"/>
      <w:szCs w:val="18"/>
    </w:rPr>
  </w:style>
  <w:style w:type="paragraph" w:styleId="5">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pPr>
      <w:widowControl w:val="0"/>
      <w:jc w:val="both"/>
    </w:pPr>
    <w:rPr>
      <w:rFonts w:ascii="Times New Roman" w:hAnsi="Times New Roman"/>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rPr>
      <w:rFonts w:ascii="Times New Roman" w:hAnsi="Times New Roman"/>
      <w:szCs w:val="24"/>
    </w:rPr>
  </w:style>
  <w:style w:type="paragraph" w:customStyle="1" w:styleId="11">
    <w:name w:val="列出段落1"/>
    <w:basedOn w:val="1"/>
    <w:uiPriority w:val="0"/>
    <w:pPr>
      <w:ind w:firstLine="420" w:firstLineChars="200"/>
    </w:pPr>
    <w:rPr>
      <w:rFonts w:ascii="Times New Roman" w:hAnsi="Times New Roman"/>
      <w:szCs w:val="21"/>
    </w:rPr>
  </w:style>
  <w:style w:type="paragraph" w:customStyle="1" w:styleId="12">
    <w:name w:val="Default"/>
    <w:uiPriority w:val="0"/>
    <w:pPr>
      <w:widowControl w:val="0"/>
      <w:autoSpaceDE w:val="0"/>
      <w:autoSpaceDN w:val="0"/>
      <w:adjustRightInd w:val="0"/>
    </w:pPr>
    <w:rPr>
      <w:rFonts w:ascii="仿宋" w:eastAsia="仿宋" w:cs="仿宋"/>
      <w:color w:val="000000"/>
      <w:sz w:val="24"/>
      <w:szCs w:val="24"/>
      <w:lang w:val="en-US" w:eastAsia="zh-CN" w:bidi="ar-SA"/>
    </w:rPr>
  </w:style>
  <w:style w:type="character" w:styleId="13">
    <w:name w:val=""/>
    <w:qFormat/>
    <w:uiPriority w:val="21"/>
    <w:rPr>
      <w:b/>
      <w:bCs/>
      <w:i/>
      <w:iCs/>
      <w:color w:val="4F81BD"/>
    </w:rPr>
  </w:style>
  <w:style w:type="character" w:customStyle="1" w:styleId="14">
    <w:name w:val="批注框文本 Char"/>
    <w:link w:val="3"/>
    <w:uiPriority w:val="0"/>
    <w:rPr>
      <w:kern w:val="2"/>
      <w:sz w:val="18"/>
      <w:szCs w:val="18"/>
    </w:rPr>
  </w:style>
  <w:style w:type="character" w:customStyle="1" w:styleId="15">
    <w:name w:val="批注文字 Char"/>
    <w:link w:val="2"/>
    <w:uiPriority w:val="99"/>
    <w:rPr>
      <w:kern w:val="2"/>
      <w:sz w:val="21"/>
      <w:szCs w:val="22"/>
    </w:rPr>
  </w:style>
  <w:style w:type="character" w:customStyle="1" w:styleId="16">
    <w:name w:val="页脚 Char"/>
    <w:link w:val="4"/>
    <w:uiPriority w:val="0"/>
    <w:rPr>
      <w:kern w:val="2"/>
      <w:sz w:val="18"/>
      <w:szCs w:val="18"/>
    </w:rPr>
  </w:style>
  <w:style w:type="character" w:customStyle="1" w:styleId="17">
    <w:name w:val="页眉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3290</Words>
  <Characters>18757</Characters>
  <Lines>156</Lines>
  <Paragraphs>44</Paragraphs>
  <TotalTime>5</TotalTime>
  <ScaleCrop>false</ScaleCrop>
  <LinksUpToDate>false</LinksUpToDate>
  <CharactersWithSpaces>22003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2016-07-25T07:06:00Z</dcterms:created>
  <dc:creator>HP</dc:creator>
  <cp:lastModifiedBy>谢璐伶</cp:lastModifiedBy>
  <cp:lastPrinted>2019-05-20T04:32:56Z</cp:lastPrinted>
  <dcterms:modified xsi:type="dcterms:W3CDTF">2019-05-24T09:39:03Z</dcterms:modified>
  <dc:title>附件1</dc:title>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