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E4" w:rsidRDefault="00F17E49">
      <w:pPr>
        <w:spacing w:line="500" w:lineRule="exact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2616E4" w:rsidRDefault="00F17E49">
      <w:pPr>
        <w:spacing w:line="50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2017</w:t>
      </w:r>
      <w:r>
        <w:rPr>
          <w:rFonts w:ascii="宋体" w:hAnsi="宋体" w:hint="eastAsia"/>
          <w:sz w:val="44"/>
          <w:szCs w:val="44"/>
        </w:rPr>
        <w:t>年南山区民生实事</w:t>
      </w:r>
      <w:r>
        <w:rPr>
          <w:rFonts w:ascii="宋体" w:hAnsi="宋体" w:hint="eastAsia"/>
          <w:sz w:val="44"/>
          <w:szCs w:val="44"/>
        </w:rPr>
        <w:t>项目一览表</w:t>
      </w:r>
    </w:p>
    <w:tbl>
      <w:tblPr>
        <w:tblW w:w="14969" w:type="dxa"/>
        <w:jc w:val="center"/>
        <w:tblInd w:w="-1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2685"/>
        <w:gridCol w:w="7415"/>
        <w:gridCol w:w="2160"/>
        <w:gridCol w:w="1938"/>
      </w:tblGrid>
      <w:tr w:rsidR="002616E4">
        <w:trPr>
          <w:trHeight w:val="616"/>
          <w:tblHeader/>
          <w:jc w:val="center"/>
        </w:trPr>
        <w:tc>
          <w:tcPr>
            <w:tcW w:w="771" w:type="dxa"/>
            <w:vAlign w:val="center"/>
          </w:tcPr>
          <w:p w:rsidR="002616E4" w:rsidRDefault="00F17E49">
            <w:pPr>
              <w:spacing w:line="300" w:lineRule="exact"/>
              <w:jc w:val="center"/>
            </w:pPr>
            <w:r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2685" w:type="dxa"/>
            <w:vAlign w:val="center"/>
          </w:tcPr>
          <w:p w:rsidR="002616E4" w:rsidRDefault="00F17E49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项目名称</w:t>
            </w:r>
          </w:p>
        </w:tc>
        <w:tc>
          <w:tcPr>
            <w:tcW w:w="7415" w:type="dxa"/>
            <w:vAlign w:val="center"/>
          </w:tcPr>
          <w:p w:rsidR="002616E4" w:rsidRDefault="00F17E49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工作任务</w:t>
            </w:r>
          </w:p>
        </w:tc>
        <w:tc>
          <w:tcPr>
            <w:tcW w:w="2160" w:type="dxa"/>
            <w:vAlign w:val="center"/>
          </w:tcPr>
          <w:p w:rsidR="002616E4" w:rsidRDefault="00F17E49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责任单位</w:t>
            </w:r>
          </w:p>
        </w:tc>
        <w:tc>
          <w:tcPr>
            <w:tcW w:w="1938" w:type="dxa"/>
            <w:vAlign w:val="center"/>
          </w:tcPr>
          <w:p w:rsidR="002616E4" w:rsidRDefault="00F17E49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协办单位</w:t>
            </w:r>
          </w:p>
        </w:tc>
      </w:tr>
      <w:tr w:rsidR="002616E4">
        <w:trPr>
          <w:trHeight w:val="1263"/>
          <w:jc w:val="center"/>
        </w:trPr>
        <w:tc>
          <w:tcPr>
            <w:tcW w:w="771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2685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高端文体活动品牌项目</w:t>
            </w:r>
          </w:p>
        </w:tc>
        <w:tc>
          <w:tcPr>
            <w:tcW w:w="7415" w:type="dxa"/>
            <w:vAlign w:val="center"/>
          </w:tcPr>
          <w:p w:rsidR="002616E4" w:rsidRDefault="00F17E49">
            <w:pPr>
              <w:adjustRightInd w:val="0"/>
              <w:spacing w:line="300" w:lineRule="exact"/>
              <w:ind w:firstLineChars="200" w:firstLine="480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提升城区文化软实力，举办国家杯电竞大赛、全国体育舞蹈决赛、全国大众跆拳道总决赛；推广“广东十大海上丝绸之路文化地理坐标”系列活动。</w:t>
            </w:r>
          </w:p>
        </w:tc>
        <w:tc>
          <w:tcPr>
            <w:tcW w:w="2160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文体局</w:t>
            </w:r>
          </w:p>
        </w:tc>
        <w:tc>
          <w:tcPr>
            <w:tcW w:w="1938" w:type="dxa"/>
            <w:vAlign w:val="center"/>
          </w:tcPr>
          <w:p w:rsidR="002616E4" w:rsidRDefault="002616E4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:rsidR="002616E4">
        <w:trPr>
          <w:trHeight w:val="1209"/>
          <w:jc w:val="center"/>
        </w:trPr>
        <w:tc>
          <w:tcPr>
            <w:tcW w:w="771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2685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医疗卫生服务普惠项目</w:t>
            </w:r>
          </w:p>
        </w:tc>
        <w:tc>
          <w:tcPr>
            <w:tcW w:w="7415" w:type="dxa"/>
            <w:vAlign w:val="center"/>
          </w:tcPr>
          <w:p w:rsidR="002616E4" w:rsidRDefault="00F17E49">
            <w:pPr>
              <w:adjustRightInd w:val="0"/>
              <w:spacing w:line="300" w:lineRule="exact"/>
              <w:ind w:firstLineChars="200" w:firstLine="480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实施健康普惠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工程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，免费开展大肠癌筛查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8000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例、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型高血压筛查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10000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例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新生儿听力筛查与耳聋基因检测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22000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例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开展“五免二优”服务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16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万人次。</w:t>
            </w:r>
          </w:p>
        </w:tc>
        <w:tc>
          <w:tcPr>
            <w:tcW w:w="2160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卫计局</w:t>
            </w:r>
          </w:p>
        </w:tc>
        <w:tc>
          <w:tcPr>
            <w:tcW w:w="1938" w:type="dxa"/>
            <w:vAlign w:val="center"/>
          </w:tcPr>
          <w:p w:rsidR="002616E4" w:rsidRDefault="002616E4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:rsidR="002616E4">
        <w:trPr>
          <w:trHeight w:val="918"/>
          <w:jc w:val="center"/>
        </w:trPr>
        <w:tc>
          <w:tcPr>
            <w:tcW w:w="771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2685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医疗卫生资源供给项目</w:t>
            </w:r>
          </w:p>
        </w:tc>
        <w:tc>
          <w:tcPr>
            <w:tcW w:w="7415" w:type="dxa"/>
            <w:vAlign w:val="center"/>
          </w:tcPr>
          <w:p w:rsidR="002616E4" w:rsidRDefault="00F17E49">
            <w:pPr>
              <w:adjustRightInd w:val="0"/>
              <w:spacing w:line="300" w:lineRule="exact"/>
              <w:ind w:firstLineChars="200" w:firstLine="480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加快医疗配套设施建设，完成南山医院国际诊疗中心主体结构；西丽医院新大楼投入使用。</w:t>
            </w:r>
          </w:p>
        </w:tc>
        <w:tc>
          <w:tcPr>
            <w:tcW w:w="2160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卫计局</w:t>
            </w:r>
          </w:p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工务局</w:t>
            </w:r>
          </w:p>
        </w:tc>
        <w:tc>
          <w:tcPr>
            <w:tcW w:w="1938" w:type="dxa"/>
            <w:vAlign w:val="center"/>
          </w:tcPr>
          <w:p w:rsidR="002616E4" w:rsidRDefault="002616E4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:rsidR="002616E4">
        <w:trPr>
          <w:trHeight w:val="871"/>
          <w:jc w:val="center"/>
        </w:trPr>
        <w:tc>
          <w:tcPr>
            <w:tcW w:w="771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2685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公办教育学位扩容项目</w:t>
            </w:r>
          </w:p>
        </w:tc>
        <w:tc>
          <w:tcPr>
            <w:tcW w:w="7415" w:type="dxa"/>
            <w:vAlign w:val="center"/>
          </w:tcPr>
          <w:p w:rsidR="002616E4" w:rsidRDefault="00F17E49">
            <w:pPr>
              <w:adjustRightInd w:val="0"/>
              <w:spacing w:line="300" w:lineRule="exact"/>
              <w:ind w:firstLineChars="200" w:firstLine="480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推动教育基础设施建设，新增中小学学位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7000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个；完成前海二小、科苑小学扩建，建成前海三小、留仙学校。</w:t>
            </w:r>
          </w:p>
        </w:tc>
        <w:tc>
          <w:tcPr>
            <w:tcW w:w="2160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教育局</w:t>
            </w:r>
          </w:p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工务局</w:t>
            </w:r>
          </w:p>
        </w:tc>
        <w:tc>
          <w:tcPr>
            <w:tcW w:w="1938" w:type="dxa"/>
            <w:vAlign w:val="center"/>
          </w:tcPr>
          <w:p w:rsidR="002616E4" w:rsidRDefault="002616E4">
            <w:pPr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2616E4">
        <w:trPr>
          <w:trHeight w:val="1171"/>
          <w:jc w:val="center"/>
        </w:trPr>
        <w:tc>
          <w:tcPr>
            <w:tcW w:w="771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2685" w:type="dxa"/>
            <w:vAlign w:val="center"/>
          </w:tcPr>
          <w:p w:rsidR="002616E4" w:rsidRDefault="00F17E49">
            <w:pPr>
              <w:widowControl/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餐饮食品安全保障项目</w:t>
            </w:r>
          </w:p>
        </w:tc>
        <w:tc>
          <w:tcPr>
            <w:tcW w:w="7415" w:type="dxa"/>
            <w:vAlign w:val="center"/>
          </w:tcPr>
          <w:p w:rsidR="002616E4" w:rsidRDefault="00F17E49">
            <w:pPr>
              <w:widowControl/>
              <w:adjustRightInd w:val="0"/>
              <w:spacing w:line="300" w:lineRule="exact"/>
              <w:ind w:firstLineChars="200" w:firstLine="480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提升辖区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餐饮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业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食品安全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水平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，学校食堂、中央厨房和集中配送单位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100%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实施“明厨亮灶”，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㎡以上大型餐饮单位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80%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实施“明厨亮灶”。</w:t>
            </w:r>
          </w:p>
        </w:tc>
        <w:tc>
          <w:tcPr>
            <w:tcW w:w="2160" w:type="dxa"/>
            <w:vAlign w:val="center"/>
          </w:tcPr>
          <w:p w:rsidR="002616E4" w:rsidRDefault="00F17E49">
            <w:pPr>
              <w:widowControl/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市场和质量监管委南山局</w:t>
            </w:r>
          </w:p>
        </w:tc>
        <w:tc>
          <w:tcPr>
            <w:tcW w:w="1938" w:type="dxa"/>
            <w:vAlign w:val="center"/>
          </w:tcPr>
          <w:p w:rsidR="002616E4" w:rsidRDefault="002616E4">
            <w:pPr>
              <w:widowControl/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:rsidR="002616E4">
        <w:trPr>
          <w:trHeight w:val="1040"/>
          <w:jc w:val="center"/>
        </w:trPr>
        <w:tc>
          <w:tcPr>
            <w:tcW w:w="771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2685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交通基础设施改善项目</w:t>
            </w:r>
          </w:p>
        </w:tc>
        <w:tc>
          <w:tcPr>
            <w:tcW w:w="7415" w:type="dxa"/>
            <w:vAlign w:val="center"/>
          </w:tcPr>
          <w:p w:rsidR="002616E4" w:rsidRDefault="00F17E49">
            <w:pPr>
              <w:adjustRightInd w:val="0"/>
              <w:spacing w:line="300" w:lineRule="exact"/>
              <w:ind w:firstLineChars="200" w:firstLine="480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实施南山区交通综合改善工程；推进方大城周边道路、新业路工程建设；完成深云西四路、塘朗东路主体工程。</w:t>
            </w:r>
          </w:p>
        </w:tc>
        <w:tc>
          <w:tcPr>
            <w:tcW w:w="2160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工务局</w:t>
            </w:r>
          </w:p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南山交通运输局</w:t>
            </w:r>
          </w:p>
        </w:tc>
        <w:tc>
          <w:tcPr>
            <w:tcW w:w="1938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环水局</w:t>
            </w:r>
          </w:p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规土委南山局</w:t>
            </w:r>
          </w:p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各街道办</w:t>
            </w:r>
          </w:p>
        </w:tc>
      </w:tr>
      <w:tr w:rsidR="002616E4">
        <w:trPr>
          <w:trHeight w:val="1048"/>
          <w:jc w:val="center"/>
        </w:trPr>
        <w:tc>
          <w:tcPr>
            <w:tcW w:w="771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2685" w:type="dxa"/>
            <w:vAlign w:val="center"/>
          </w:tcPr>
          <w:p w:rsidR="002616E4" w:rsidRDefault="00F17E49">
            <w:pPr>
              <w:widowControl/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老旧电梯更新改造项目</w:t>
            </w:r>
          </w:p>
        </w:tc>
        <w:tc>
          <w:tcPr>
            <w:tcW w:w="7415" w:type="dxa"/>
            <w:vAlign w:val="center"/>
          </w:tcPr>
          <w:p w:rsidR="002616E4" w:rsidRDefault="00F17E49">
            <w:pPr>
              <w:widowControl/>
              <w:adjustRightInd w:val="0"/>
              <w:spacing w:line="300" w:lineRule="exact"/>
              <w:ind w:firstLineChars="200" w:firstLine="480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实施电梯安全运行保障行动，完成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100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台住宅老旧电梯更新改造工程。</w:t>
            </w:r>
          </w:p>
        </w:tc>
        <w:tc>
          <w:tcPr>
            <w:tcW w:w="2160" w:type="dxa"/>
            <w:vAlign w:val="center"/>
          </w:tcPr>
          <w:p w:rsidR="002616E4" w:rsidRDefault="00F17E49">
            <w:pPr>
              <w:widowControl/>
              <w:adjustRightIn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市场和质量监管委南山局</w:t>
            </w:r>
          </w:p>
        </w:tc>
        <w:tc>
          <w:tcPr>
            <w:tcW w:w="1938" w:type="dxa"/>
            <w:vAlign w:val="center"/>
          </w:tcPr>
          <w:p w:rsidR="002616E4" w:rsidRDefault="002616E4">
            <w:pPr>
              <w:adjustRightIn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2616E4">
        <w:trPr>
          <w:trHeight w:val="1734"/>
          <w:jc w:val="center"/>
        </w:trPr>
        <w:tc>
          <w:tcPr>
            <w:tcW w:w="771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5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片区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文体中心建设项目</w:t>
            </w:r>
          </w:p>
        </w:tc>
        <w:tc>
          <w:tcPr>
            <w:tcW w:w="7415" w:type="dxa"/>
            <w:vAlign w:val="center"/>
          </w:tcPr>
          <w:p w:rsidR="002616E4" w:rsidRDefault="00F17E49">
            <w:pPr>
              <w:adjustRightInd w:val="0"/>
              <w:spacing w:line="300" w:lineRule="exact"/>
              <w:ind w:firstLineChars="200" w:firstLine="480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塑造区域文化地标，推动粤海、蛇口文体中心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工程开工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，西丽文体中心完成初步设计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2160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文体局</w:t>
            </w:r>
          </w:p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工务局</w:t>
            </w:r>
          </w:p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粤海办</w:t>
            </w:r>
          </w:p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蛇口办</w:t>
            </w:r>
          </w:p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桃源办</w:t>
            </w:r>
          </w:p>
        </w:tc>
        <w:tc>
          <w:tcPr>
            <w:tcW w:w="1938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住建局</w:t>
            </w:r>
          </w:p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南山交通运输局</w:t>
            </w:r>
          </w:p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规土委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南山局</w:t>
            </w:r>
          </w:p>
        </w:tc>
      </w:tr>
      <w:tr w:rsidR="002616E4">
        <w:trPr>
          <w:trHeight w:val="879"/>
          <w:jc w:val="center"/>
        </w:trPr>
        <w:tc>
          <w:tcPr>
            <w:tcW w:w="771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2685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休闲环境空间拓展项目</w:t>
            </w:r>
          </w:p>
        </w:tc>
        <w:tc>
          <w:tcPr>
            <w:tcW w:w="7415" w:type="dxa"/>
            <w:vAlign w:val="center"/>
          </w:tcPr>
          <w:p w:rsidR="002616E4" w:rsidRDefault="00F17E49">
            <w:pPr>
              <w:adjustRightInd w:val="0"/>
              <w:spacing w:line="300" w:lineRule="exact"/>
              <w:ind w:firstLineChars="200" w:firstLine="480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拓展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居民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休闲空间，建成人才公园（后海公园）、滨海休闲带西段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和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个社区公园。</w:t>
            </w:r>
          </w:p>
        </w:tc>
        <w:tc>
          <w:tcPr>
            <w:tcW w:w="2160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城管局</w:t>
            </w:r>
          </w:p>
        </w:tc>
        <w:tc>
          <w:tcPr>
            <w:tcW w:w="1938" w:type="dxa"/>
            <w:vAlign w:val="center"/>
          </w:tcPr>
          <w:p w:rsidR="002616E4" w:rsidRDefault="002616E4">
            <w:pPr>
              <w:adjustRightIn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2616E4">
        <w:trPr>
          <w:jc w:val="center"/>
        </w:trPr>
        <w:tc>
          <w:tcPr>
            <w:tcW w:w="771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2685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老旧小区综合整治项目</w:t>
            </w:r>
          </w:p>
        </w:tc>
        <w:tc>
          <w:tcPr>
            <w:tcW w:w="7415" w:type="dxa"/>
            <w:vAlign w:val="center"/>
          </w:tcPr>
          <w:p w:rsidR="002616E4" w:rsidRDefault="00F17E49">
            <w:pPr>
              <w:adjustRightInd w:val="0"/>
              <w:spacing w:line="300" w:lineRule="exact"/>
              <w:ind w:firstLineChars="200" w:firstLine="480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消除老旧住宅小区安全隐患，完成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40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个老旧住宅小区综合整治工程。</w:t>
            </w:r>
          </w:p>
        </w:tc>
        <w:tc>
          <w:tcPr>
            <w:tcW w:w="2160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住建局</w:t>
            </w:r>
          </w:p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南山公安分局</w:t>
            </w:r>
          </w:p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各街道办</w:t>
            </w:r>
          </w:p>
        </w:tc>
        <w:tc>
          <w:tcPr>
            <w:tcW w:w="1938" w:type="dxa"/>
            <w:vAlign w:val="center"/>
          </w:tcPr>
          <w:p w:rsidR="002616E4" w:rsidRDefault="002616E4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:rsidR="002616E4">
        <w:trPr>
          <w:trHeight w:val="815"/>
          <w:jc w:val="center"/>
        </w:trPr>
        <w:tc>
          <w:tcPr>
            <w:tcW w:w="771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11</w:t>
            </w:r>
          </w:p>
        </w:tc>
        <w:tc>
          <w:tcPr>
            <w:tcW w:w="2685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文化惠民体育健民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项目</w:t>
            </w:r>
          </w:p>
        </w:tc>
        <w:tc>
          <w:tcPr>
            <w:tcW w:w="7415" w:type="dxa"/>
            <w:vAlign w:val="center"/>
          </w:tcPr>
          <w:p w:rsidR="002616E4" w:rsidRDefault="00F17E49">
            <w:pPr>
              <w:adjustRightInd w:val="0"/>
              <w:spacing w:line="300" w:lineRule="exact"/>
              <w:ind w:firstLineChars="200" w:firstLine="480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开展“全民健身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全民赏剧”工作，新增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家限时免费、低收费向市民开放的社会体育场馆；对高雅艺术演出进行低票价补贴。</w:t>
            </w:r>
          </w:p>
        </w:tc>
        <w:tc>
          <w:tcPr>
            <w:tcW w:w="2160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文体局</w:t>
            </w:r>
          </w:p>
        </w:tc>
        <w:tc>
          <w:tcPr>
            <w:tcW w:w="1938" w:type="dxa"/>
            <w:vAlign w:val="center"/>
          </w:tcPr>
          <w:p w:rsidR="002616E4" w:rsidRDefault="002616E4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:rsidR="002616E4">
        <w:trPr>
          <w:trHeight w:val="871"/>
          <w:jc w:val="center"/>
        </w:trPr>
        <w:tc>
          <w:tcPr>
            <w:tcW w:w="771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12</w:t>
            </w:r>
          </w:p>
        </w:tc>
        <w:tc>
          <w:tcPr>
            <w:tcW w:w="2685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4"/>
              </w:rPr>
              <w:t>人才保障住房建设项目</w:t>
            </w:r>
          </w:p>
        </w:tc>
        <w:tc>
          <w:tcPr>
            <w:tcW w:w="7415" w:type="dxa"/>
            <w:vAlign w:val="center"/>
          </w:tcPr>
          <w:p w:rsidR="002616E4" w:rsidRDefault="00F17E49">
            <w:pPr>
              <w:adjustRightInd w:val="0"/>
              <w:spacing w:line="300" w:lineRule="exact"/>
              <w:ind w:firstLineChars="200" w:firstLine="480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4"/>
              </w:rPr>
              <w:t>加快人才及保障性住房建设，开工建设人才及保障性住房</w:t>
            </w: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4"/>
              </w:rPr>
              <w:t>000</w:t>
            </w: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4"/>
              </w:rPr>
              <w:t>套；竣工验收人才住房</w:t>
            </w: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4"/>
              </w:rPr>
              <w:t>900</w:t>
            </w: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4"/>
              </w:rPr>
              <w:t>套；定向配租人才住房</w:t>
            </w: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4"/>
              </w:rPr>
              <w:t>000</w:t>
            </w: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4"/>
              </w:rPr>
              <w:t>套。</w:t>
            </w:r>
          </w:p>
        </w:tc>
        <w:tc>
          <w:tcPr>
            <w:tcW w:w="2160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住建局</w:t>
            </w:r>
          </w:p>
        </w:tc>
        <w:tc>
          <w:tcPr>
            <w:tcW w:w="1938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大沙河建投公司</w:t>
            </w:r>
          </w:p>
        </w:tc>
      </w:tr>
      <w:tr w:rsidR="002616E4">
        <w:trPr>
          <w:trHeight w:val="1209"/>
          <w:jc w:val="center"/>
        </w:trPr>
        <w:tc>
          <w:tcPr>
            <w:tcW w:w="771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13</w:t>
            </w:r>
          </w:p>
        </w:tc>
        <w:tc>
          <w:tcPr>
            <w:tcW w:w="2685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民办教育扶持发展项目</w:t>
            </w:r>
          </w:p>
        </w:tc>
        <w:tc>
          <w:tcPr>
            <w:tcW w:w="7415" w:type="dxa"/>
            <w:vAlign w:val="center"/>
          </w:tcPr>
          <w:p w:rsidR="002616E4" w:rsidRDefault="00F17E49">
            <w:pPr>
              <w:adjustRightInd w:val="0"/>
              <w:spacing w:line="300" w:lineRule="exact"/>
              <w:ind w:firstLineChars="200" w:firstLine="480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加大民办教育扶持力度，向民办学校符合政策的义务教育阶段学生、在园儿童、幼儿园保教人员分别发放学生学位补贴、儿童健康成长补贴、保教人员长期从教津贴。</w:t>
            </w:r>
          </w:p>
        </w:tc>
        <w:tc>
          <w:tcPr>
            <w:tcW w:w="2160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教育局</w:t>
            </w:r>
          </w:p>
        </w:tc>
        <w:tc>
          <w:tcPr>
            <w:tcW w:w="1938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财政局</w:t>
            </w:r>
          </w:p>
        </w:tc>
      </w:tr>
      <w:tr w:rsidR="002616E4">
        <w:trPr>
          <w:trHeight w:val="815"/>
          <w:jc w:val="center"/>
        </w:trPr>
        <w:tc>
          <w:tcPr>
            <w:tcW w:w="771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2685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排水管网“正本清源”项目</w:t>
            </w:r>
          </w:p>
        </w:tc>
        <w:tc>
          <w:tcPr>
            <w:tcW w:w="7415" w:type="dxa"/>
            <w:vAlign w:val="center"/>
          </w:tcPr>
          <w:p w:rsidR="002616E4" w:rsidRDefault="00F17E49">
            <w:pPr>
              <w:adjustRightInd w:val="0"/>
              <w:spacing w:line="300" w:lineRule="exact"/>
              <w:ind w:firstLineChars="200" w:firstLine="480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实施排水管网“正本清源”行动，完成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100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个住宅小区排水管网改造工程，创建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120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个排水达标小区。</w:t>
            </w:r>
          </w:p>
        </w:tc>
        <w:tc>
          <w:tcPr>
            <w:tcW w:w="2160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环水局</w:t>
            </w:r>
          </w:p>
        </w:tc>
        <w:tc>
          <w:tcPr>
            <w:tcW w:w="1938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各街道办</w:t>
            </w:r>
          </w:p>
        </w:tc>
      </w:tr>
      <w:tr w:rsidR="002616E4">
        <w:trPr>
          <w:trHeight w:val="1359"/>
          <w:jc w:val="center"/>
        </w:trPr>
        <w:tc>
          <w:tcPr>
            <w:tcW w:w="771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2685" w:type="dxa"/>
            <w:vAlign w:val="center"/>
          </w:tcPr>
          <w:p w:rsidR="002616E4" w:rsidRDefault="00F17E49">
            <w:pPr>
              <w:widowControl/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平安南山科技升级项目</w:t>
            </w:r>
          </w:p>
        </w:tc>
        <w:tc>
          <w:tcPr>
            <w:tcW w:w="7415" w:type="dxa"/>
            <w:vAlign w:val="center"/>
          </w:tcPr>
          <w:p w:rsidR="002616E4" w:rsidRDefault="00F17E49">
            <w:pPr>
              <w:widowControl/>
              <w:adjustRightInd w:val="0"/>
              <w:spacing w:line="300" w:lineRule="exact"/>
              <w:ind w:firstLineChars="200" w:firstLine="480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推进全时段视频巡查平台建设，完成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1500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个一类视频监控、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20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个非一类视频监控、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14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个重点区域科技围合建设。</w:t>
            </w:r>
          </w:p>
        </w:tc>
        <w:tc>
          <w:tcPr>
            <w:tcW w:w="2160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南山公安分局</w:t>
            </w:r>
          </w:p>
        </w:tc>
        <w:tc>
          <w:tcPr>
            <w:tcW w:w="1938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财政局</w:t>
            </w:r>
          </w:p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城管局</w:t>
            </w:r>
          </w:p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南山交警大队</w:t>
            </w:r>
          </w:p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各街道办</w:t>
            </w:r>
          </w:p>
        </w:tc>
      </w:tr>
      <w:tr w:rsidR="002616E4">
        <w:trPr>
          <w:trHeight w:val="1039"/>
          <w:jc w:val="center"/>
        </w:trPr>
        <w:tc>
          <w:tcPr>
            <w:tcW w:w="771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2685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餐饮场所用气安全项目</w:t>
            </w:r>
          </w:p>
        </w:tc>
        <w:tc>
          <w:tcPr>
            <w:tcW w:w="7415" w:type="dxa"/>
            <w:vAlign w:val="center"/>
          </w:tcPr>
          <w:p w:rsidR="002616E4" w:rsidRDefault="00F17E49">
            <w:pPr>
              <w:adjustRightInd w:val="0"/>
              <w:spacing w:line="300" w:lineRule="exact"/>
              <w:ind w:firstLineChars="200" w:firstLine="480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提升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餐饮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集中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场所用气安全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水平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，完成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20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个餐饮场所集中的食街（区域）供气管道化改造。</w:t>
            </w:r>
          </w:p>
        </w:tc>
        <w:tc>
          <w:tcPr>
            <w:tcW w:w="2160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住建局</w:t>
            </w:r>
          </w:p>
        </w:tc>
        <w:tc>
          <w:tcPr>
            <w:tcW w:w="1938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南山公安分局</w:t>
            </w:r>
          </w:p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各街道办</w:t>
            </w:r>
          </w:p>
        </w:tc>
      </w:tr>
      <w:tr w:rsidR="002616E4">
        <w:trPr>
          <w:trHeight w:val="1001"/>
          <w:jc w:val="center"/>
        </w:trPr>
        <w:tc>
          <w:tcPr>
            <w:tcW w:w="771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17</w:t>
            </w:r>
          </w:p>
        </w:tc>
        <w:tc>
          <w:tcPr>
            <w:tcW w:w="2685" w:type="dxa"/>
            <w:vAlign w:val="center"/>
          </w:tcPr>
          <w:p w:rsidR="002616E4" w:rsidRDefault="00F17E49">
            <w:pPr>
              <w:widowControl/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智慧户政服务升级项目</w:t>
            </w:r>
          </w:p>
        </w:tc>
        <w:tc>
          <w:tcPr>
            <w:tcW w:w="7415" w:type="dxa"/>
            <w:vAlign w:val="center"/>
          </w:tcPr>
          <w:p w:rsidR="002616E4" w:rsidRDefault="00F17E49">
            <w:pPr>
              <w:widowControl/>
              <w:adjustRightInd w:val="0"/>
              <w:spacing w:line="300" w:lineRule="exact"/>
              <w:ind w:firstLineChars="200" w:firstLine="480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扩大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智慧户政服务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覆盖面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，建设深圳湾服务中心；完善全区“签注易”布点；建立“蛇口街道外管服务队”。</w:t>
            </w:r>
          </w:p>
        </w:tc>
        <w:tc>
          <w:tcPr>
            <w:tcW w:w="2160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南山公安分局</w:t>
            </w:r>
          </w:p>
        </w:tc>
        <w:tc>
          <w:tcPr>
            <w:tcW w:w="1938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蛇口办</w:t>
            </w:r>
          </w:p>
        </w:tc>
      </w:tr>
      <w:tr w:rsidR="002616E4">
        <w:trPr>
          <w:trHeight w:val="674"/>
          <w:jc w:val="center"/>
        </w:trPr>
        <w:tc>
          <w:tcPr>
            <w:tcW w:w="771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2685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南山博物馆项目</w:t>
            </w:r>
          </w:p>
        </w:tc>
        <w:tc>
          <w:tcPr>
            <w:tcW w:w="7415" w:type="dxa"/>
            <w:vAlign w:val="center"/>
          </w:tcPr>
          <w:p w:rsidR="002616E4" w:rsidRDefault="00F17E49">
            <w:pPr>
              <w:adjustRightInd w:val="0"/>
              <w:spacing w:line="300" w:lineRule="exact"/>
              <w:ind w:firstLineChars="200" w:firstLine="480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南山博物馆完成相关主题展览陈列施工，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月起逐步向社会开放。</w:t>
            </w:r>
          </w:p>
        </w:tc>
        <w:tc>
          <w:tcPr>
            <w:tcW w:w="2160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文体局</w:t>
            </w:r>
          </w:p>
        </w:tc>
        <w:tc>
          <w:tcPr>
            <w:tcW w:w="1938" w:type="dxa"/>
            <w:vAlign w:val="center"/>
          </w:tcPr>
          <w:p w:rsidR="002616E4" w:rsidRDefault="002616E4">
            <w:pPr>
              <w:adjustRightIn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2616E4">
        <w:trPr>
          <w:trHeight w:val="1198"/>
          <w:jc w:val="center"/>
        </w:trPr>
        <w:tc>
          <w:tcPr>
            <w:tcW w:w="771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19</w:t>
            </w:r>
          </w:p>
        </w:tc>
        <w:tc>
          <w:tcPr>
            <w:tcW w:w="2685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安全生产教育培训项目</w:t>
            </w:r>
          </w:p>
        </w:tc>
        <w:tc>
          <w:tcPr>
            <w:tcW w:w="7415" w:type="dxa"/>
            <w:vAlign w:val="center"/>
          </w:tcPr>
          <w:p w:rsidR="002616E4" w:rsidRDefault="00F17E49">
            <w:pPr>
              <w:adjustRightInd w:val="0"/>
              <w:spacing w:line="300" w:lineRule="exact"/>
              <w:ind w:firstLineChars="200" w:firstLine="480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强化安全培训和应急演练，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全年累计受训人次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万以上；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培训一线从业人员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万名；组织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60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家企业开展安全生产应急演练；指导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80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家小微企业开展安全生产标准化创建。</w:t>
            </w:r>
          </w:p>
        </w:tc>
        <w:tc>
          <w:tcPr>
            <w:tcW w:w="2160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938" w:type="dxa"/>
            <w:vAlign w:val="center"/>
          </w:tcPr>
          <w:p w:rsidR="002616E4" w:rsidRDefault="002616E4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:rsidR="002616E4">
        <w:trPr>
          <w:trHeight w:val="956"/>
          <w:jc w:val="center"/>
        </w:trPr>
        <w:tc>
          <w:tcPr>
            <w:tcW w:w="771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20</w:t>
            </w:r>
          </w:p>
        </w:tc>
        <w:tc>
          <w:tcPr>
            <w:tcW w:w="2685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福利中心配套升级项目</w:t>
            </w:r>
          </w:p>
        </w:tc>
        <w:tc>
          <w:tcPr>
            <w:tcW w:w="7415" w:type="dxa"/>
            <w:vAlign w:val="center"/>
          </w:tcPr>
          <w:p w:rsidR="002616E4" w:rsidRDefault="00F17E49">
            <w:pPr>
              <w:adjustRightInd w:val="0"/>
              <w:spacing w:line="300" w:lineRule="exact"/>
              <w:ind w:firstLineChars="200" w:firstLine="480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完善社会福利中心配套设施，开展区社会福利中心一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期和</w:t>
            </w: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二期水电、消防、监控、配餐间建设。</w:t>
            </w:r>
          </w:p>
        </w:tc>
        <w:tc>
          <w:tcPr>
            <w:tcW w:w="2160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民政局</w:t>
            </w:r>
          </w:p>
        </w:tc>
        <w:tc>
          <w:tcPr>
            <w:tcW w:w="1938" w:type="dxa"/>
            <w:vAlign w:val="center"/>
          </w:tcPr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发改局</w:t>
            </w:r>
          </w:p>
          <w:p w:rsidR="002616E4" w:rsidRDefault="00F17E49">
            <w:pPr>
              <w:adjustRightInd w:val="0"/>
              <w:spacing w:line="30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  <w:szCs w:val="24"/>
              </w:rPr>
              <w:t>住建局</w:t>
            </w:r>
          </w:p>
        </w:tc>
      </w:tr>
    </w:tbl>
    <w:p w:rsidR="002616E4" w:rsidRDefault="00F17E49">
      <w:pPr>
        <w:spacing w:line="3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</w:t>
      </w:r>
      <w:r>
        <w:rPr>
          <w:rFonts w:ascii="仿宋_GB2312" w:eastAsia="仿宋_GB2312" w:hint="eastAsia"/>
        </w:rPr>
        <w:t>1.</w:t>
      </w:r>
      <w:r>
        <w:rPr>
          <w:rFonts w:ascii="仿宋_GB2312" w:eastAsia="仿宋_GB2312" w:hint="eastAsia"/>
        </w:rPr>
        <w:t>“五免二优”：为</w:t>
      </w:r>
      <w:r>
        <w:rPr>
          <w:rFonts w:ascii="仿宋_GB2312" w:eastAsia="仿宋_GB2312" w:hint="eastAsia"/>
        </w:rPr>
        <w:t>65</w:t>
      </w:r>
      <w:r>
        <w:rPr>
          <w:rFonts w:ascii="仿宋_GB2312" w:eastAsia="仿宋_GB2312" w:hint="eastAsia"/>
        </w:rPr>
        <w:t>岁以上常住老年人免费建立健康档案、免费全科诊金、免费每年一次健康体检、免费用药指导、免费发放健康教育处方；优先</w:t>
      </w:r>
    </w:p>
    <w:p w:rsidR="002616E4" w:rsidRDefault="00F17E49">
      <w:pPr>
        <w:spacing w:line="3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 </w:t>
      </w:r>
      <w:r>
        <w:rPr>
          <w:rFonts w:ascii="仿宋_GB2312" w:eastAsia="仿宋_GB2312" w:hint="eastAsia"/>
        </w:rPr>
        <w:t>提供转诊转介服务、优先预约医院专家门诊。</w:t>
      </w:r>
    </w:p>
    <w:p w:rsidR="002616E4" w:rsidRDefault="00F17E49">
      <w:pPr>
        <w:spacing w:line="300" w:lineRule="exact"/>
      </w:pPr>
      <w:r>
        <w:rPr>
          <w:rFonts w:ascii="仿宋_GB2312" w:eastAsia="仿宋_GB2312" w:hint="eastAsia"/>
        </w:rPr>
        <w:t xml:space="preserve">    </w:t>
      </w:r>
      <w:r>
        <w:rPr>
          <w:rFonts w:ascii="仿宋_GB2312" w:eastAsia="仿宋_GB2312" w:hint="eastAsia"/>
        </w:rPr>
        <w:t>2.</w:t>
      </w:r>
      <w:r>
        <w:rPr>
          <w:rFonts w:ascii="仿宋_GB2312" w:eastAsia="仿宋_GB2312" w:hint="eastAsia"/>
        </w:rPr>
        <w:t>“明厨亮灶”</w:t>
      </w:r>
      <w:r>
        <w:rPr>
          <w:rFonts w:ascii="仿宋_GB2312" w:eastAsia="仿宋_GB2312" w:hint="eastAsia"/>
        </w:rPr>
        <w:t>:</w:t>
      </w:r>
      <w:r>
        <w:rPr>
          <w:rFonts w:ascii="仿宋_GB2312" w:eastAsia="仿宋_GB2312" w:hAnsi="Times New Roman" w:hint="eastAsia"/>
          <w:szCs w:val="24"/>
        </w:rPr>
        <w:t>采取视频技术或透视明档的方式对餐饮食品加工过程进行公示，从而将餐饮经营单位食品加工的关键环节亮出来接受社会监督。</w:t>
      </w:r>
    </w:p>
    <w:sectPr w:rsidR="002616E4">
      <w:headerReference w:type="default" r:id="rId8"/>
      <w:footerReference w:type="even" r:id="rId9"/>
      <w:footerReference w:type="default" r:id="rId10"/>
      <w:pgSz w:w="16441" w:h="11906" w:orient="landscape"/>
      <w:pgMar w:top="1134" w:right="1134" w:bottom="1247" w:left="1134" w:header="851" w:footer="992" w:gutter="0"/>
      <w:cols w:space="0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E49" w:rsidRDefault="00F17E49">
      <w:r>
        <w:separator/>
      </w:r>
    </w:p>
  </w:endnote>
  <w:endnote w:type="continuationSeparator" w:id="0">
    <w:p w:rsidR="00F17E49" w:rsidRDefault="00F1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6E4" w:rsidRDefault="00F17E49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2616E4" w:rsidRDefault="002616E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883990"/>
      <w:docPartObj>
        <w:docPartGallery w:val="Page Numbers (Bottom of Page)"/>
        <w:docPartUnique/>
      </w:docPartObj>
    </w:sdtPr>
    <w:sdtContent>
      <w:p w:rsidR="009976C3" w:rsidRDefault="009976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76C3">
          <w:rPr>
            <w:noProof/>
            <w:lang w:val="zh-CN"/>
          </w:rPr>
          <w:t>3</w:t>
        </w:r>
        <w:r>
          <w:fldChar w:fldCharType="end"/>
        </w:r>
      </w:p>
    </w:sdtContent>
  </w:sdt>
  <w:p w:rsidR="009976C3" w:rsidRDefault="009976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E49" w:rsidRDefault="00F17E49">
      <w:r>
        <w:separator/>
      </w:r>
    </w:p>
  </w:footnote>
  <w:footnote w:type="continuationSeparator" w:id="0">
    <w:p w:rsidR="00F17E49" w:rsidRDefault="00F17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6E4" w:rsidRDefault="002616E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66C49"/>
    <w:rsid w:val="002616E4"/>
    <w:rsid w:val="009976C3"/>
    <w:rsid w:val="00F17E49"/>
    <w:rsid w:val="02596EE7"/>
    <w:rsid w:val="06BC4D06"/>
    <w:rsid w:val="080E32AE"/>
    <w:rsid w:val="0CBA736F"/>
    <w:rsid w:val="0FFF58DB"/>
    <w:rsid w:val="11647EF7"/>
    <w:rsid w:val="153E043B"/>
    <w:rsid w:val="155B7056"/>
    <w:rsid w:val="18593587"/>
    <w:rsid w:val="18AE4D33"/>
    <w:rsid w:val="1AD02B6B"/>
    <w:rsid w:val="1C9F03B7"/>
    <w:rsid w:val="1CCD53DB"/>
    <w:rsid w:val="1DE054B9"/>
    <w:rsid w:val="24032071"/>
    <w:rsid w:val="24901C79"/>
    <w:rsid w:val="265106EF"/>
    <w:rsid w:val="267F5C1B"/>
    <w:rsid w:val="28233E3B"/>
    <w:rsid w:val="2C5803F0"/>
    <w:rsid w:val="2D9033FD"/>
    <w:rsid w:val="2E144893"/>
    <w:rsid w:val="331E7BC2"/>
    <w:rsid w:val="333601B8"/>
    <w:rsid w:val="3877630C"/>
    <w:rsid w:val="397C278B"/>
    <w:rsid w:val="3B4C1818"/>
    <w:rsid w:val="41717522"/>
    <w:rsid w:val="44B54B69"/>
    <w:rsid w:val="46A00C43"/>
    <w:rsid w:val="49841187"/>
    <w:rsid w:val="4AE75F0C"/>
    <w:rsid w:val="531212A5"/>
    <w:rsid w:val="74F940DB"/>
    <w:rsid w:val="78D6344D"/>
    <w:rsid w:val="7B2A0468"/>
    <w:rsid w:val="7D96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脚 Char"/>
    <w:basedOn w:val="a0"/>
    <w:link w:val="a3"/>
    <w:uiPriority w:val="99"/>
    <w:rsid w:val="009976C3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脚 Char"/>
    <w:basedOn w:val="a0"/>
    <w:link w:val="a3"/>
    <w:uiPriority w:val="99"/>
    <w:rsid w:val="009976C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1520</Characters>
  <Application>Microsoft Office Word</Application>
  <DocSecurity>0</DocSecurity>
  <Lines>12</Lines>
  <Paragraphs>3</Paragraphs>
  <ScaleCrop>false</ScaleCrop>
  <Company>Chinese ORG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秦润浩</dc:creator>
  <cp:lastModifiedBy>唐伟成</cp:lastModifiedBy>
  <cp:revision>2</cp:revision>
  <cp:lastPrinted>2017-02-09T10:16:00Z</cp:lastPrinted>
  <dcterms:created xsi:type="dcterms:W3CDTF">2017-02-07T01:44:00Z</dcterms:created>
  <dcterms:modified xsi:type="dcterms:W3CDTF">2017-02-13T06:36:00Z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