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eastAsia="黑体"/>
          <w:color w:val="000000" w:themeColor="text1"/>
          <w:spacing w:val="-14"/>
          <w:sz w:val="32"/>
          <w:szCs w:val="32"/>
          <w:highlight w:val="none"/>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南山区</w:t>
      </w:r>
      <w:r>
        <w:rPr>
          <w:rFonts w:hint="eastAsia" w:eastAsia="黑体"/>
          <w:color w:val="000000" w:themeColor="text1"/>
          <w:spacing w:val="-14"/>
          <w:sz w:val="32"/>
          <w:szCs w:val="32"/>
          <w:highlight w:val="none"/>
          <w:lang w:val="en-US" w:eastAsia="zh-CN"/>
          <w14:textFill>
            <w14:solidFill>
              <w14:schemeClr w14:val="tx1"/>
            </w14:solidFill>
          </w14:textFill>
        </w:rPr>
        <w:t>促进电竞产业发展专项扶持措施</w:t>
      </w:r>
    </w:p>
    <w:p>
      <w:pPr>
        <w:adjustRightInd w:val="0"/>
        <w:snapToGrid w:val="0"/>
        <w:spacing w:line="560" w:lineRule="exact"/>
        <w:jc w:val="center"/>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支持运营电竞俱乐部</w:t>
      </w:r>
      <w:r>
        <w:rPr>
          <w:rFonts w:hint="eastAsia" w:eastAsia="黑体"/>
          <w:color w:val="000000" w:themeColor="text1"/>
          <w:spacing w:val="-14"/>
          <w:sz w:val="32"/>
          <w:szCs w:val="32"/>
          <w:highlight w:val="none"/>
          <w:lang w:val="en-US" w:eastAsia="zh-CN"/>
          <w14:textFill>
            <w14:solidFill>
              <w14:schemeClr w14:val="tx1"/>
            </w14:solidFill>
          </w14:textFill>
        </w:rPr>
        <w:t>项目</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14:textFill>
            <w14:solidFill>
              <w14:schemeClr w14:val="tx1"/>
            </w14:solidFill>
          </w14:textFill>
        </w:rPr>
        <w:t>操作规程</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b/>
          <w:bCs/>
          <w:color w:val="000000" w:themeColor="text1"/>
          <w:sz w:val="32"/>
          <w:szCs w:val="32"/>
          <w:highlight w:val="none"/>
          <w14:textFill>
            <w14:solidFill>
              <w14:schemeClr w14:val="tx1"/>
            </w14:solidFill>
          </w14:textFill>
        </w:rPr>
        <w:t>（</w:t>
      </w:r>
      <w:r>
        <w:rPr>
          <w:rFonts w:eastAsia="黑体"/>
          <w:b/>
          <w:bCs/>
          <w:color w:val="000000" w:themeColor="text1"/>
          <w:sz w:val="32"/>
          <w:szCs w:val="32"/>
          <w:highlight w:val="none"/>
          <w14:textFill>
            <w14:solidFill>
              <w14:schemeClr w14:val="tx1"/>
            </w14:solidFill>
          </w14:textFill>
        </w:rPr>
        <w:t>20</w:t>
      </w:r>
      <w:r>
        <w:rPr>
          <w:rFonts w:hint="eastAsia" w:eastAsia="黑体"/>
          <w:b/>
          <w:bCs/>
          <w:color w:val="000000" w:themeColor="text1"/>
          <w:sz w:val="32"/>
          <w:szCs w:val="32"/>
          <w:highlight w:val="none"/>
          <w14:textFill>
            <w14:solidFill>
              <w14:schemeClr w14:val="tx1"/>
            </w14:solidFill>
          </w14:textFill>
        </w:rPr>
        <w:t>2</w:t>
      </w:r>
      <w:r>
        <w:rPr>
          <w:rFonts w:hint="eastAsia" w:eastAsia="黑体"/>
          <w:b/>
          <w:bCs/>
          <w:color w:val="000000" w:themeColor="text1"/>
          <w:sz w:val="32"/>
          <w:szCs w:val="32"/>
          <w:highlight w:val="none"/>
          <w:lang w:val="en-US" w:eastAsia="zh-CN"/>
          <w14:textFill>
            <w14:solidFill>
              <w14:schemeClr w14:val="tx1"/>
            </w14:solidFill>
          </w14:textFill>
        </w:rPr>
        <w:t>3</w:t>
      </w:r>
      <w:r>
        <w:rPr>
          <w:rFonts w:hint="eastAsia" w:eastAsia="黑体"/>
          <w:b/>
          <w:bCs/>
          <w:color w:val="000000" w:themeColor="text1"/>
          <w:sz w:val="32"/>
          <w:szCs w:val="32"/>
          <w:highlight w:val="none"/>
          <w14:textFill>
            <w14:solidFill>
              <w14:schemeClr w14:val="tx1"/>
            </w14:solidFill>
          </w14:textFill>
        </w:rPr>
        <w:t>年）</w:t>
      </w:r>
    </w:p>
    <w:p>
      <w:pPr>
        <w:adjustRightInd w:val="0"/>
        <w:snapToGrid w:val="0"/>
        <w:spacing w:line="560" w:lineRule="exact"/>
        <w:rPr>
          <w:rFonts w:hAnsi="仿宋" w:eastAsia="仿宋"/>
          <w:color w:val="000000" w:themeColor="text1"/>
          <w:sz w:val="32"/>
          <w:szCs w:val="32"/>
          <w:highlight w:val="none"/>
          <w14:textFill>
            <w14:solidFill>
              <w14:schemeClr w14:val="tx1"/>
            </w14:solidFill>
          </w14:textFill>
        </w:rPr>
      </w:pP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为鼓励国内外顶级电竞俱乐部落户，支持电竞俱乐部运营，鼓励参加国内外重大电竞赛事，增强南山区电竞产业的吸引力和竞争力，</w:t>
      </w:r>
      <w:r>
        <w:rPr>
          <w:rFonts w:hint="eastAsia" w:ascii="仿宋_GB2312" w:hAnsi="仿宋" w:eastAsia="仿宋_GB2312"/>
          <w:color w:val="000000" w:themeColor="text1"/>
          <w:kern w:val="0"/>
          <w:sz w:val="32"/>
          <w:szCs w:val="32"/>
          <w:highlight w:val="none"/>
          <w14:textFill>
            <w14:solidFill>
              <w14:schemeClr w14:val="tx1"/>
            </w14:solidFill>
          </w14:textFill>
        </w:rPr>
        <w:t>根据《南山区促进现代产业高质量发展专项资金管理办法》和《</w:t>
      </w:r>
      <w:r>
        <w:rPr>
          <w:rFonts w:hint="eastAsia" w:ascii="仿宋_GB2312" w:hAnsi="仿宋" w:eastAsia="仿宋_GB2312"/>
          <w:color w:val="000000" w:themeColor="text1"/>
          <w:sz w:val="32"/>
          <w:szCs w:val="32"/>
          <w:highlight w:val="none"/>
          <w14:textFill>
            <w14:solidFill>
              <w14:schemeClr w14:val="tx1"/>
            </w14:solidFill>
          </w14:textFill>
        </w:rPr>
        <w:t>南山区</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促进</w:t>
      </w:r>
      <w:r>
        <w:rPr>
          <w:rFonts w:hint="eastAsia" w:ascii="仿宋_GB2312" w:hAnsi="仿宋" w:eastAsia="仿宋_GB2312"/>
          <w:color w:val="000000" w:themeColor="text1"/>
          <w:sz w:val="32"/>
          <w:szCs w:val="32"/>
          <w:highlight w:val="none"/>
          <w14:textFill>
            <w14:solidFill>
              <w14:schemeClr w14:val="tx1"/>
            </w14:solidFill>
          </w14:textFill>
        </w:rPr>
        <w:t>电竞产业发展专项扶持措施</w:t>
      </w:r>
      <w:r>
        <w:rPr>
          <w:rFonts w:hint="eastAsia" w:ascii="仿宋_GB2312" w:hAnsi="仿宋" w:eastAsia="仿宋_GB2312"/>
          <w:color w:val="000000" w:themeColor="text1"/>
          <w:kern w:val="0"/>
          <w:sz w:val="32"/>
          <w:szCs w:val="32"/>
          <w:highlight w:val="none"/>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制定本操作规程。</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pPr>
        <w:widowControl/>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（一）电竞俱乐部落户。支持国际性/全国顶级职业杯赛/联赛联盟俱乐部的主场落户，给予最高不超过500万元的一次性补贴。</w:t>
      </w:r>
    </w:p>
    <w:p>
      <w:pPr>
        <w:widowControl/>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（二）电竞俱乐部运营。</w:t>
      </w:r>
      <w:r>
        <w:rPr>
          <w:rFonts w:hint="eastAsia" w:ascii="仿宋_GB2312" w:hAnsi="仿宋_GB2312" w:eastAsia="仿宋_GB2312" w:cs="仿宋_GB2312"/>
          <w:color w:val="000000" w:themeColor="text1"/>
          <w:sz w:val="32"/>
          <w:szCs w:val="32"/>
          <w:highlight w:val="none"/>
          <w14:textFill>
            <w14:solidFill>
              <w14:schemeClr w14:val="tx1"/>
            </w14:solidFill>
          </w14:textFill>
        </w:rPr>
        <w:t>对落户南山的国内外顶级电竞俱乐部，按照实际培训和运动员身心康复费、商业保险费给予50%的补贴，每个俱乐部每年不超过50万元。</w:t>
      </w:r>
    </w:p>
    <w:p>
      <w:pPr>
        <w:widowControl/>
        <w:spacing w:line="560" w:lineRule="exact"/>
        <w:ind w:firstLine="640"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三）电竞俱乐部参赛获奖。对电竞俱乐部或俱乐部成员参加国际性/全国顶级职业杯赛/联赛，或政府举办的高水平、综合性运动会电竞赛事，按所获比赛名次给予俱乐部不超过100万元奖励，每个俱乐部每年不超过200万元。</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二、资助方式</w:t>
      </w:r>
    </w:p>
    <w:p>
      <w:pPr>
        <w:widowControl/>
        <w:adjustRightInd w:val="0"/>
        <w:snapToGrid w:val="0"/>
        <w:spacing w:line="560" w:lineRule="exact"/>
        <w:ind w:firstLine="537" w:firstLineChars="168"/>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金资助属于核准类项目，资助资金的安排使用坚持公平、公开、公正的原则，实行自愿申报、科学决策和绩效评估的管理制度，采取无偿资助方式和事后补贴制，受资助项目无需验收。本项目不受“区级地方财力贡献”限制。</w:t>
      </w:r>
    </w:p>
    <w:p>
      <w:pPr>
        <w:widowControl/>
        <w:adjustRightInd w:val="0"/>
        <w:snapToGrid w:val="0"/>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三、申请条件</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olor w:val="000000" w:themeColor="text1"/>
          <w:sz w:val="32"/>
          <w:szCs w:val="32"/>
          <w:highlight w:val="none"/>
          <w14:textFill>
            <w14:solidFill>
              <w14:schemeClr w14:val="tx1"/>
            </w14:solidFill>
          </w14:textFill>
        </w:rPr>
        <w:t>在南山辖区内登记注册、具有独立法人资格；</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履行统计数据申报义务、守法经营、诚实守信、有规范健全的财务制度；</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应积极配合区委、区政府相关工作；</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4、</w:t>
      </w:r>
      <w:r>
        <w:rPr>
          <w:rFonts w:hint="eastAsia" w:ascii="仿宋_GB2312" w:hAnsi="仿宋" w:eastAsia="仿宋_GB2312"/>
          <w:color w:val="000000" w:themeColor="text1"/>
          <w:sz w:val="32"/>
          <w:szCs w:val="32"/>
          <w:highlight w:val="none"/>
          <w14:textFill>
            <w14:solidFill>
              <w14:schemeClr w14:val="tx1"/>
            </w14:solidFill>
          </w14:textFill>
        </w:rPr>
        <w:t>其他除外情形的，由资金主管部门在产业扶持政策措施或其操作规程中另行作出明确规定。</w:t>
      </w:r>
    </w:p>
    <w:p>
      <w:pPr>
        <w:pStyle w:val="16"/>
        <w:tabs>
          <w:tab w:val="left" w:pos="0"/>
        </w:tabs>
        <w:spacing w:line="560" w:lineRule="exact"/>
        <w:ind w:firstLine="640"/>
        <w:rPr>
          <w:rFonts w:hint="eastAsia" w:ascii="仿宋_GB2312" w:hAnsi="仿宋" w:eastAsia="仿宋_GB2312" w:cs="Times New Roman"/>
          <w:color w:val="000000"/>
          <w:sz w:val="32"/>
          <w:szCs w:val="32"/>
          <w:highlight w:val="none"/>
          <w:lang w:eastAsia="zh-CN"/>
        </w:rPr>
      </w:pPr>
      <w:r>
        <w:rPr>
          <w:rFonts w:hint="eastAsia" w:ascii="仿宋_GB2312" w:hAnsi="仿宋" w:eastAsia="仿宋_GB2312" w:cs="Times New Roman"/>
          <w:color w:val="000000"/>
          <w:sz w:val="32"/>
          <w:szCs w:val="32"/>
          <w:highlight w:val="none"/>
          <w:lang w:val="en-US" w:eastAsia="zh-CN"/>
        </w:rPr>
        <w:t>5、</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本条政策所述电竞俱乐部，特指参加</w:t>
      </w:r>
      <w:r>
        <w:rPr>
          <w:rFonts w:hint="eastAsia" w:ascii="仿宋_GB2312" w:hAnsi="仿宋" w:eastAsia="仿宋_GB2312" w:cs="Times New Roman"/>
          <w:color w:val="000000"/>
          <w:sz w:val="32"/>
          <w:szCs w:val="32"/>
          <w:highlight w:val="none"/>
        </w:rPr>
        <w:t>2022杭州亚运会入选项目</w:t>
      </w:r>
      <w:r>
        <w:rPr>
          <w:rFonts w:hint="eastAsia" w:ascii="仿宋_GB2312" w:hAnsi="仿宋" w:eastAsia="仿宋_GB2312" w:cs="Times New Roman"/>
          <w:color w:val="000000"/>
          <w:sz w:val="32"/>
          <w:szCs w:val="32"/>
          <w:highlight w:val="none"/>
          <w:lang w:val="en-US" w:eastAsia="zh-CN"/>
        </w:rPr>
        <w:t>官方顶级或次级联盟电竞比赛</w:t>
      </w:r>
      <w:r>
        <w:rPr>
          <w:rFonts w:hint="eastAsia" w:ascii="仿宋_GB2312" w:hAnsi="仿宋" w:eastAsia="仿宋_GB2312" w:cs="Times New Roman"/>
          <w:color w:val="000000"/>
          <w:sz w:val="32"/>
          <w:szCs w:val="32"/>
          <w:highlight w:val="none"/>
        </w:rPr>
        <w:t>的电竞俱乐部</w:t>
      </w:r>
      <w:r>
        <w:rPr>
          <w:rFonts w:hint="eastAsia" w:ascii="仿宋_GB2312" w:hAnsi="仿宋" w:eastAsia="仿宋_GB2312" w:cs="Times New Roman"/>
          <w:color w:val="000000"/>
          <w:sz w:val="32"/>
          <w:szCs w:val="32"/>
          <w:highlight w:val="none"/>
          <w:lang w:eastAsia="zh-CN"/>
        </w:rPr>
        <w:t>。</w:t>
      </w:r>
    </w:p>
    <w:p>
      <w:pPr>
        <w:pStyle w:val="16"/>
        <w:tabs>
          <w:tab w:val="left" w:pos="0"/>
        </w:tabs>
        <w:spacing w:line="560" w:lineRule="exact"/>
        <w:ind w:firstLine="640"/>
        <w:rPr>
          <w:rFonts w:hint="default" w:ascii="仿宋_GB2312" w:hAnsi="仿宋" w:eastAsia="仿宋_GB2312" w:cs="Times New Roman"/>
          <w:color w:val="000000"/>
          <w:sz w:val="32"/>
          <w:szCs w:val="32"/>
          <w:highlight w:val="none"/>
          <w:lang w:val="en-US" w:eastAsia="zh-CN"/>
        </w:rPr>
      </w:pPr>
      <w:r>
        <w:rPr>
          <w:rFonts w:hint="eastAsia" w:ascii="仿宋_GB2312" w:hAnsi="仿宋" w:eastAsia="仿宋_GB2312" w:cs="Times New Roman"/>
          <w:color w:val="000000"/>
          <w:sz w:val="32"/>
          <w:szCs w:val="32"/>
          <w:highlight w:val="none"/>
          <w:lang w:val="en-US" w:eastAsia="zh-CN"/>
        </w:rPr>
        <w:t>6、申报本项目</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的电竞俱乐部，均须经南山区文化广电旅游体育局备案。</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（二）不予资助情形：</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1、被依法依规纳入严重失信主体名单或失信惩戒措施清单的；</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、提出资助申请后，申报主体注册地或在地统计关系发生变化，不再符合申报条件的。</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四、申报类别</w:t>
      </w:r>
    </w:p>
    <w:p>
      <w:pPr>
        <w:pStyle w:val="16"/>
        <w:tabs>
          <w:tab w:val="left" w:pos="0"/>
        </w:tabs>
        <w:spacing w:line="560" w:lineRule="exact"/>
        <w:ind w:firstLine="640"/>
        <w:rPr>
          <w:rFonts w:ascii="仿宋" w:hAnsi="仿宋" w:eastAsia="仿宋" w:cs="Times New Roman"/>
          <w:color w:val="00B0F0"/>
          <w:sz w:val="32"/>
          <w:szCs w:val="32"/>
          <w:highlight w:val="none"/>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s="仿宋"/>
          <w:b/>
          <w:bCs/>
          <w:color w:val="000000" w:themeColor="text1"/>
          <w:sz w:val="32"/>
          <w:szCs w:val="32"/>
          <w:highlight w:val="none"/>
          <w14:textFill>
            <w14:solidFill>
              <w14:schemeClr w14:val="tx1"/>
            </w14:solidFill>
          </w14:textFill>
        </w:rPr>
        <w:t>电竞俱乐部落户。</w:t>
      </w:r>
      <w:r>
        <w:rPr>
          <w:rFonts w:hint="eastAsia" w:ascii="仿宋_GB2312" w:hAnsi="仿宋" w:eastAsia="仿宋_GB2312" w:cs="仿宋"/>
          <w:color w:val="000000" w:themeColor="text1"/>
          <w:sz w:val="32"/>
          <w:szCs w:val="32"/>
          <w:highlight w:val="none"/>
          <w14:textFill>
            <w14:solidFill>
              <w14:schemeClr w14:val="tx1"/>
            </w14:solidFill>
          </w14:textFill>
        </w:rPr>
        <w:t>支持国际性/全国顶级职业杯赛/联赛联盟俱乐部的主场落户，给予最高不超过500万元的一次性补贴。</w:t>
      </w:r>
    </w:p>
    <w:p>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6"/>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1</w:t>
      </w:r>
      <w:r>
        <w:rPr>
          <w:rFonts w:hint="eastAsia" w:ascii="仿宋_GB2312" w:hAnsi="仿宋" w:eastAsia="仿宋_GB2312" w:cs="Times New Roman"/>
          <w:color w:val="000000"/>
          <w:sz w:val="32"/>
          <w:szCs w:val="32"/>
          <w:highlight w:val="none"/>
        </w:rPr>
        <w:t>）</w:t>
      </w:r>
      <w:r>
        <w:rPr>
          <w:rFonts w:hint="eastAsia" w:ascii="仿宋_GB2312" w:hAnsi="仿宋" w:eastAsia="仿宋_GB2312" w:cs="Times New Roman"/>
          <w:color w:val="000000"/>
          <w:sz w:val="32"/>
          <w:szCs w:val="32"/>
          <w:highlight w:val="none"/>
          <w:lang w:val="en-US" w:eastAsia="zh-CN"/>
        </w:rPr>
        <w:t>申请对象须为近三年内落户的电竞俱乐部。</w:t>
      </w:r>
    </w:p>
    <w:p>
      <w:pPr>
        <w:pStyle w:val="16"/>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2</w:t>
      </w:r>
      <w:r>
        <w:rPr>
          <w:rFonts w:hint="eastAsia" w:ascii="仿宋_GB2312" w:hAnsi="仿宋" w:eastAsia="仿宋_GB2312" w:cs="Times New Roman"/>
          <w:color w:val="000000"/>
          <w:sz w:val="32"/>
          <w:szCs w:val="32"/>
          <w:highlight w:val="none"/>
        </w:rPr>
        <w:t>）电竞俱乐部落户补贴分三档：</w:t>
      </w:r>
    </w:p>
    <w:p>
      <w:pPr>
        <w:pStyle w:val="16"/>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（1）拥有官方联盟顶级联赛固定席位，且在南山设立主场的电竞俱乐部，给予500万元的一次性补贴。</w:t>
      </w:r>
    </w:p>
    <w:p>
      <w:pPr>
        <w:pStyle w:val="16"/>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（2）拥有官方联盟顶级联赛固定席位，未在南山设立主场的；参与官方联盟顶级联赛但未取得固定席位或次级联赛</w:t>
      </w:r>
      <w:r>
        <w:rPr>
          <w:rFonts w:hint="eastAsia" w:ascii="仿宋_GB2312" w:hAnsi="仿宋" w:eastAsia="仿宋_GB2312" w:cs="Times New Roman"/>
          <w:color w:val="000000"/>
          <w:sz w:val="32"/>
          <w:szCs w:val="32"/>
          <w:highlight w:val="none"/>
          <w:lang w:val="en-US" w:eastAsia="zh-CN"/>
        </w:rPr>
        <w:t>前三名</w:t>
      </w:r>
      <w:r>
        <w:rPr>
          <w:rFonts w:hint="eastAsia" w:ascii="仿宋_GB2312" w:hAnsi="仿宋" w:eastAsia="仿宋_GB2312" w:cs="Times New Roman"/>
          <w:color w:val="000000"/>
          <w:sz w:val="32"/>
          <w:szCs w:val="32"/>
          <w:highlight w:val="none"/>
        </w:rPr>
        <w:t>，且在南山设立主场的电竞俱乐部，给予300万元的一次性补贴。</w:t>
      </w:r>
    </w:p>
    <w:p>
      <w:pPr>
        <w:pStyle w:val="16"/>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（3）参与官方联盟顶级联赛但未取得固定席位或次级联赛</w:t>
      </w:r>
      <w:r>
        <w:rPr>
          <w:rFonts w:hint="eastAsia" w:ascii="仿宋_GB2312" w:hAnsi="仿宋" w:eastAsia="仿宋_GB2312" w:cs="Times New Roman"/>
          <w:color w:val="000000"/>
          <w:sz w:val="32"/>
          <w:szCs w:val="32"/>
          <w:highlight w:val="none"/>
          <w:lang w:val="en-US" w:eastAsia="zh-CN"/>
        </w:rPr>
        <w:t>前三名</w:t>
      </w:r>
      <w:r>
        <w:rPr>
          <w:rFonts w:hint="eastAsia" w:ascii="仿宋_GB2312" w:hAnsi="仿宋" w:eastAsia="仿宋_GB2312" w:cs="Times New Roman"/>
          <w:color w:val="000000"/>
          <w:sz w:val="32"/>
          <w:szCs w:val="32"/>
          <w:highlight w:val="none"/>
        </w:rPr>
        <w:t>，未在南山设立主场的，给予200万元的一次性补贴。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rPr>
        <w:t>）</w:t>
      </w:r>
      <w:r>
        <w:rPr>
          <w:rFonts w:hint="eastAsia" w:ascii="仿宋_GB2312" w:hAnsi="仿宋" w:eastAsia="仿宋_GB2312" w:cs="Times New Roman"/>
          <w:color w:val="000000"/>
          <w:sz w:val="32"/>
          <w:szCs w:val="32"/>
          <w:highlight w:val="none"/>
          <w:lang w:val="en-US" w:eastAsia="zh-CN"/>
        </w:rPr>
        <w:t>俱乐部资格</w:t>
      </w:r>
      <w:r>
        <w:rPr>
          <w:rFonts w:hint="eastAsia" w:ascii="仿宋_GB2312" w:hAnsi="仿宋_GB2312" w:eastAsia="仿宋_GB2312" w:cs="仿宋_GB2312"/>
          <w:color w:val="000000"/>
          <w:sz w:val="32"/>
          <w:szCs w:val="32"/>
          <w:highlight w:val="none"/>
          <w:lang w:val="en-US" w:eastAsia="zh-CN"/>
        </w:rPr>
        <w:t>获得升格认定的，可申请差额部分奖励。</w:t>
      </w:r>
    </w:p>
    <w:p>
      <w:pPr>
        <w:pStyle w:val="16"/>
        <w:tabs>
          <w:tab w:val="left" w:pos="0"/>
        </w:tabs>
        <w:spacing w:line="560" w:lineRule="exact"/>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4</w:t>
      </w:r>
      <w:r>
        <w:rPr>
          <w:rFonts w:hint="eastAsia" w:ascii="仿宋_GB2312" w:hAnsi="仿宋" w:eastAsia="仿宋_GB2312" w:cs="Times New Roman"/>
          <w:color w:val="000000"/>
          <w:sz w:val="32"/>
          <w:szCs w:val="32"/>
          <w:highlight w:val="none"/>
        </w:rPr>
        <w:t>）</w:t>
      </w:r>
      <w:r>
        <w:rPr>
          <w:rFonts w:hint="eastAsia" w:ascii="仿宋_GB2312" w:hAnsi="仿宋" w:eastAsia="仿宋_GB2312" w:cs="Times New Roman"/>
          <w:color w:val="000000"/>
          <w:sz w:val="32"/>
          <w:szCs w:val="32"/>
          <w:highlight w:val="none"/>
          <w:lang w:val="en-US" w:eastAsia="zh-CN"/>
        </w:rPr>
        <w:t>原则上针对一个法人主体，只扶持一个电竞俱乐部。</w:t>
      </w:r>
    </w:p>
    <w:p>
      <w:pPr>
        <w:widowControl/>
        <w:spacing w:line="560" w:lineRule="exact"/>
        <w:ind w:firstLine="643"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s="仿宋"/>
          <w:b/>
          <w:bCs/>
          <w:color w:val="000000" w:themeColor="text1"/>
          <w:sz w:val="32"/>
          <w:szCs w:val="32"/>
          <w:highlight w:val="none"/>
          <w14:textFill>
            <w14:solidFill>
              <w14:schemeClr w14:val="tx1"/>
            </w14:solidFill>
          </w14:textFill>
        </w:rPr>
        <w:t>电竞俱乐部运营。</w:t>
      </w:r>
      <w:r>
        <w:rPr>
          <w:rFonts w:hint="eastAsia" w:ascii="仿宋_GB2312" w:hAnsi="仿宋_GB2312" w:eastAsia="仿宋_GB2312" w:cs="仿宋_GB2312"/>
          <w:color w:val="000000" w:themeColor="text1"/>
          <w:sz w:val="32"/>
          <w:szCs w:val="32"/>
          <w:highlight w:val="none"/>
          <w14:textFill>
            <w14:solidFill>
              <w14:schemeClr w14:val="tx1"/>
            </w14:solidFill>
          </w14:textFill>
        </w:rPr>
        <w:t>对落户南山的国内外顶级电竞俱乐部，按照实际培训和运动员身心康复费、商业保险费给予50%的补贴，每个俱乐部每年不超过50万元。</w:t>
      </w:r>
    </w:p>
    <w:p>
      <w:pPr>
        <w:pStyle w:val="16"/>
        <w:tabs>
          <w:tab w:val="left" w:pos="0"/>
        </w:tabs>
        <w:spacing w:line="560" w:lineRule="exact"/>
        <w:ind w:firstLine="64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6"/>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1）国内外顶级电竞俱乐部的标准：</w:t>
      </w:r>
      <w:r>
        <w:rPr>
          <w:rFonts w:hint="eastAsia" w:ascii="仿宋_GB2312" w:hAnsi="仿宋" w:eastAsia="仿宋_GB2312" w:cs="Times New Roman"/>
          <w:color w:val="000000"/>
          <w:sz w:val="32"/>
          <w:szCs w:val="32"/>
          <w:highlight w:val="none"/>
          <w:lang w:val="en-US" w:eastAsia="zh-CN"/>
        </w:rPr>
        <w:t>参加</w:t>
      </w:r>
      <w:r>
        <w:rPr>
          <w:rFonts w:hint="eastAsia" w:ascii="仿宋_GB2312" w:hAnsi="仿宋" w:eastAsia="仿宋_GB2312" w:cs="仿宋"/>
          <w:color w:val="000000" w:themeColor="text1"/>
          <w:sz w:val="32"/>
          <w:szCs w:val="32"/>
          <w:highlight w:val="none"/>
          <w14:textFill>
            <w14:solidFill>
              <w14:schemeClr w14:val="tx1"/>
            </w14:solidFill>
          </w14:textFill>
        </w:rPr>
        <w:t>国际性/全国性顶级职业电竞赛事</w:t>
      </w:r>
      <w:r>
        <w:rPr>
          <w:rFonts w:hint="eastAsia" w:ascii="仿宋_GB2312" w:hAnsi="仿宋" w:eastAsia="仿宋_GB2312" w:cs="Times New Roman"/>
          <w:color w:val="000000"/>
          <w:sz w:val="32"/>
          <w:szCs w:val="32"/>
          <w:highlight w:val="none"/>
        </w:rPr>
        <w:t>的联盟俱乐部;</w:t>
      </w:r>
      <w:r>
        <w:rPr>
          <w:rFonts w:hint="eastAsia" w:ascii="仿宋_GB2312" w:hAnsi="仿宋" w:eastAsia="仿宋_GB2312" w:cs="Times New Roman"/>
          <w:color w:val="000000"/>
          <w:sz w:val="32"/>
          <w:szCs w:val="32"/>
          <w:highlight w:val="none"/>
          <w:lang w:val="en-US" w:eastAsia="zh-CN"/>
        </w:rPr>
        <w:t>近</w:t>
      </w:r>
      <w:r>
        <w:rPr>
          <w:rFonts w:hint="eastAsia" w:ascii="仿宋_GB2312" w:hAnsi="仿宋" w:eastAsia="仿宋_GB2312" w:cs="Times New Roman"/>
          <w:color w:val="000000"/>
          <w:sz w:val="32"/>
          <w:szCs w:val="32"/>
          <w:highlight w:val="none"/>
        </w:rPr>
        <w:t>三年</w:t>
      </w:r>
      <w:r>
        <w:rPr>
          <w:rFonts w:hint="eastAsia" w:ascii="仿宋_GB2312" w:hAnsi="仿宋" w:eastAsia="仿宋_GB2312" w:cs="Times New Roman"/>
          <w:color w:val="000000"/>
          <w:sz w:val="32"/>
          <w:szCs w:val="32"/>
          <w:highlight w:val="none"/>
          <w:lang w:val="en-US" w:eastAsia="zh-CN"/>
        </w:rPr>
        <w:t>内</w:t>
      </w:r>
      <w:r>
        <w:rPr>
          <w:rFonts w:hint="eastAsia" w:ascii="仿宋_GB2312" w:hAnsi="仿宋" w:eastAsia="仿宋_GB2312" w:cs="Times New Roman"/>
          <w:color w:val="000000"/>
          <w:sz w:val="32"/>
          <w:szCs w:val="32"/>
          <w:highlight w:val="none"/>
        </w:rPr>
        <w:t>获得过全国职业联赛前三名。</w:t>
      </w:r>
    </w:p>
    <w:p>
      <w:pPr>
        <w:pStyle w:val="16"/>
        <w:tabs>
          <w:tab w:val="left" w:pos="0"/>
        </w:tabs>
        <w:spacing w:line="560" w:lineRule="exact"/>
        <w:ind w:firstLine="64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 w:eastAsia="仿宋_GB2312" w:cs="Times New Roman"/>
          <w:color w:val="auto"/>
          <w:sz w:val="32"/>
          <w:szCs w:val="32"/>
          <w:highlight w:val="none"/>
          <w:lang w:val="en-US" w:eastAsia="zh-CN"/>
        </w:rPr>
        <w:t>2</w:t>
      </w:r>
      <w:r>
        <w:rPr>
          <w:rFonts w:hint="eastAsia" w:ascii="仿宋_GB2312" w:hAnsi="仿宋" w:eastAsia="仿宋_GB2312" w:cs="Times New Roman"/>
          <w:color w:val="auto"/>
          <w:sz w:val="32"/>
          <w:szCs w:val="32"/>
          <w:highlight w:val="none"/>
        </w:rPr>
        <w:t>）</w:t>
      </w:r>
      <w:r>
        <w:rPr>
          <w:rFonts w:hint="eastAsia" w:ascii="仿宋_GB2312" w:hAnsi="仿宋" w:eastAsia="仿宋_GB2312" w:cs="Times New Roman"/>
          <w:color w:val="auto"/>
          <w:sz w:val="32"/>
          <w:szCs w:val="32"/>
          <w:highlight w:val="none"/>
          <w:lang w:val="en-US" w:eastAsia="zh-CN"/>
        </w:rPr>
        <w:t>补贴范围为上两年度</w:t>
      </w:r>
      <w:r>
        <w:rPr>
          <w:rFonts w:hint="eastAsia" w:ascii="仿宋_GB2312" w:hAnsi="仿宋_GB2312" w:eastAsia="仿宋_GB2312" w:cs="仿宋_GB2312"/>
          <w:color w:val="auto"/>
          <w:sz w:val="32"/>
          <w:szCs w:val="32"/>
          <w:highlight w:val="none"/>
        </w:rPr>
        <w:t>培训费、身心康复费、商业保险费</w:t>
      </w:r>
      <w:r>
        <w:rPr>
          <w:rFonts w:hint="eastAsia" w:ascii="仿宋_GB2312" w:hAnsi="仿宋_GB2312" w:eastAsia="仿宋_GB2312" w:cs="仿宋_GB2312"/>
          <w:color w:val="auto"/>
          <w:sz w:val="32"/>
          <w:szCs w:val="32"/>
          <w:highlight w:val="none"/>
          <w:lang w:val="en-US" w:eastAsia="zh-CN"/>
        </w:rPr>
        <w:t>花费。</w:t>
      </w:r>
    </w:p>
    <w:p>
      <w:pPr>
        <w:pStyle w:val="16"/>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按照培训费、身心康复费、商业保险费的总额给予50%的补贴，每个俱乐部每年不超过50万元。</w:t>
      </w:r>
      <w:r>
        <w:rPr>
          <w:rFonts w:hint="eastAsia" w:ascii="仿宋_GB2312" w:hAnsi="仿宋" w:eastAsia="仿宋_GB2312" w:cs="Times New Roman"/>
          <w:color w:val="000000"/>
          <w:sz w:val="32"/>
          <w:szCs w:val="32"/>
          <w:highlight w:val="none"/>
        </w:rPr>
        <w:t>电竞培训、身心康复、商业保险机构须为南山企业。</w:t>
      </w:r>
    </w:p>
    <w:p>
      <w:pPr>
        <w:widowControl/>
        <w:spacing w:line="560" w:lineRule="exact"/>
        <w:ind w:firstLine="643" w:firstLineChars="200"/>
        <w:rPr>
          <w:rFonts w:hint="eastAsia"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s="仿宋"/>
          <w:b/>
          <w:bCs/>
          <w:color w:val="000000" w:themeColor="text1"/>
          <w:sz w:val="32"/>
          <w:szCs w:val="32"/>
          <w:highlight w:val="none"/>
          <w14:textFill>
            <w14:solidFill>
              <w14:schemeClr w14:val="tx1"/>
            </w14:solidFill>
          </w14:textFill>
        </w:rPr>
        <w:t>电竞俱乐部参赛获奖。</w:t>
      </w:r>
      <w:r>
        <w:rPr>
          <w:rFonts w:hint="eastAsia" w:ascii="仿宋_GB2312" w:hAnsi="仿宋" w:eastAsia="仿宋_GB2312" w:cs="仿宋"/>
          <w:color w:val="000000" w:themeColor="text1"/>
          <w:sz w:val="32"/>
          <w:szCs w:val="32"/>
          <w:highlight w:val="none"/>
          <w14:textFill>
            <w14:solidFill>
              <w14:schemeClr w14:val="tx1"/>
            </w14:solidFill>
          </w14:textFill>
        </w:rPr>
        <w:t>对电竞俱乐部或俱乐部成员参加国际性/全国顶级职业杯赛/联赛，或政府举办的高水平、综合性运动会电竞赛事，按所获比赛名次给予俱乐部不超过100万元奖励，每个俱乐部每年不超过200万元。</w:t>
      </w:r>
    </w:p>
    <w:p>
      <w:pPr>
        <w:pStyle w:val="16"/>
        <w:tabs>
          <w:tab w:val="left" w:pos="0"/>
        </w:tabs>
        <w:spacing w:line="560" w:lineRule="exact"/>
        <w:ind w:firstLine="64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6"/>
        <w:tabs>
          <w:tab w:val="left" w:pos="0"/>
        </w:tabs>
        <w:spacing w:line="560" w:lineRule="exact"/>
        <w:ind w:firstLine="640"/>
        <w:rPr>
          <w:rFonts w:hint="eastAsia" w:ascii="仿宋_GB2312" w:hAnsi="仿宋" w:eastAsia="仿宋_GB2312" w:cs="Times New Roman"/>
          <w:color w:val="000000"/>
          <w:sz w:val="32"/>
          <w:szCs w:val="32"/>
          <w:highlight w:val="none"/>
          <w:lang w:eastAsia="zh-CN"/>
        </w:rPr>
      </w:pPr>
      <w:r>
        <w:rPr>
          <w:rFonts w:hint="eastAsia" w:ascii="仿宋_GB2312" w:hAnsi="仿宋" w:eastAsia="仿宋_GB2312" w:cs="Times New Roman"/>
          <w:color w:val="000000"/>
          <w:sz w:val="32"/>
          <w:szCs w:val="32"/>
          <w:highlight w:val="none"/>
        </w:rPr>
        <w:t>1）</w:t>
      </w:r>
      <w:r>
        <w:rPr>
          <w:rFonts w:hint="eastAsia" w:ascii="仿宋_GB2312" w:hAnsi="仿宋" w:eastAsia="仿宋_GB2312" w:cs="Times New Roman"/>
          <w:color w:val="000000"/>
          <w:sz w:val="32"/>
          <w:szCs w:val="32"/>
          <w:highlight w:val="none"/>
          <w:lang w:val="en-US" w:eastAsia="zh-CN"/>
        </w:rPr>
        <w:t>经南山区文化广电旅游体育局备案的电竞俱乐部，上两年度内</w:t>
      </w:r>
      <w:r>
        <w:rPr>
          <w:rFonts w:hint="eastAsia" w:ascii="仿宋_GB2312" w:hAnsi="仿宋" w:eastAsia="仿宋_GB2312" w:cs="Times New Roman"/>
          <w:color w:val="000000"/>
          <w:sz w:val="32"/>
          <w:szCs w:val="32"/>
          <w:highlight w:val="none"/>
        </w:rPr>
        <w:t>参加国际性职业赛事、全国职业赛事获得冠、亚、季军</w:t>
      </w:r>
      <w:r>
        <w:rPr>
          <w:rFonts w:hint="eastAsia" w:ascii="仿宋_GB2312" w:hAnsi="仿宋" w:eastAsia="仿宋_GB2312" w:cs="Times New Roman"/>
          <w:color w:val="000000"/>
          <w:sz w:val="32"/>
          <w:szCs w:val="32"/>
          <w:highlight w:val="none"/>
          <w:lang w:val="en-US" w:eastAsia="zh-CN"/>
        </w:rPr>
        <w:t>的</w:t>
      </w:r>
      <w:r>
        <w:rPr>
          <w:rFonts w:hint="eastAsia" w:ascii="仿宋_GB2312" w:hAnsi="仿宋" w:eastAsia="仿宋_GB2312" w:cs="Times New Roman"/>
          <w:color w:val="000000"/>
          <w:sz w:val="32"/>
          <w:szCs w:val="32"/>
          <w:highlight w:val="none"/>
        </w:rPr>
        <w:t>，分别给予50万元、30万元、20万元奖励</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参赛获奖时间须在备案后</w:t>
      </w:r>
      <w:r>
        <w:rPr>
          <w:rFonts w:hint="eastAsia" w:ascii="仿宋_GB2312" w:hAnsi="仿宋" w:eastAsia="仿宋_GB2312" w:cs="Times New Roman"/>
          <w:color w:val="000000"/>
          <w:sz w:val="32"/>
          <w:szCs w:val="32"/>
          <w:highlight w:val="none"/>
          <w:lang w:eastAsia="zh-CN"/>
        </w:rPr>
        <w:t>）。</w:t>
      </w:r>
    </w:p>
    <w:p>
      <w:pPr>
        <w:pStyle w:val="16"/>
        <w:tabs>
          <w:tab w:val="left" w:pos="0"/>
        </w:tabs>
        <w:spacing w:line="560" w:lineRule="exact"/>
        <w:ind w:firstLine="640"/>
        <w:rPr>
          <w:rFonts w:hint="eastAsia" w:ascii="仿宋_GB2312" w:hAnsi="仿宋_GB2312" w:eastAsia="仿宋_GB2312" w:cs="仿宋_GB2312"/>
          <w:color w:val="000000"/>
          <w:sz w:val="48"/>
          <w:szCs w:val="48"/>
          <w:highlight w:val="none"/>
        </w:rPr>
      </w:pPr>
      <w:r>
        <w:rPr>
          <w:rFonts w:hint="eastAsia" w:ascii="仿宋_GB2312" w:hAnsi="仿宋" w:eastAsia="仿宋_GB2312" w:cs="Times New Roman"/>
          <w:color w:val="000000"/>
          <w:sz w:val="32"/>
          <w:szCs w:val="32"/>
          <w:highlight w:val="none"/>
        </w:rPr>
        <w:t>2）</w:t>
      </w:r>
      <w:r>
        <w:rPr>
          <w:rFonts w:hint="eastAsia" w:ascii="仿宋_GB2312" w:hAnsi="仿宋_GB2312" w:eastAsia="仿宋_GB2312" w:cs="仿宋_GB2312"/>
          <w:color w:val="000000"/>
          <w:sz w:val="32"/>
          <w:szCs w:val="48"/>
          <w:highlight w:val="none"/>
        </w:rPr>
        <w:t>电竞俱乐部的运动员参加亚运会电竞赛事，获得冠、亚、季军，分别给予运动员所在的电竞俱乐部100万元、80万元、50万元奖励。</w:t>
      </w:r>
    </w:p>
    <w:p>
      <w:pPr>
        <w:widowControl/>
        <w:adjustRightInd/>
        <w:snapToGrid/>
        <w:spacing w:line="560" w:lineRule="exact"/>
        <w:ind w:firstLine="640" w:firstLineChars="200"/>
        <w:rPr>
          <w:rFonts w:hint="eastAsia" w:ascii="仿宋_GB2312" w:hAnsi="仿宋" w:eastAsia="仿宋_GB2312"/>
          <w:color w:val="000000"/>
          <w:sz w:val="32"/>
          <w:szCs w:val="32"/>
          <w:highlight w:val="none"/>
          <w:lang w:val="en-US" w:eastAsia="zh-CN"/>
        </w:rPr>
      </w:pP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以上两项奖励合计，</w:t>
      </w:r>
      <w:r>
        <w:rPr>
          <w:rFonts w:hint="eastAsia" w:ascii="仿宋_GB2312" w:hAnsi="仿宋" w:eastAsia="仿宋_GB2312" w:cs="仿宋"/>
          <w:color w:val="000000" w:themeColor="text1"/>
          <w:sz w:val="32"/>
          <w:szCs w:val="32"/>
          <w:highlight w:val="none"/>
          <w14:textFill>
            <w14:solidFill>
              <w14:schemeClr w14:val="tx1"/>
            </w14:solidFill>
          </w14:textFill>
        </w:rPr>
        <w:t>每个俱乐部每年不超过200万元。</w:t>
      </w:r>
    </w:p>
    <w:p>
      <w:pPr>
        <w:widowControl/>
        <w:adjustRightInd w:val="0"/>
        <w:snapToGrid w:val="0"/>
        <w:spacing w:line="560" w:lineRule="exact"/>
        <w:ind w:firstLine="640" w:firstLineChars="200"/>
        <w:rPr>
          <w:rFonts w:hint="eastAsia"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五、申报及审批流程</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申报主体登陆“i南山企业服务综合平台”（https://www.inanshan.org.cn/），网上提交项目申报材料；</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 xml:space="preserve">区企业发展服务中心受理申请，对申报材料进行形式性审核，区文化广电旅游体育局复审项目申报材料； </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区文化广电旅游体育局拟定资助计划；</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区统计局对申报主体在地统计开展情况进行核查，区企业发展服务中心组织对申报主体的注册情况、不良信用记录等情况进行核查；</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区企业发展服务中心将拟资助项目向社会公示5个工作日，对公示期满，无有效投诉的项目资助计划，再提交领导小组会议进行审议；</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经审议后，由区文化广电旅游体育局直接行文下达资金计划；</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hAnsi="Times New Roman" w:cs="Times New Roman"/>
          <w:color w:val="000000" w:themeColor="text1"/>
          <w:highlight w:val="none"/>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7.</w:t>
      </w:r>
      <w:r>
        <w:rPr>
          <w:rFonts w:hint="eastAsia" w:hAnsi="Times New Roman" w:cs="Times New Roman"/>
          <w:color w:val="000000" w:themeColor="text1"/>
          <w:highlight w:val="none"/>
          <w:lang w:val="en-US" w:eastAsia="zh-CN"/>
          <w14:textFill>
            <w14:solidFill>
              <w14:schemeClr w14:val="tx1"/>
            </w14:solidFill>
          </w14:textFill>
        </w:rPr>
        <w:t>区财政部门及时安排资金，区文化广电旅游体育局办理资金拨付手续。</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六、所需材料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①申请类别为</w:t>
      </w:r>
      <w:r>
        <w:rPr>
          <w:rFonts w:hint="eastAsia" w:ascii="仿宋_GB2312" w:hAnsi="仿宋" w:eastAsia="仿宋_GB2312" w:cs="仿宋"/>
          <w:color w:val="000000" w:themeColor="text1"/>
          <w:sz w:val="32"/>
          <w:szCs w:val="32"/>
          <w:highlight w:val="none"/>
          <w14:textFill>
            <w14:solidFill>
              <w14:schemeClr w14:val="tx1"/>
            </w14:solidFill>
          </w14:textFill>
        </w:rPr>
        <w:t>电竞俱乐部落户</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支持运营电竞俱乐部项目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10"/>
        <w:tblW w:w="9058"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3"/>
        <w:gridCol w:w="4428"/>
        <w:gridCol w:w="1692"/>
        <w:gridCol w:w="221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jc w:val="center"/>
        </w:trPr>
        <w:tc>
          <w:tcPr>
            <w:tcW w:w="723"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序号</w:t>
            </w:r>
          </w:p>
        </w:tc>
        <w:tc>
          <w:tcPr>
            <w:tcW w:w="4428"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附件名称</w:t>
            </w:r>
          </w:p>
        </w:tc>
        <w:tc>
          <w:tcPr>
            <w:tcW w:w="169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是否</w:t>
            </w:r>
          </w:p>
          <w:p>
            <w:pPr>
              <w:spacing w:line="276" w:lineRule="auto"/>
              <w:jc w:val="center"/>
              <w:rPr>
                <w:rFonts w:hint="eastAsia" w:ascii="楷体" w:hAnsi="楷体" w:eastAsia="楷体" w:cs="楷体"/>
                <w:b/>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必备材料</w:t>
            </w:r>
          </w:p>
        </w:tc>
        <w:tc>
          <w:tcPr>
            <w:tcW w:w="221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723"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bookmarkStart w:id="0" w:name="OLE_LINK85" w:colFirst="2" w:colLast="2"/>
            <w:bookmarkStart w:id="1" w:name="OLE_LINK86" w:colFirst="4" w:colLast="4"/>
            <w:r>
              <w:rPr>
                <w:rFonts w:hint="eastAsia" w:ascii="楷体" w:hAnsi="楷体" w:eastAsia="楷体" w:cs="楷体"/>
                <w:color w:val="000000" w:themeColor="text1"/>
                <w:sz w:val="24"/>
                <w:szCs w:val="24"/>
                <w:highlight w:val="none"/>
                <w14:textFill>
                  <w14:solidFill>
                    <w14:schemeClr w14:val="tx1"/>
                  </w14:solidFill>
                </w14:textFill>
              </w:rPr>
              <w:t>1</w:t>
            </w:r>
          </w:p>
        </w:tc>
        <w:tc>
          <w:tcPr>
            <w:tcW w:w="4428" w:type="dxa"/>
            <w:vAlign w:val="center"/>
          </w:tcPr>
          <w:p>
            <w:pPr>
              <w:spacing w:line="240" w:lineRule="atLeast"/>
              <w:ind w:left="-5" w:leftChars="0" w:right="42" w:rightChars="20"/>
              <w:jc w:val="center"/>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69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215" w:type="dxa"/>
            <w:vAlign w:val="center"/>
          </w:tcPr>
          <w:p>
            <w:pPr>
              <w:spacing w:line="276" w:lineRule="auto"/>
              <w:jc w:val="left"/>
              <w:rPr>
                <w:rFonts w:hint="eastAsia" w:ascii="楷体" w:hAnsi="楷体" w:eastAsia="楷体" w:cs="楷体"/>
                <w:bCs/>
                <w:color w:val="000000" w:themeColor="text1"/>
                <w:sz w:val="24"/>
                <w:szCs w:val="24"/>
                <w:highlight w:val="none"/>
                <w:lang w:eastAsia="zh-CN"/>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723"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2</w:t>
            </w:r>
          </w:p>
        </w:tc>
        <w:tc>
          <w:tcPr>
            <w:tcW w:w="4428"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69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215"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3"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3</w:t>
            </w:r>
          </w:p>
        </w:tc>
        <w:tc>
          <w:tcPr>
            <w:tcW w:w="4428"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highlight w:val="none"/>
              </w:rPr>
              <w:t>税务部门提供的单位上一年度的纳税证明</w:t>
            </w:r>
          </w:p>
        </w:tc>
        <w:tc>
          <w:tcPr>
            <w:tcW w:w="1692" w:type="dxa"/>
            <w:vAlign w:val="center"/>
          </w:tcPr>
          <w:p>
            <w:pPr>
              <w:spacing w:line="240" w:lineRule="atLeast"/>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215"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szCs w:val="24"/>
                <w:highlight w:val="none"/>
                <w:lang w:eastAsia="zh-CN"/>
              </w:rPr>
              <w:t>上传税务系统下载带有税务机关红色印章的电子版</w:t>
            </w:r>
          </w:p>
        </w:tc>
      </w:tr>
      <w:bookmarkEnd w:id="0"/>
      <w:bookmarkEnd w:id="1"/>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723" w:type="dxa"/>
            <w:vAlign w:val="center"/>
          </w:tcPr>
          <w:p>
            <w:pPr>
              <w:spacing w:line="240" w:lineRule="atLeast"/>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4</w:t>
            </w:r>
          </w:p>
        </w:tc>
        <w:tc>
          <w:tcPr>
            <w:tcW w:w="4428" w:type="dxa"/>
            <w:vAlign w:val="center"/>
          </w:tcPr>
          <w:p>
            <w:pPr>
              <w:spacing w:line="240" w:lineRule="atLeast"/>
              <w:ind w:left="-5" w:right="42" w:rightChars="20"/>
              <w:jc w:val="center"/>
              <w:rPr>
                <w:rFonts w:hint="eastAsia" w:ascii="楷体" w:hAnsi="楷体" w:eastAsia="楷体" w:cs="楷体"/>
                <w:color w:val="000000"/>
                <w:sz w:val="24"/>
                <w:szCs w:val="24"/>
                <w:highlight w:val="none"/>
                <w:lang w:val="en-US" w:eastAsia="zh-CN"/>
              </w:rPr>
            </w:pPr>
            <w:r>
              <w:rPr>
                <w:rFonts w:hint="eastAsia" w:ascii="楷体" w:hAnsi="楷体" w:eastAsia="楷体" w:cs="楷体"/>
                <w:sz w:val="24"/>
                <w:szCs w:val="24"/>
                <w:highlight w:val="none"/>
                <w:lang w:val="en-US" w:eastAsia="zh-CN"/>
              </w:rPr>
              <w:t>电竞</w:t>
            </w:r>
            <w:r>
              <w:rPr>
                <w:rFonts w:hint="eastAsia" w:ascii="楷体" w:hAnsi="楷体" w:eastAsia="楷体" w:cs="楷体"/>
                <w:sz w:val="24"/>
                <w:szCs w:val="24"/>
                <w:highlight w:val="none"/>
              </w:rPr>
              <w:t>俱乐部</w:t>
            </w:r>
            <w:r>
              <w:rPr>
                <w:rFonts w:hint="eastAsia" w:ascii="楷体" w:hAnsi="楷体" w:eastAsia="楷体" w:cs="楷体"/>
                <w:sz w:val="24"/>
                <w:szCs w:val="24"/>
                <w:highlight w:val="none"/>
                <w:lang w:val="en-US" w:eastAsia="zh-CN"/>
              </w:rPr>
              <w:t>的房屋</w:t>
            </w:r>
            <w:r>
              <w:rPr>
                <w:rFonts w:hint="eastAsia" w:ascii="楷体" w:hAnsi="楷体" w:eastAsia="楷体" w:cs="楷体"/>
                <w:sz w:val="24"/>
                <w:szCs w:val="24"/>
                <w:highlight w:val="none"/>
              </w:rPr>
              <w:t>租</w:t>
            </w:r>
            <w:r>
              <w:rPr>
                <w:rFonts w:hint="eastAsia" w:ascii="楷体" w:hAnsi="楷体" w:eastAsia="楷体" w:cs="楷体"/>
                <w:sz w:val="24"/>
                <w:szCs w:val="24"/>
                <w:highlight w:val="none"/>
                <w:lang w:val="en-US" w:eastAsia="zh-CN"/>
              </w:rPr>
              <w:t>购</w:t>
            </w:r>
            <w:r>
              <w:rPr>
                <w:rFonts w:hint="eastAsia" w:ascii="楷体" w:hAnsi="楷体" w:eastAsia="楷体" w:cs="楷体"/>
                <w:sz w:val="24"/>
                <w:szCs w:val="24"/>
                <w:highlight w:val="none"/>
              </w:rPr>
              <w:t>合同</w:t>
            </w:r>
          </w:p>
        </w:tc>
        <w:tc>
          <w:tcPr>
            <w:tcW w:w="1692" w:type="dxa"/>
            <w:vAlign w:val="center"/>
          </w:tcPr>
          <w:p>
            <w:pPr>
              <w:spacing w:line="276" w:lineRule="auto"/>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215"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723" w:type="dxa"/>
            <w:vAlign w:val="center"/>
          </w:tcPr>
          <w:p>
            <w:pPr>
              <w:spacing w:line="240" w:lineRule="atLeast"/>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5</w:t>
            </w:r>
          </w:p>
        </w:tc>
        <w:tc>
          <w:tcPr>
            <w:tcW w:w="4428" w:type="dxa"/>
            <w:vAlign w:val="center"/>
          </w:tcPr>
          <w:p>
            <w:pPr>
              <w:spacing w:line="240" w:lineRule="atLeast"/>
              <w:ind w:left="-5" w:right="42" w:rightChars="2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电竞</w:t>
            </w:r>
            <w:r>
              <w:rPr>
                <w:rFonts w:hint="eastAsia" w:ascii="楷体" w:hAnsi="楷体" w:eastAsia="楷体" w:cs="楷体"/>
                <w:sz w:val="24"/>
                <w:szCs w:val="24"/>
                <w:highlight w:val="none"/>
              </w:rPr>
              <w:t>俱乐部</w:t>
            </w:r>
            <w:r>
              <w:rPr>
                <w:rFonts w:hint="eastAsia" w:ascii="楷体" w:hAnsi="楷体" w:eastAsia="楷体" w:cs="楷体"/>
                <w:sz w:val="24"/>
                <w:szCs w:val="24"/>
                <w:highlight w:val="none"/>
                <w:lang w:val="en-US" w:eastAsia="zh-CN"/>
              </w:rPr>
              <w:t>的</w:t>
            </w:r>
            <w:r>
              <w:rPr>
                <w:rFonts w:hint="eastAsia" w:ascii="楷体" w:hAnsi="楷体" w:eastAsia="楷体" w:cs="楷体"/>
                <w:sz w:val="24"/>
                <w:szCs w:val="24"/>
                <w:highlight w:val="none"/>
              </w:rPr>
              <w:t>人员社保证明材料</w:t>
            </w:r>
          </w:p>
        </w:tc>
        <w:tc>
          <w:tcPr>
            <w:tcW w:w="1692" w:type="dxa"/>
            <w:vAlign w:val="center"/>
          </w:tcPr>
          <w:p>
            <w:pPr>
              <w:spacing w:line="276" w:lineRule="auto"/>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215" w:type="dxa"/>
            <w:vMerge w:val="continue"/>
            <w:vAlign w:val="center"/>
          </w:tcPr>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3" w:type="dxa"/>
            <w:vAlign w:val="center"/>
          </w:tcPr>
          <w:p>
            <w:pPr>
              <w:spacing w:line="240" w:lineRule="atLeast"/>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6</w:t>
            </w:r>
          </w:p>
        </w:tc>
        <w:tc>
          <w:tcPr>
            <w:tcW w:w="4428"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电竞俱乐部落户，在南山区文化广电旅游体育局备案的证明材料</w:t>
            </w:r>
          </w:p>
        </w:tc>
        <w:tc>
          <w:tcPr>
            <w:tcW w:w="169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215"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3" w:type="dxa"/>
            <w:vAlign w:val="center"/>
          </w:tcPr>
          <w:p>
            <w:pPr>
              <w:spacing w:line="240" w:lineRule="atLeast"/>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7</w:t>
            </w:r>
          </w:p>
        </w:tc>
        <w:tc>
          <w:tcPr>
            <w:tcW w:w="4428"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参加2022杭州亚运会入选项目官方</w:t>
            </w:r>
            <w:r>
              <w:rPr>
                <w:rFonts w:hint="eastAsia" w:ascii="楷体" w:hAnsi="楷体" w:eastAsia="楷体" w:cs="楷体"/>
                <w:color w:val="000000" w:themeColor="text1"/>
                <w:sz w:val="24"/>
                <w:szCs w:val="24"/>
                <w:highlight w:val="none"/>
                <w:lang w:val="en-US" w:eastAsia="zh-CN"/>
                <w14:textFill>
                  <w14:solidFill>
                    <w14:schemeClr w14:val="tx1"/>
                  </w14:solidFill>
                </w14:textFill>
              </w:rPr>
              <w:t>联盟</w:t>
            </w:r>
            <w:r>
              <w:rPr>
                <w:rFonts w:hint="eastAsia" w:ascii="楷体" w:hAnsi="楷体" w:eastAsia="楷体" w:cs="楷体"/>
                <w:color w:val="000000" w:themeColor="text1"/>
                <w:sz w:val="24"/>
                <w:szCs w:val="24"/>
                <w:highlight w:val="none"/>
                <w14:textFill>
                  <w14:solidFill>
                    <w14:schemeClr w14:val="tx1"/>
                  </w14:solidFill>
                </w14:textFill>
              </w:rPr>
              <w:t>顶级或次级电竞比赛的</w:t>
            </w:r>
            <w:r>
              <w:rPr>
                <w:rFonts w:hint="eastAsia" w:ascii="楷体" w:hAnsi="楷体" w:eastAsia="楷体" w:cs="楷体"/>
                <w:color w:val="000000" w:themeColor="text1"/>
                <w:sz w:val="24"/>
                <w:szCs w:val="24"/>
                <w:highlight w:val="none"/>
                <w:lang w:val="en-US" w:eastAsia="zh-CN"/>
                <w14:textFill>
                  <w14:solidFill>
                    <w14:schemeClr w14:val="tx1"/>
                  </w14:solidFill>
                </w14:textFill>
              </w:rPr>
              <w:t>证明材料</w:t>
            </w:r>
          </w:p>
        </w:tc>
        <w:tc>
          <w:tcPr>
            <w:tcW w:w="169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215"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atLeast"/>
          <w:jc w:val="center"/>
        </w:trPr>
        <w:tc>
          <w:tcPr>
            <w:tcW w:w="723"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8</w:t>
            </w:r>
          </w:p>
        </w:tc>
        <w:tc>
          <w:tcPr>
            <w:tcW w:w="4428"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拥有官方联盟</w:t>
            </w:r>
            <w:r>
              <w:rPr>
                <w:rFonts w:hint="eastAsia" w:ascii="楷体" w:hAnsi="楷体" w:eastAsia="楷体" w:cs="楷体"/>
                <w:color w:val="000000" w:themeColor="text1"/>
                <w:sz w:val="24"/>
                <w:szCs w:val="24"/>
                <w:highlight w:val="none"/>
                <w:lang w:val="en-US" w:eastAsia="zh-CN"/>
                <w14:textFill>
                  <w14:solidFill>
                    <w14:schemeClr w14:val="tx1"/>
                  </w14:solidFill>
                </w14:textFill>
              </w:rPr>
              <w:t>顶级联赛</w:t>
            </w:r>
            <w:r>
              <w:rPr>
                <w:rFonts w:hint="eastAsia" w:ascii="楷体" w:hAnsi="楷体" w:eastAsia="楷体" w:cs="楷体"/>
                <w:color w:val="000000" w:themeColor="text1"/>
                <w:sz w:val="24"/>
                <w:szCs w:val="24"/>
                <w:highlight w:val="none"/>
                <w14:textFill>
                  <w14:solidFill>
                    <w14:schemeClr w14:val="tx1"/>
                  </w14:solidFill>
                </w14:textFill>
              </w:rPr>
              <w:t>固定席位</w:t>
            </w:r>
            <w:r>
              <w:rPr>
                <w:rFonts w:hint="eastAsia" w:ascii="楷体" w:hAnsi="楷体" w:eastAsia="楷体" w:cs="楷体"/>
                <w:color w:val="000000" w:themeColor="text1"/>
                <w:sz w:val="24"/>
                <w:szCs w:val="24"/>
                <w:highlight w:val="none"/>
                <w:lang w:val="en-US" w:eastAsia="zh-CN"/>
                <w14:textFill>
                  <w14:solidFill>
                    <w14:schemeClr w14:val="tx1"/>
                  </w14:solidFill>
                </w14:textFill>
              </w:rPr>
              <w:t>证明材料</w:t>
            </w:r>
          </w:p>
        </w:tc>
        <w:tc>
          <w:tcPr>
            <w:tcW w:w="169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若拥有则为是</w:t>
            </w:r>
          </w:p>
          <w:p>
            <w:pPr>
              <w:pStyle w:val="4"/>
              <w:jc w:val="center"/>
              <w:rPr>
                <w:rFonts w:hint="default"/>
                <w:highlight w:val="none"/>
                <w:lang w:val="en-US" w:eastAsia="zh-CN"/>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其他为否</w:t>
            </w:r>
          </w:p>
        </w:tc>
        <w:tc>
          <w:tcPr>
            <w:tcW w:w="2215"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723"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9</w:t>
            </w:r>
          </w:p>
        </w:tc>
        <w:tc>
          <w:tcPr>
            <w:tcW w:w="4428"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在南山设立主场</w:t>
            </w:r>
            <w:r>
              <w:rPr>
                <w:rFonts w:hint="eastAsia" w:ascii="楷体" w:hAnsi="楷体" w:eastAsia="楷体" w:cs="楷体"/>
                <w:color w:val="000000" w:themeColor="text1"/>
                <w:sz w:val="24"/>
                <w:szCs w:val="24"/>
                <w:highlight w:val="none"/>
                <w:lang w:val="en-US" w:eastAsia="zh-CN"/>
                <w14:textFill>
                  <w14:solidFill>
                    <w14:schemeClr w14:val="tx1"/>
                  </w14:solidFill>
                </w14:textFill>
              </w:rPr>
              <w:t>的证明材料</w:t>
            </w:r>
          </w:p>
        </w:tc>
        <w:tc>
          <w:tcPr>
            <w:tcW w:w="169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若拥有则为是</w:t>
            </w:r>
          </w:p>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其他为否</w:t>
            </w:r>
          </w:p>
        </w:tc>
        <w:tc>
          <w:tcPr>
            <w:tcW w:w="2215"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1" w:hRule="atLeast"/>
          <w:jc w:val="center"/>
        </w:trPr>
        <w:tc>
          <w:tcPr>
            <w:tcW w:w="723" w:type="dxa"/>
            <w:vAlign w:val="center"/>
          </w:tcPr>
          <w:p>
            <w:pPr>
              <w:spacing w:line="240" w:lineRule="atLeast"/>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10</w:t>
            </w:r>
          </w:p>
        </w:tc>
        <w:tc>
          <w:tcPr>
            <w:tcW w:w="4428"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参与顶级联赛</w:t>
            </w:r>
            <w:r>
              <w:rPr>
                <w:rFonts w:hint="eastAsia" w:ascii="楷体" w:hAnsi="楷体" w:eastAsia="楷体" w:cs="楷体"/>
                <w:color w:val="000000" w:themeColor="text1"/>
                <w:sz w:val="24"/>
                <w:szCs w:val="24"/>
                <w:highlight w:val="none"/>
                <w:lang w:val="en-US" w:eastAsia="zh-CN"/>
                <w14:textFill>
                  <w14:solidFill>
                    <w14:schemeClr w14:val="tx1"/>
                  </w14:solidFill>
                </w14:textFill>
              </w:rPr>
              <w:t>的证明材料</w:t>
            </w:r>
          </w:p>
        </w:tc>
        <w:tc>
          <w:tcPr>
            <w:tcW w:w="169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若参加则为是</w:t>
            </w:r>
          </w:p>
          <w:p>
            <w:pPr>
              <w:spacing w:line="240" w:lineRule="atLeast"/>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其他为否</w:t>
            </w:r>
          </w:p>
        </w:tc>
        <w:tc>
          <w:tcPr>
            <w:tcW w:w="2215"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60" w:hRule="atLeast"/>
          <w:jc w:val="center"/>
        </w:trPr>
        <w:tc>
          <w:tcPr>
            <w:tcW w:w="723" w:type="dxa"/>
            <w:vAlign w:val="center"/>
          </w:tcPr>
          <w:p>
            <w:pPr>
              <w:spacing w:line="240" w:lineRule="atLeast"/>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11</w:t>
            </w:r>
          </w:p>
        </w:tc>
        <w:tc>
          <w:tcPr>
            <w:tcW w:w="4428"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参与</w:t>
            </w:r>
            <w:r>
              <w:rPr>
                <w:rFonts w:hint="eastAsia" w:ascii="楷体" w:hAnsi="楷体" w:eastAsia="楷体" w:cs="楷体"/>
                <w:color w:val="000000" w:themeColor="text1"/>
                <w:sz w:val="24"/>
                <w:szCs w:val="24"/>
                <w:highlight w:val="none"/>
                <w:lang w:val="en-US" w:eastAsia="zh-CN"/>
                <w14:textFill>
                  <w14:solidFill>
                    <w14:schemeClr w14:val="tx1"/>
                  </w14:solidFill>
                </w14:textFill>
              </w:rPr>
              <w:t>次</w:t>
            </w:r>
            <w:r>
              <w:rPr>
                <w:rFonts w:hint="eastAsia" w:ascii="楷体" w:hAnsi="楷体" w:eastAsia="楷体" w:cs="楷体"/>
                <w:color w:val="000000" w:themeColor="text1"/>
                <w:sz w:val="24"/>
                <w:szCs w:val="24"/>
                <w:highlight w:val="none"/>
                <w14:textFill>
                  <w14:solidFill>
                    <w14:schemeClr w14:val="tx1"/>
                  </w14:solidFill>
                </w14:textFill>
              </w:rPr>
              <w:t>级联赛</w:t>
            </w:r>
            <w:r>
              <w:rPr>
                <w:rFonts w:hint="eastAsia" w:ascii="楷体" w:hAnsi="楷体" w:eastAsia="楷体" w:cs="楷体"/>
                <w:color w:val="000000" w:themeColor="text1"/>
                <w:sz w:val="24"/>
                <w:szCs w:val="24"/>
                <w:highlight w:val="none"/>
                <w:lang w:val="en-US" w:eastAsia="zh-CN"/>
                <w14:textFill>
                  <w14:solidFill>
                    <w14:schemeClr w14:val="tx1"/>
                  </w14:solidFill>
                </w14:textFill>
              </w:rPr>
              <w:t>并获得次级联赛前三名的证明材料</w:t>
            </w:r>
          </w:p>
        </w:tc>
        <w:tc>
          <w:tcPr>
            <w:tcW w:w="1692" w:type="dxa"/>
            <w:vAlign w:val="center"/>
          </w:tcPr>
          <w:p>
            <w:pPr>
              <w:spacing w:line="240" w:lineRule="atLeast"/>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申报此类项目的为是，其他为否</w:t>
            </w:r>
          </w:p>
        </w:tc>
        <w:tc>
          <w:tcPr>
            <w:tcW w:w="2215"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60" w:hRule="atLeast"/>
          <w:jc w:val="center"/>
        </w:trPr>
        <w:tc>
          <w:tcPr>
            <w:tcW w:w="723"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sz w:val="24"/>
                <w:szCs w:val="24"/>
                <w:highlight w:val="none"/>
                <w:lang w:val="en-US" w:eastAsia="zh-CN"/>
              </w:rPr>
              <w:t>12</w:t>
            </w:r>
          </w:p>
        </w:tc>
        <w:tc>
          <w:tcPr>
            <w:tcW w:w="4428" w:type="dxa"/>
            <w:vAlign w:val="center"/>
          </w:tcPr>
          <w:p>
            <w:pPr>
              <w:spacing w:line="240" w:lineRule="atLeast"/>
              <w:ind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iCs/>
                <w:sz w:val="24"/>
                <w:szCs w:val="24"/>
                <w:highlight w:val="none"/>
              </w:rPr>
              <w:t>申请书签字盖章版</w:t>
            </w:r>
          </w:p>
        </w:tc>
        <w:tc>
          <w:tcPr>
            <w:tcW w:w="169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sz w:val="24"/>
                <w:szCs w:val="24"/>
                <w:highlight w:val="none"/>
                <w:lang w:val="en-US" w:eastAsia="zh-CN"/>
              </w:rPr>
              <w:t>是</w:t>
            </w:r>
          </w:p>
        </w:tc>
        <w:tc>
          <w:tcPr>
            <w:tcW w:w="2215"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3" w:type="dxa"/>
            <w:vAlign w:val="center"/>
          </w:tcPr>
          <w:p>
            <w:pPr>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sz w:val="24"/>
                <w:szCs w:val="24"/>
                <w:highlight w:val="none"/>
              </w:rPr>
              <w:t>1</w:t>
            </w:r>
            <w:r>
              <w:rPr>
                <w:rFonts w:hint="eastAsia" w:ascii="楷体" w:hAnsi="楷体" w:eastAsia="楷体" w:cs="楷体"/>
                <w:sz w:val="24"/>
                <w:szCs w:val="24"/>
                <w:highlight w:val="none"/>
                <w:lang w:val="en-US" w:eastAsia="zh-CN"/>
              </w:rPr>
              <w:t>3</w:t>
            </w:r>
          </w:p>
        </w:tc>
        <w:tc>
          <w:tcPr>
            <w:tcW w:w="4428" w:type="dxa"/>
            <w:vAlign w:val="center"/>
          </w:tcPr>
          <w:p>
            <w:pPr>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rPr>
              <w:t>其它附件</w:t>
            </w:r>
          </w:p>
        </w:tc>
        <w:tc>
          <w:tcPr>
            <w:tcW w:w="169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215"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bl>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②申请类别为</w:t>
      </w:r>
      <w:r>
        <w:rPr>
          <w:rFonts w:hint="eastAsia" w:ascii="仿宋_GB2312" w:hAnsi="仿宋" w:eastAsia="仿宋_GB2312" w:cs="仿宋"/>
          <w:color w:val="000000" w:themeColor="text1"/>
          <w:sz w:val="32"/>
          <w:szCs w:val="32"/>
          <w:highlight w:val="none"/>
          <w14:textFill>
            <w14:solidFill>
              <w14:schemeClr w14:val="tx1"/>
            </w14:solidFill>
          </w14:textFill>
        </w:rPr>
        <w:t>电竞俱乐部运营</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支持运营电竞俱乐部项目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10"/>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440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附件名称</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是否</w:t>
            </w:r>
          </w:p>
          <w:p>
            <w:pPr>
              <w:spacing w:line="276" w:lineRule="auto"/>
              <w:jc w:val="center"/>
              <w:rPr>
                <w:rFonts w:hint="eastAsia" w:ascii="楷体" w:hAnsi="楷体" w:eastAsia="楷体" w:cs="楷体"/>
                <w:b/>
                <w:sz w:val="24"/>
                <w:szCs w:val="24"/>
                <w:highlight w:val="none"/>
              </w:rPr>
            </w:pPr>
            <w:r>
              <w:rPr>
                <w:rFonts w:hint="eastAsia" w:ascii="楷体" w:hAnsi="楷体" w:eastAsia="楷体" w:cs="楷体"/>
                <w:sz w:val="24"/>
                <w:szCs w:val="24"/>
                <w:highlight w:val="none"/>
              </w:rPr>
              <w:t>必备材料</w:t>
            </w:r>
          </w:p>
        </w:tc>
        <w:tc>
          <w:tcPr>
            <w:tcW w:w="2336"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1</w:t>
            </w:r>
          </w:p>
        </w:tc>
        <w:tc>
          <w:tcPr>
            <w:tcW w:w="4405" w:type="dxa"/>
            <w:vAlign w:val="center"/>
          </w:tcPr>
          <w:p>
            <w:pPr>
              <w:spacing w:line="240" w:lineRule="atLeast"/>
              <w:ind w:left="-5" w:leftChars="0" w:right="42" w:rightChars="20"/>
              <w:jc w:val="center"/>
              <w:rPr>
                <w:rFonts w:hint="eastAsia" w:ascii="楷体" w:hAnsi="楷体" w:eastAsia="楷体" w:cs="楷体"/>
                <w:bCs/>
                <w:sz w:val="24"/>
                <w:szCs w:val="24"/>
                <w:highlight w:val="none"/>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2</w:t>
            </w:r>
          </w:p>
        </w:tc>
        <w:tc>
          <w:tcPr>
            <w:tcW w:w="440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3</w:t>
            </w:r>
          </w:p>
        </w:tc>
        <w:tc>
          <w:tcPr>
            <w:tcW w:w="4405" w:type="dxa"/>
            <w:vAlign w:val="center"/>
          </w:tcPr>
          <w:p>
            <w:pPr>
              <w:spacing w:line="240" w:lineRule="atLeast"/>
              <w:ind w:left="-5" w:leftChars="0" w:right="42" w:rightChars="20"/>
              <w:jc w:val="center"/>
              <w:rPr>
                <w:rFonts w:hint="eastAsia" w:ascii="楷体" w:hAnsi="楷体" w:eastAsia="楷体" w:cs="楷体"/>
                <w:sz w:val="24"/>
                <w:szCs w:val="24"/>
                <w:highlight w:val="none"/>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4</w:t>
            </w:r>
          </w:p>
        </w:tc>
        <w:tc>
          <w:tcPr>
            <w:tcW w:w="4405" w:type="dxa"/>
            <w:vAlign w:val="center"/>
          </w:tcPr>
          <w:p>
            <w:pPr>
              <w:spacing w:line="240" w:lineRule="atLeast"/>
              <w:ind w:left="-5" w:right="42" w:rightChars="20"/>
              <w:rPr>
                <w:rFonts w:hint="eastAsia" w:ascii="楷体" w:hAnsi="楷体" w:eastAsia="楷体" w:cs="楷体"/>
                <w:sz w:val="24"/>
                <w:szCs w:val="24"/>
                <w:highlight w:val="none"/>
              </w:rPr>
            </w:pPr>
            <w:r>
              <w:rPr>
                <w:rFonts w:hint="eastAsia" w:ascii="楷体" w:hAnsi="楷体" w:eastAsia="楷体" w:cs="楷体"/>
                <w:sz w:val="24"/>
                <w:szCs w:val="24"/>
                <w:highlight w:val="none"/>
              </w:rPr>
              <w:t>上年度电竞培训、身心康复、商业保险费证明材料，包括合同、发票、保单、银行往来凭证</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5</w:t>
            </w:r>
          </w:p>
        </w:tc>
        <w:tc>
          <w:tcPr>
            <w:tcW w:w="4405" w:type="dxa"/>
            <w:vAlign w:val="center"/>
          </w:tcPr>
          <w:p>
            <w:pPr>
              <w:spacing w:line="240" w:lineRule="atLeast"/>
              <w:ind w:left="-5" w:right="42" w:rightChars="20"/>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参加2022杭州亚运会入选项目官方</w:t>
            </w:r>
            <w:r>
              <w:rPr>
                <w:rFonts w:hint="eastAsia" w:ascii="楷体" w:hAnsi="楷体" w:eastAsia="楷体" w:cs="楷体"/>
                <w:color w:val="000000" w:themeColor="text1"/>
                <w:sz w:val="24"/>
                <w:szCs w:val="24"/>
                <w:highlight w:val="none"/>
                <w:lang w:val="en-US" w:eastAsia="zh-CN"/>
                <w14:textFill>
                  <w14:solidFill>
                    <w14:schemeClr w14:val="tx1"/>
                  </w14:solidFill>
                </w14:textFill>
              </w:rPr>
              <w:t>联盟</w:t>
            </w:r>
            <w:r>
              <w:rPr>
                <w:rFonts w:hint="eastAsia" w:ascii="楷体" w:hAnsi="楷体" w:eastAsia="楷体" w:cs="楷体"/>
                <w:color w:val="000000" w:themeColor="text1"/>
                <w:sz w:val="24"/>
                <w:szCs w:val="24"/>
                <w:highlight w:val="none"/>
                <w14:textFill>
                  <w14:solidFill>
                    <w14:schemeClr w14:val="tx1"/>
                  </w14:solidFill>
                </w14:textFill>
              </w:rPr>
              <w:t>顶级</w:t>
            </w:r>
            <w:r>
              <w:rPr>
                <w:rFonts w:hint="eastAsia" w:ascii="楷体" w:hAnsi="楷体" w:eastAsia="楷体" w:cs="楷体"/>
                <w:color w:val="000000" w:themeColor="text1"/>
                <w:sz w:val="24"/>
                <w:szCs w:val="24"/>
                <w:highlight w:val="none"/>
                <w:lang w:val="en-US" w:eastAsia="zh-CN"/>
                <w14:textFill>
                  <w14:solidFill>
                    <w14:schemeClr w14:val="tx1"/>
                  </w14:solidFill>
                </w14:textFill>
              </w:rPr>
              <w:t>联赛</w:t>
            </w:r>
            <w:r>
              <w:rPr>
                <w:rFonts w:hint="eastAsia" w:ascii="楷体" w:hAnsi="楷体" w:eastAsia="楷体" w:cs="楷体"/>
                <w:color w:val="000000" w:themeColor="text1"/>
                <w:sz w:val="24"/>
                <w:szCs w:val="24"/>
                <w:highlight w:val="none"/>
                <w14:textFill>
                  <w14:solidFill>
                    <w14:schemeClr w14:val="tx1"/>
                  </w14:solidFill>
                </w14:textFill>
              </w:rPr>
              <w:t>的证明材料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6</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近</w:t>
            </w:r>
            <w:r>
              <w:rPr>
                <w:rFonts w:hint="eastAsia" w:ascii="楷体" w:hAnsi="楷体" w:eastAsia="楷体" w:cs="楷体"/>
                <w:color w:val="000000" w:themeColor="text1"/>
                <w:sz w:val="24"/>
                <w:szCs w:val="24"/>
                <w:highlight w:val="none"/>
                <w14:textFill>
                  <w14:solidFill>
                    <w14:schemeClr w14:val="tx1"/>
                  </w14:solidFill>
                </w14:textFill>
              </w:rPr>
              <w:t>三年</w:t>
            </w:r>
            <w:r>
              <w:rPr>
                <w:rFonts w:hint="eastAsia" w:ascii="楷体" w:hAnsi="楷体" w:eastAsia="楷体" w:cs="楷体"/>
                <w:color w:val="000000" w:themeColor="text1"/>
                <w:sz w:val="24"/>
                <w:szCs w:val="24"/>
                <w:highlight w:val="none"/>
                <w:lang w:val="en-US" w:eastAsia="zh-CN"/>
                <w14:textFill>
                  <w14:solidFill>
                    <w14:schemeClr w14:val="tx1"/>
                  </w14:solidFill>
                </w14:textFill>
              </w:rPr>
              <w:t>内</w:t>
            </w:r>
            <w:r>
              <w:rPr>
                <w:rFonts w:hint="eastAsia" w:ascii="楷体" w:hAnsi="楷体" w:eastAsia="楷体" w:cs="楷体"/>
                <w:color w:val="000000" w:themeColor="text1"/>
                <w:sz w:val="24"/>
                <w:szCs w:val="24"/>
                <w:highlight w:val="none"/>
                <w14:textFill>
                  <w14:solidFill>
                    <w14:schemeClr w14:val="tx1"/>
                  </w14:solidFill>
                </w14:textFill>
              </w:rPr>
              <w:t>获得过</w:t>
            </w:r>
            <w:r>
              <w:rPr>
                <w:rFonts w:hint="eastAsia" w:ascii="楷体" w:hAnsi="楷体" w:eastAsia="楷体" w:cs="楷体"/>
                <w:color w:val="000000" w:themeColor="text1"/>
                <w:sz w:val="24"/>
                <w:highlight w:val="none"/>
                <w14:textFill>
                  <w14:solidFill>
                    <w14:schemeClr w14:val="tx1"/>
                  </w14:solidFill>
                </w14:textFill>
              </w:rPr>
              <w:t>全国职业联赛前三名</w:t>
            </w:r>
            <w:r>
              <w:rPr>
                <w:rFonts w:hint="eastAsia" w:ascii="楷体" w:hAnsi="楷体" w:eastAsia="楷体" w:cs="楷体"/>
                <w:color w:val="000000" w:themeColor="text1"/>
                <w:sz w:val="24"/>
                <w:szCs w:val="24"/>
                <w:highlight w:val="none"/>
                <w14:textFill>
                  <w14:solidFill>
                    <w14:schemeClr w14:val="tx1"/>
                  </w14:solidFill>
                </w14:textFill>
              </w:rPr>
              <w:t>的证明材料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3"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7</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电竞</w:t>
            </w:r>
            <w:r>
              <w:rPr>
                <w:rFonts w:hint="eastAsia" w:ascii="楷体" w:hAnsi="楷体" w:eastAsia="楷体" w:cs="楷体"/>
                <w:sz w:val="24"/>
                <w:szCs w:val="24"/>
                <w:highlight w:val="none"/>
              </w:rPr>
              <w:t>俱乐部</w:t>
            </w:r>
            <w:r>
              <w:rPr>
                <w:rFonts w:hint="eastAsia" w:ascii="楷体" w:hAnsi="楷体" w:eastAsia="楷体" w:cs="楷体"/>
                <w:sz w:val="24"/>
                <w:szCs w:val="24"/>
                <w:highlight w:val="none"/>
                <w:lang w:val="en-US" w:eastAsia="zh-CN"/>
              </w:rPr>
              <w:t>房屋</w:t>
            </w:r>
            <w:r>
              <w:rPr>
                <w:rFonts w:hint="eastAsia" w:ascii="楷体" w:hAnsi="楷体" w:eastAsia="楷体" w:cs="楷体"/>
                <w:sz w:val="24"/>
                <w:szCs w:val="24"/>
                <w:highlight w:val="none"/>
              </w:rPr>
              <w:t>租</w:t>
            </w:r>
            <w:r>
              <w:rPr>
                <w:rFonts w:hint="eastAsia" w:ascii="楷体" w:hAnsi="楷体" w:eastAsia="楷体" w:cs="楷体"/>
                <w:sz w:val="24"/>
                <w:szCs w:val="24"/>
                <w:highlight w:val="none"/>
                <w:lang w:val="en-US" w:eastAsia="zh-CN"/>
              </w:rPr>
              <w:t>购</w:t>
            </w:r>
            <w:r>
              <w:rPr>
                <w:rFonts w:hint="eastAsia" w:ascii="楷体" w:hAnsi="楷体" w:eastAsia="楷体" w:cs="楷体"/>
                <w:sz w:val="24"/>
                <w:szCs w:val="24"/>
                <w:highlight w:val="none"/>
              </w:rPr>
              <w:t>合同</w:t>
            </w:r>
          </w:p>
        </w:tc>
        <w:tc>
          <w:tcPr>
            <w:tcW w:w="1595"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否</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3"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8</w:t>
            </w:r>
          </w:p>
        </w:tc>
        <w:tc>
          <w:tcPr>
            <w:tcW w:w="4405" w:type="dxa"/>
            <w:vAlign w:val="center"/>
          </w:tcPr>
          <w:p>
            <w:pPr>
              <w:spacing w:line="240" w:lineRule="atLeast"/>
              <w:ind w:left="-5" w:right="42" w:rightChars="2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电竞俱乐部的</w:t>
            </w:r>
            <w:r>
              <w:rPr>
                <w:rFonts w:hint="eastAsia" w:ascii="楷体" w:hAnsi="楷体" w:eastAsia="楷体" w:cs="楷体"/>
                <w:sz w:val="24"/>
                <w:szCs w:val="24"/>
                <w:highlight w:val="none"/>
              </w:rPr>
              <w:t>人员社保证明材料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否</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9</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在南山区文化广电旅游体育局备案的证明材料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10</w:t>
            </w:r>
          </w:p>
        </w:tc>
        <w:tc>
          <w:tcPr>
            <w:tcW w:w="4405" w:type="dxa"/>
            <w:vAlign w:val="center"/>
          </w:tcPr>
          <w:p>
            <w:pPr>
              <w:spacing w:line="240" w:lineRule="atLeast"/>
              <w:ind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iCs/>
                <w:sz w:val="24"/>
                <w:szCs w:val="24"/>
                <w:highlight w:val="none"/>
              </w:rPr>
              <w:t>申请书签字盖章版</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rPr>
              <w:t>1</w:t>
            </w:r>
            <w:r>
              <w:rPr>
                <w:rFonts w:hint="eastAsia" w:ascii="楷体" w:hAnsi="楷体" w:eastAsia="楷体" w:cs="楷体"/>
                <w:sz w:val="24"/>
                <w:szCs w:val="24"/>
                <w:highlight w:val="none"/>
                <w:lang w:val="en-US" w:eastAsia="zh-CN"/>
              </w:rPr>
              <w:t>1</w:t>
            </w:r>
          </w:p>
        </w:tc>
        <w:tc>
          <w:tcPr>
            <w:tcW w:w="4405" w:type="dxa"/>
            <w:vAlign w:val="center"/>
          </w:tcPr>
          <w:p>
            <w:pPr>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其它附件</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bl>
    <w:p>
      <w:pPr>
        <w:adjustRightInd w:val="0"/>
        <w:snapToGrid w:val="0"/>
        <w:spacing w:line="560" w:lineRule="exact"/>
        <w:ind w:firstLine="656" w:firstLineChars="200"/>
        <w:rPr>
          <w:rFonts w:ascii="仿宋_GB2312" w:hAnsi="宋体" w:eastAsia="仿宋_GB2312" w:cs="宋体"/>
          <w:spacing w:val="4"/>
          <w:kern w:val="0"/>
          <w:sz w:val="32"/>
          <w:szCs w:val="32"/>
          <w:highlight w:val="none"/>
        </w:rPr>
      </w:pPr>
      <w:r>
        <w:rPr>
          <w:rFonts w:ascii="仿宋_GB2312" w:hAnsi="宋体" w:eastAsia="仿宋_GB2312" w:cs="宋体"/>
          <w:spacing w:val="4"/>
          <w:kern w:val="0"/>
          <w:sz w:val="32"/>
          <w:szCs w:val="32"/>
          <w:highlight w:val="none"/>
        </w:rPr>
        <w:t>③</w:t>
      </w:r>
      <w:r>
        <w:rPr>
          <w:rFonts w:hint="eastAsia" w:ascii="仿宋_GB2312" w:hAnsi="宋体" w:eastAsia="仿宋_GB2312" w:cs="宋体"/>
          <w:spacing w:val="4"/>
          <w:kern w:val="0"/>
          <w:sz w:val="32"/>
          <w:szCs w:val="32"/>
          <w:highlight w:val="none"/>
        </w:rPr>
        <w:t>申请类别为</w:t>
      </w:r>
      <w:r>
        <w:rPr>
          <w:rFonts w:hint="eastAsia" w:ascii="仿宋_GB2312" w:hAnsi="仿宋" w:eastAsia="仿宋_GB2312" w:cs="仿宋"/>
          <w:color w:val="000000" w:themeColor="text1"/>
          <w:sz w:val="32"/>
          <w:szCs w:val="32"/>
          <w:highlight w:val="none"/>
          <w14:textFill>
            <w14:solidFill>
              <w14:schemeClr w14:val="tx1"/>
            </w14:solidFill>
          </w14:textFill>
        </w:rPr>
        <w:t>电竞俱乐部参赛获奖</w:t>
      </w:r>
      <w:r>
        <w:rPr>
          <w:rFonts w:hint="eastAsia" w:ascii="仿宋_GB2312" w:hAnsi="宋体" w:eastAsia="仿宋_GB2312" w:cs="宋体"/>
          <w:spacing w:val="4"/>
          <w:kern w:val="0"/>
          <w:sz w:val="32"/>
          <w:szCs w:val="32"/>
          <w:highlight w:val="none"/>
        </w:rPr>
        <w:t>，提供以下资料：</w:t>
      </w:r>
    </w:p>
    <w:p>
      <w:pPr>
        <w:adjustRightInd w:val="0"/>
        <w:snapToGrid w:val="0"/>
        <w:spacing w:line="560" w:lineRule="exact"/>
        <w:ind w:firstLine="656" w:firstLineChars="200"/>
        <w:rPr>
          <w:rFonts w:ascii="仿宋_GB2312" w:hAnsi="宋体" w:eastAsia="仿宋_GB2312" w:cs="宋体"/>
          <w:spacing w:val="4"/>
          <w:kern w:val="0"/>
          <w:sz w:val="32"/>
          <w:szCs w:val="32"/>
          <w:highlight w:val="none"/>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支持运营电竞俱乐部项目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r>
        <w:rPr>
          <w:rFonts w:hint="eastAsia" w:ascii="仿宋_GB2312" w:hAnsi="宋体" w:eastAsia="仿宋_GB2312" w:cs="宋体"/>
          <w:spacing w:val="4"/>
          <w:kern w:val="0"/>
          <w:sz w:val="32"/>
          <w:szCs w:val="32"/>
          <w:highlight w:val="none"/>
        </w:rPr>
        <w:t>。</w:t>
      </w:r>
    </w:p>
    <w:tbl>
      <w:tblPr>
        <w:tblStyle w:val="10"/>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440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附件名称</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是否</w:t>
            </w:r>
          </w:p>
          <w:p>
            <w:pPr>
              <w:spacing w:line="276" w:lineRule="auto"/>
              <w:jc w:val="center"/>
              <w:rPr>
                <w:rFonts w:hint="eastAsia" w:ascii="楷体" w:hAnsi="楷体" w:eastAsia="楷体" w:cs="楷体"/>
                <w:b/>
                <w:sz w:val="24"/>
                <w:szCs w:val="24"/>
                <w:highlight w:val="none"/>
              </w:rPr>
            </w:pPr>
            <w:r>
              <w:rPr>
                <w:rFonts w:hint="eastAsia" w:ascii="楷体" w:hAnsi="楷体" w:eastAsia="楷体" w:cs="楷体"/>
                <w:sz w:val="24"/>
                <w:szCs w:val="24"/>
                <w:highlight w:val="none"/>
              </w:rPr>
              <w:t>必备材料</w:t>
            </w:r>
          </w:p>
        </w:tc>
        <w:tc>
          <w:tcPr>
            <w:tcW w:w="2336"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1</w:t>
            </w:r>
          </w:p>
        </w:tc>
        <w:tc>
          <w:tcPr>
            <w:tcW w:w="4405" w:type="dxa"/>
            <w:vAlign w:val="center"/>
          </w:tcPr>
          <w:p>
            <w:pPr>
              <w:spacing w:line="240" w:lineRule="atLeast"/>
              <w:ind w:left="-5" w:leftChars="0" w:right="42" w:rightChars="20"/>
              <w:jc w:val="center"/>
              <w:rPr>
                <w:rFonts w:hint="eastAsia" w:ascii="楷体" w:hAnsi="楷体" w:eastAsia="楷体" w:cs="楷体"/>
                <w:bCs/>
                <w:sz w:val="24"/>
                <w:szCs w:val="24"/>
                <w:highlight w:val="none"/>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2</w:t>
            </w:r>
          </w:p>
        </w:tc>
        <w:tc>
          <w:tcPr>
            <w:tcW w:w="440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3</w:t>
            </w:r>
          </w:p>
        </w:tc>
        <w:tc>
          <w:tcPr>
            <w:tcW w:w="4405" w:type="dxa"/>
            <w:vAlign w:val="center"/>
          </w:tcPr>
          <w:p>
            <w:pPr>
              <w:spacing w:line="240" w:lineRule="atLeast"/>
              <w:ind w:left="-5" w:leftChars="0" w:right="42" w:rightChars="20"/>
              <w:jc w:val="center"/>
              <w:rPr>
                <w:rFonts w:hint="eastAsia" w:ascii="楷体" w:hAnsi="楷体" w:eastAsia="楷体" w:cs="楷体"/>
                <w:sz w:val="24"/>
                <w:szCs w:val="24"/>
                <w:highlight w:val="none"/>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4</w:t>
            </w:r>
          </w:p>
        </w:tc>
        <w:tc>
          <w:tcPr>
            <w:tcW w:w="4405" w:type="dxa"/>
            <w:vAlign w:val="center"/>
          </w:tcPr>
          <w:p>
            <w:pPr>
              <w:spacing w:line="240" w:lineRule="atLeast"/>
              <w:ind w:left="-5" w:right="42" w:rightChars="20"/>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近三年内</w:t>
            </w:r>
            <w:r>
              <w:rPr>
                <w:rFonts w:hint="eastAsia" w:ascii="楷体" w:hAnsi="楷体" w:eastAsia="楷体" w:cs="楷体"/>
                <w:sz w:val="24"/>
                <w:szCs w:val="24"/>
                <w:highlight w:val="none"/>
              </w:rPr>
              <w:t>获得国际性</w:t>
            </w:r>
            <w:r>
              <w:rPr>
                <w:rFonts w:hint="eastAsia" w:ascii="楷体" w:hAnsi="楷体" w:eastAsia="楷体" w:cs="楷体"/>
                <w:sz w:val="24"/>
                <w:szCs w:val="24"/>
                <w:highlight w:val="none"/>
                <w:lang w:val="en-US" w:eastAsia="zh-CN"/>
              </w:rPr>
              <w:t>职业赛事、</w:t>
            </w:r>
            <w:r>
              <w:rPr>
                <w:rFonts w:hint="eastAsia" w:ascii="楷体" w:hAnsi="楷体" w:eastAsia="楷体" w:cs="楷体"/>
                <w:sz w:val="24"/>
                <w:szCs w:val="24"/>
                <w:highlight w:val="none"/>
              </w:rPr>
              <w:t>全国职业赛事、亚运会电竞赛事获得冠、亚、季军的证明材料，包括总奖金、获奖的证明材料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5</w:t>
            </w:r>
          </w:p>
        </w:tc>
        <w:tc>
          <w:tcPr>
            <w:tcW w:w="4405" w:type="dxa"/>
            <w:vAlign w:val="center"/>
          </w:tcPr>
          <w:p>
            <w:pPr>
              <w:spacing w:line="240" w:lineRule="atLeast"/>
              <w:ind w:left="-5" w:right="42" w:rightChars="20"/>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参加2022杭州亚运会入选项目官方</w:t>
            </w:r>
            <w:r>
              <w:rPr>
                <w:rFonts w:hint="eastAsia" w:ascii="楷体" w:hAnsi="楷体" w:eastAsia="楷体" w:cs="楷体"/>
                <w:color w:val="000000" w:themeColor="text1"/>
                <w:sz w:val="24"/>
                <w:szCs w:val="24"/>
                <w:highlight w:val="none"/>
                <w:lang w:val="en-US" w:eastAsia="zh-CN"/>
                <w14:textFill>
                  <w14:solidFill>
                    <w14:schemeClr w14:val="tx1"/>
                  </w14:solidFill>
                </w14:textFill>
              </w:rPr>
              <w:t>联盟</w:t>
            </w:r>
            <w:r>
              <w:rPr>
                <w:rFonts w:hint="eastAsia" w:ascii="楷体" w:hAnsi="楷体" w:eastAsia="楷体" w:cs="楷体"/>
                <w:color w:val="000000" w:themeColor="text1"/>
                <w:sz w:val="24"/>
                <w:szCs w:val="24"/>
                <w:highlight w:val="none"/>
                <w14:textFill>
                  <w14:solidFill>
                    <w14:schemeClr w14:val="tx1"/>
                  </w14:solidFill>
                </w14:textFill>
              </w:rPr>
              <w:t>顶级或次级</w:t>
            </w:r>
            <w:r>
              <w:rPr>
                <w:rFonts w:hint="eastAsia" w:ascii="楷体" w:hAnsi="楷体" w:eastAsia="楷体" w:cs="楷体"/>
                <w:color w:val="000000" w:themeColor="text1"/>
                <w:sz w:val="24"/>
                <w:szCs w:val="24"/>
                <w:highlight w:val="none"/>
                <w:lang w:val="en-US" w:eastAsia="zh-CN"/>
                <w14:textFill>
                  <w14:solidFill>
                    <w14:schemeClr w14:val="tx1"/>
                  </w14:solidFill>
                </w14:textFill>
              </w:rPr>
              <w:t>联赛</w:t>
            </w:r>
            <w:r>
              <w:rPr>
                <w:rFonts w:hint="eastAsia" w:ascii="楷体" w:hAnsi="楷体" w:eastAsia="楷体" w:cs="楷体"/>
                <w:color w:val="000000" w:themeColor="text1"/>
                <w:sz w:val="24"/>
                <w:szCs w:val="24"/>
                <w:highlight w:val="none"/>
                <w14:textFill>
                  <w14:solidFill>
                    <w14:schemeClr w14:val="tx1"/>
                  </w14:solidFill>
                </w14:textFill>
              </w:rPr>
              <w:t>的</w:t>
            </w:r>
            <w:r>
              <w:rPr>
                <w:rFonts w:hint="eastAsia" w:ascii="楷体" w:hAnsi="楷体" w:eastAsia="楷体" w:cs="楷体"/>
                <w:color w:val="000000" w:themeColor="text1"/>
                <w:sz w:val="24"/>
                <w:szCs w:val="24"/>
                <w:highlight w:val="none"/>
                <w:lang w:val="en-US" w:eastAsia="zh-CN"/>
                <w14:textFill>
                  <w14:solidFill>
                    <w14:schemeClr w14:val="tx1"/>
                  </w14:solidFill>
                </w14:textFill>
              </w:rPr>
              <w:t>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lang w:val="en-US" w:eastAsia="zh-CN"/>
              </w:rPr>
              <w:t>6</w:t>
            </w:r>
          </w:p>
        </w:tc>
        <w:tc>
          <w:tcPr>
            <w:tcW w:w="4405" w:type="dxa"/>
            <w:vAlign w:val="center"/>
          </w:tcPr>
          <w:p>
            <w:pPr>
              <w:spacing w:line="240" w:lineRule="atLeast"/>
              <w:ind w:left="-5" w:leftChars="0" w:right="42" w:rightChars="20"/>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在南山区文化广电旅游体育局备案的证明材料</w:t>
            </w:r>
          </w:p>
        </w:tc>
        <w:tc>
          <w:tcPr>
            <w:tcW w:w="1595" w:type="dxa"/>
            <w:vAlign w:val="center"/>
          </w:tcPr>
          <w:p>
            <w:pPr>
              <w:spacing w:line="240" w:lineRule="atLeast"/>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7</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电竞</w:t>
            </w:r>
            <w:r>
              <w:rPr>
                <w:rFonts w:hint="eastAsia" w:ascii="楷体" w:hAnsi="楷体" w:eastAsia="楷体" w:cs="楷体"/>
                <w:sz w:val="24"/>
                <w:szCs w:val="24"/>
                <w:highlight w:val="none"/>
              </w:rPr>
              <w:t>俱乐部</w:t>
            </w:r>
            <w:r>
              <w:rPr>
                <w:rFonts w:hint="eastAsia" w:ascii="楷体" w:hAnsi="楷体" w:eastAsia="楷体" w:cs="楷体"/>
                <w:sz w:val="24"/>
                <w:szCs w:val="24"/>
                <w:highlight w:val="none"/>
                <w:lang w:val="en-US" w:eastAsia="zh-CN"/>
              </w:rPr>
              <w:t>房屋租购</w:t>
            </w:r>
            <w:r>
              <w:rPr>
                <w:rFonts w:hint="eastAsia" w:ascii="楷体" w:hAnsi="楷体" w:eastAsia="楷体" w:cs="楷体"/>
                <w:sz w:val="24"/>
                <w:szCs w:val="24"/>
                <w:highlight w:val="none"/>
              </w:rPr>
              <w:t>合同</w:t>
            </w:r>
          </w:p>
        </w:tc>
        <w:tc>
          <w:tcPr>
            <w:tcW w:w="1595"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否</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8</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电竞俱乐部的</w:t>
            </w:r>
            <w:r>
              <w:rPr>
                <w:rFonts w:hint="eastAsia" w:ascii="楷体" w:hAnsi="楷体" w:eastAsia="楷体" w:cs="楷体"/>
                <w:sz w:val="24"/>
                <w:szCs w:val="24"/>
                <w:highlight w:val="none"/>
              </w:rPr>
              <w:t>人员社保证明材料</w:t>
            </w:r>
          </w:p>
        </w:tc>
        <w:tc>
          <w:tcPr>
            <w:tcW w:w="1595"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否</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9</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rPr>
              <w:t>获奖的电竞运动员</w:t>
            </w:r>
            <w:r>
              <w:rPr>
                <w:rFonts w:hint="eastAsia" w:ascii="楷体" w:hAnsi="楷体" w:eastAsia="楷体" w:cs="楷体"/>
                <w:sz w:val="24"/>
                <w:szCs w:val="24"/>
                <w:highlight w:val="none"/>
                <w:lang w:val="en-US" w:eastAsia="zh-CN"/>
              </w:rPr>
              <w:t>的</w:t>
            </w:r>
            <w:r>
              <w:rPr>
                <w:rFonts w:hint="eastAsia" w:ascii="楷体" w:hAnsi="楷体" w:eastAsia="楷体" w:cs="楷体"/>
                <w:sz w:val="24"/>
                <w:szCs w:val="24"/>
                <w:highlight w:val="none"/>
              </w:rPr>
              <w:t>劳动合同</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10</w:t>
            </w:r>
          </w:p>
        </w:tc>
        <w:tc>
          <w:tcPr>
            <w:tcW w:w="4405" w:type="dxa"/>
            <w:vAlign w:val="center"/>
          </w:tcPr>
          <w:p>
            <w:pPr>
              <w:spacing w:line="240" w:lineRule="atLeast"/>
              <w:ind w:right="42" w:rightChars="20"/>
              <w:jc w:val="center"/>
              <w:rPr>
                <w:rFonts w:hint="eastAsia" w:ascii="楷体" w:hAnsi="楷体" w:eastAsia="楷体" w:cs="楷体"/>
                <w:sz w:val="24"/>
                <w:szCs w:val="24"/>
                <w:highlight w:val="none"/>
              </w:rPr>
            </w:pPr>
            <w:r>
              <w:rPr>
                <w:rFonts w:hint="eastAsia" w:ascii="楷体" w:hAnsi="楷体" w:eastAsia="楷体" w:cs="楷体"/>
                <w:bCs/>
                <w:iCs/>
                <w:sz w:val="24"/>
                <w:szCs w:val="24"/>
                <w:highlight w:val="none"/>
              </w:rPr>
              <w:t>申请书签字盖章版</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rPr>
              <w:t>1</w:t>
            </w:r>
            <w:r>
              <w:rPr>
                <w:rFonts w:hint="eastAsia" w:ascii="楷体" w:hAnsi="楷体" w:eastAsia="楷体" w:cs="楷体"/>
                <w:sz w:val="24"/>
                <w:szCs w:val="24"/>
                <w:highlight w:val="none"/>
                <w:lang w:val="en-US" w:eastAsia="zh-CN"/>
              </w:rPr>
              <w:t>1</w:t>
            </w:r>
          </w:p>
        </w:tc>
        <w:tc>
          <w:tcPr>
            <w:tcW w:w="4405" w:type="dxa"/>
            <w:vAlign w:val="center"/>
          </w:tcPr>
          <w:p>
            <w:pPr>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其它附件</w:t>
            </w:r>
            <w:bookmarkStart w:id="2" w:name="_GoBack"/>
            <w:bookmarkEnd w:id="2"/>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bl>
    <w:p>
      <w:pPr>
        <w:pStyle w:val="8"/>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七、其他事项</w:t>
      </w:r>
    </w:p>
    <w:p>
      <w:pPr>
        <w:pStyle w:val="8"/>
        <w:shd w:val="clear" w:color="auto" w:fill="FFFFFF"/>
        <w:adjustRightInd w:val="0"/>
        <w:snapToGrid w:val="0"/>
        <w:spacing w:before="0" w:beforeAutospacing="0" w:after="0" w:afterAutospacing="0" w:line="560" w:lineRule="exact"/>
        <w:ind w:firstLine="645"/>
        <w:jc w:val="both"/>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申请本项目资助的企业应保证其申报材料的完整性、</w:t>
      </w:r>
      <w:r>
        <w:rPr>
          <w:rFonts w:hint="eastAsia" w:ascii="仿宋_GB2312" w:hAnsi="仿宋" w:eastAsia="仿宋_GB2312" w:cs="Times New Roman"/>
          <w:color w:val="000000" w:themeColor="text1"/>
          <w:sz w:val="32"/>
          <w:szCs w:val="32"/>
          <w:highlight w:val="none"/>
          <w14:textFill>
            <w14:solidFill>
              <w14:schemeClr w14:val="tx1"/>
            </w14:solidFill>
          </w14:textFill>
        </w:rPr>
        <w:t>真实性、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准确性</w:t>
      </w:r>
      <w:r>
        <w:rPr>
          <w:rFonts w:hint="eastAsia" w:ascii="仿宋_GB2312" w:hAnsi="仿宋" w:eastAsia="仿宋_GB2312" w:cs="Times New Roman"/>
          <w:color w:val="000000" w:themeColor="text1"/>
          <w:sz w:val="32"/>
          <w:szCs w:val="32"/>
          <w:highlight w:val="none"/>
          <w14:textFill>
            <w14:solidFill>
              <w14:schemeClr w14:val="tx1"/>
            </w14:solidFill>
          </w14:textFill>
        </w:rPr>
        <w:t>及合法性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14:textFill>
            <w14:solidFill>
              <w14:schemeClr w14:val="tx1"/>
            </w14:solidFill>
          </w14:textFill>
        </w:rPr>
        <w:t>并承担所提交的项目申报材料的相关法律责任，如有虚假或侵权等行为，该项目申请无效，如事后发现存在以上行为，本资金主管部门将保留依法追究其法律责任的权利。</w:t>
      </w:r>
    </w:p>
    <w:p>
      <w:pPr>
        <w:pStyle w:val="8"/>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八、附则</w:t>
      </w:r>
    </w:p>
    <w:p>
      <w:pPr>
        <w:pStyle w:val="8"/>
        <w:shd w:val="clear" w:color="auto" w:fill="FFFFFF"/>
        <w:adjustRightInd w:val="0"/>
        <w:snapToGrid w:val="0"/>
        <w:spacing w:before="0" w:beforeAutospacing="0" w:after="0" w:afterAutospacing="0" w:line="560" w:lineRule="exact"/>
        <w:ind w:firstLine="640" w:firstLineChars="200"/>
        <w:jc w:val="both"/>
        <w:rPr>
          <w:rFonts w:ascii="仿宋_GB2312" w:eastAsia="仿宋_GB2312"/>
          <w:color w:val="000000" w:themeColor="text1"/>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本规程由南山区文化广电旅游体育局负责解释，自发布之日起施行。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4885450"/>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3NmZlZGU2MTUxNzU1NDM0ZTgzOGI1YzBkOTcxZTMifQ=="/>
  </w:docVars>
  <w:rsids>
    <w:rsidRoot w:val="1E9B000F"/>
    <w:rsid w:val="00007F6F"/>
    <w:rsid w:val="00024D3C"/>
    <w:rsid w:val="00031E90"/>
    <w:rsid w:val="000B0273"/>
    <w:rsid w:val="00115BCC"/>
    <w:rsid w:val="001421E0"/>
    <w:rsid w:val="00143A36"/>
    <w:rsid w:val="0015404E"/>
    <w:rsid w:val="001B0C22"/>
    <w:rsid w:val="0020003E"/>
    <w:rsid w:val="0026218E"/>
    <w:rsid w:val="0040362C"/>
    <w:rsid w:val="004329C4"/>
    <w:rsid w:val="00456C09"/>
    <w:rsid w:val="0046464A"/>
    <w:rsid w:val="00475747"/>
    <w:rsid w:val="00484F4E"/>
    <w:rsid w:val="004B1258"/>
    <w:rsid w:val="004F1927"/>
    <w:rsid w:val="00595A1F"/>
    <w:rsid w:val="005C1AD0"/>
    <w:rsid w:val="006255F8"/>
    <w:rsid w:val="00651611"/>
    <w:rsid w:val="00705AFF"/>
    <w:rsid w:val="00765457"/>
    <w:rsid w:val="007E59AE"/>
    <w:rsid w:val="008058F8"/>
    <w:rsid w:val="00814606"/>
    <w:rsid w:val="00886129"/>
    <w:rsid w:val="00896F3C"/>
    <w:rsid w:val="008A06B8"/>
    <w:rsid w:val="008B0EB5"/>
    <w:rsid w:val="008C75B3"/>
    <w:rsid w:val="008D3C58"/>
    <w:rsid w:val="00911568"/>
    <w:rsid w:val="00920AE3"/>
    <w:rsid w:val="009B0D2F"/>
    <w:rsid w:val="009E29B2"/>
    <w:rsid w:val="009E2DAA"/>
    <w:rsid w:val="009F4297"/>
    <w:rsid w:val="00A82793"/>
    <w:rsid w:val="00AD6040"/>
    <w:rsid w:val="00AE260C"/>
    <w:rsid w:val="00B101C1"/>
    <w:rsid w:val="00B17BF3"/>
    <w:rsid w:val="00B77C53"/>
    <w:rsid w:val="00B803E6"/>
    <w:rsid w:val="00B91CA9"/>
    <w:rsid w:val="00BA5F30"/>
    <w:rsid w:val="00BD6E4F"/>
    <w:rsid w:val="00BE7C30"/>
    <w:rsid w:val="00CA4770"/>
    <w:rsid w:val="00CD6F9A"/>
    <w:rsid w:val="00CE00CC"/>
    <w:rsid w:val="00CE1FF7"/>
    <w:rsid w:val="00CE6F5B"/>
    <w:rsid w:val="00D13618"/>
    <w:rsid w:val="00D818FD"/>
    <w:rsid w:val="00DF10BB"/>
    <w:rsid w:val="00E040F9"/>
    <w:rsid w:val="00E36B84"/>
    <w:rsid w:val="00EA5699"/>
    <w:rsid w:val="00EC4977"/>
    <w:rsid w:val="00EE4D67"/>
    <w:rsid w:val="00F07CA9"/>
    <w:rsid w:val="00F2135A"/>
    <w:rsid w:val="00F254EF"/>
    <w:rsid w:val="00F2602B"/>
    <w:rsid w:val="00F3450B"/>
    <w:rsid w:val="00F85813"/>
    <w:rsid w:val="00F95C5E"/>
    <w:rsid w:val="00FA24EC"/>
    <w:rsid w:val="00FB6C39"/>
    <w:rsid w:val="00FD76D6"/>
    <w:rsid w:val="0381433E"/>
    <w:rsid w:val="03A67865"/>
    <w:rsid w:val="05E911D3"/>
    <w:rsid w:val="05EA2DDC"/>
    <w:rsid w:val="08C957C4"/>
    <w:rsid w:val="095C7285"/>
    <w:rsid w:val="0ACB31DC"/>
    <w:rsid w:val="0CF12CA2"/>
    <w:rsid w:val="0F0575D7"/>
    <w:rsid w:val="0F8120BC"/>
    <w:rsid w:val="104D08F5"/>
    <w:rsid w:val="119C505E"/>
    <w:rsid w:val="14FB46BE"/>
    <w:rsid w:val="15E841AA"/>
    <w:rsid w:val="168B0344"/>
    <w:rsid w:val="17A0779F"/>
    <w:rsid w:val="17D57A49"/>
    <w:rsid w:val="1D3C1D18"/>
    <w:rsid w:val="1E1E31CB"/>
    <w:rsid w:val="1E395720"/>
    <w:rsid w:val="1E9B000F"/>
    <w:rsid w:val="1FAD4DE8"/>
    <w:rsid w:val="22246DB7"/>
    <w:rsid w:val="23CD191B"/>
    <w:rsid w:val="261D7616"/>
    <w:rsid w:val="27686D7C"/>
    <w:rsid w:val="29732497"/>
    <w:rsid w:val="2A0E4549"/>
    <w:rsid w:val="2B406E77"/>
    <w:rsid w:val="2BF544DB"/>
    <w:rsid w:val="359D3098"/>
    <w:rsid w:val="360D23E3"/>
    <w:rsid w:val="365F39E8"/>
    <w:rsid w:val="36D668E1"/>
    <w:rsid w:val="372F489B"/>
    <w:rsid w:val="37B104F6"/>
    <w:rsid w:val="3A1846C8"/>
    <w:rsid w:val="3A396CC9"/>
    <w:rsid w:val="3BE455FD"/>
    <w:rsid w:val="3F0A4F84"/>
    <w:rsid w:val="3F4A7E6C"/>
    <w:rsid w:val="40F41E3E"/>
    <w:rsid w:val="41195D48"/>
    <w:rsid w:val="42D91274"/>
    <w:rsid w:val="431D4C7D"/>
    <w:rsid w:val="432C2634"/>
    <w:rsid w:val="4475773A"/>
    <w:rsid w:val="45477ABF"/>
    <w:rsid w:val="45780949"/>
    <w:rsid w:val="46D52711"/>
    <w:rsid w:val="46F34CD7"/>
    <w:rsid w:val="4A6807A1"/>
    <w:rsid w:val="4B1B75AD"/>
    <w:rsid w:val="4B60230E"/>
    <w:rsid w:val="4BED5E07"/>
    <w:rsid w:val="4E92280E"/>
    <w:rsid w:val="4EA82D16"/>
    <w:rsid w:val="4ECF1F81"/>
    <w:rsid w:val="51783CBE"/>
    <w:rsid w:val="51B873D2"/>
    <w:rsid w:val="56357D3A"/>
    <w:rsid w:val="564451BE"/>
    <w:rsid w:val="578C4726"/>
    <w:rsid w:val="58E46DCF"/>
    <w:rsid w:val="590F5C39"/>
    <w:rsid w:val="5B29289F"/>
    <w:rsid w:val="5B634204"/>
    <w:rsid w:val="5B965FE9"/>
    <w:rsid w:val="5C8F3A23"/>
    <w:rsid w:val="5EF552A7"/>
    <w:rsid w:val="63B75FB5"/>
    <w:rsid w:val="640254FB"/>
    <w:rsid w:val="64561B9C"/>
    <w:rsid w:val="677D306F"/>
    <w:rsid w:val="69934FDB"/>
    <w:rsid w:val="6A220F1A"/>
    <w:rsid w:val="6A7A6FA8"/>
    <w:rsid w:val="6C3A796E"/>
    <w:rsid w:val="6CFC2295"/>
    <w:rsid w:val="6D3414FD"/>
    <w:rsid w:val="6DF1669E"/>
    <w:rsid w:val="6E0371AC"/>
    <w:rsid w:val="70147CF8"/>
    <w:rsid w:val="74830A40"/>
    <w:rsid w:val="7C847596"/>
    <w:rsid w:val="7D9C7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jc w:val="center"/>
      <w:outlineLvl w:val="0"/>
    </w:pPr>
    <w:rPr>
      <w:rFonts w:eastAsia="黑体"/>
      <w:bCs/>
      <w:kern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Body Text"/>
    <w:basedOn w:val="1"/>
    <w:qFormat/>
    <w:uiPriority w:val="0"/>
    <w:pPr>
      <w:jc w:val="center"/>
    </w:pPr>
    <w:rPr>
      <w:rFonts w:eastAsia="华文中宋"/>
      <w:sz w:val="44"/>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link w:val="19"/>
    <w:qFormat/>
    <w:uiPriority w:val="99"/>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18"/>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character" w:customStyle="1" w:styleId="14">
    <w:name w:val="font51"/>
    <w:basedOn w:val="12"/>
    <w:qFormat/>
    <w:uiPriority w:val="0"/>
    <w:rPr>
      <w:rFonts w:hint="eastAsia" w:ascii="宋体" w:hAnsi="宋体" w:eastAsia="宋体" w:cs="宋体"/>
      <w:color w:val="000000"/>
      <w:sz w:val="24"/>
      <w:szCs w:val="24"/>
      <w:u w:val="none"/>
    </w:rPr>
  </w:style>
  <w:style w:type="character" w:customStyle="1" w:styleId="15">
    <w:name w:val="页眉 字符"/>
    <w:basedOn w:val="12"/>
    <w:link w:val="7"/>
    <w:qFormat/>
    <w:uiPriority w:val="0"/>
    <w:rPr>
      <w:kern w:val="2"/>
      <w:sz w:val="18"/>
      <w:szCs w:val="18"/>
    </w:rPr>
  </w:style>
  <w:style w:type="paragraph" w:customStyle="1" w:styleId="16">
    <w:name w:val="列出段落1"/>
    <w:basedOn w:val="1"/>
    <w:qFormat/>
    <w:uiPriority w:val="34"/>
    <w:pPr>
      <w:ind w:firstLine="420" w:firstLineChars="200"/>
    </w:pPr>
    <w:rPr>
      <w:rFonts w:ascii="Calibri" w:hAnsi="Calibri" w:cs="宋体"/>
    </w:rPr>
  </w:style>
  <w:style w:type="character" w:customStyle="1" w:styleId="17">
    <w:name w:val="批注文字 字符"/>
    <w:basedOn w:val="12"/>
    <w:link w:val="3"/>
    <w:qFormat/>
    <w:uiPriority w:val="0"/>
    <w:rPr>
      <w:kern w:val="2"/>
      <w:sz w:val="21"/>
      <w:szCs w:val="24"/>
    </w:rPr>
  </w:style>
  <w:style w:type="character" w:customStyle="1" w:styleId="18">
    <w:name w:val="批注主题 字符"/>
    <w:basedOn w:val="17"/>
    <w:link w:val="9"/>
    <w:qFormat/>
    <w:uiPriority w:val="0"/>
    <w:rPr>
      <w:b/>
      <w:bCs/>
      <w:kern w:val="2"/>
      <w:sz w:val="21"/>
      <w:szCs w:val="24"/>
    </w:rPr>
  </w:style>
  <w:style w:type="character" w:customStyle="1" w:styleId="19">
    <w:name w:val="页脚 字符"/>
    <w:basedOn w:val="12"/>
    <w:link w:val="6"/>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3378</Words>
  <Characters>3570</Characters>
  <Lines>22</Lines>
  <Paragraphs>6</Paragraphs>
  <TotalTime>0</TotalTime>
  <ScaleCrop>false</ScaleCrop>
  <LinksUpToDate>false</LinksUpToDate>
  <CharactersWithSpaces>3571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2022-07-22T14:30:00Z</dcterms:created>
  <dc:creator>王榕</dc:creator>
  <cp:lastModifiedBy>hjx</cp:lastModifiedBy>
  <cp:lastPrinted>2021-06-04T03:18:00Z</cp:lastPrinted>
  <dcterms:modified xsi:type="dcterms:W3CDTF">2023-04-04T02:59:49Z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B3459F7DAE5D4F848B833AF3AFD76821</vt:lpwstr>
  </property>
</Properties>
</file>