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eastAsia="黑体"/>
          <w:color w:val="000000" w:themeColor="text1"/>
          <w:spacing w:val="-14"/>
          <w:sz w:val="32"/>
          <w:szCs w:val="32"/>
          <w:highlight w:val="none"/>
          <w:lang w:val="en-US" w:eastAsia="zh-CN"/>
          <w14:textFill>
            <w14:solidFill>
              <w14:schemeClr w14:val="tx1"/>
            </w14:solidFill>
          </w14:textFill>
        </w:rPr>
      </w:pPr>
      <w:r>
        <w:rPr>
          <w:rFonts w:hint="eastAsia" w:eastAsia="黑体"/>
          <w:color w:val="000000" w:themeColor="text1"/>
          <w:spacing w:val="-14"/>
          <w:sz w:val="32"/>
          <w:szCs w:val="32"/>
          <w:highlight w:val="none"/>
          <w14:textFill>
            <w14:solidFill>
              <w14:schemeClr w14:val="tx1"/>
            </w14:solidFill>
          </w14:textFill>
        </w:rPr>
        <w:t>南山区</w:t>
      </w:r>
      <w:r>
        <w:rPr>
          <w:rFonts w:hint="eastAsia" w:eastAsia="黑体"/>
          <w:color w:val="000000" w:themeColor="text1"/>
          <w:spacing w:val="-14"/>
          <w:sz w:val="32"/>
          <w:szCs w:val="32"/>
          <w:highlight w:val="none"/>
          <w:lang w:val="en-US" w:eastAsia="zh-CN"/>
          <w14:textFill>
            <w14:solidFill>
              <w14:schemeClr w14:val="tx1"/>
            </w14:solidFill>
          </w14:textFill>
        </w:rPr>
        <w:t>促进电竞产业发展专项扶持措施</w:t>
      </w:r>
    </w:p>
    <w:p>
      <w:pPr>
        <w:adjustRightInd w:val="0"/>
        <w:snapToGrid w:val="0"/>
        <w:spacing w:line="560" w:lineRule="exact"/>
        <w:jc w:val="center"/>
        <w:rPr>
          <w:rFonts w:hint="eastAsia" w:eastAsia="黑体"/>
          <w:color w:val="000000" w:themeColor="text1"/>
          <w:spacing w:val="-14"/>
          <w:sz w:val="32"/>
          <w:szCs w:val="32"/>
          <w:highlight w:val="none"/>
          <w:lang w:val="en-US" w:eastAsia="zh-CN"/>
          <w14:textFill>
            <w14:solidFill>
              <w14:schemeClr w14:val="tx1"/>
            </w14:solidFill>
          </w14:textFill>
        </w:rPr>
      </w:pPr>
      <w:r>
        <w:rPr>
          <w:rFonts w:hint="eastAsia" w:eastAsia="黑体"/>
          <w:color w:val="000000" w:themeColor="text1"/>
          <w:spacing w:val="-14"/>
          <w:sz w:val="32"/>
          <w:szCs w:val="32"/>
          <w:highlight w:val="none"/>
          <w14:textFill>
            <w14:solidFill>
              <w14:schemeClr w14:val="tx1"/>
            </w14:solidFill>
          </w14:textFill>
        </w:rPr>
        <w:t>支持举办电竞赛事</w:t>
      </w:r>
      <w:r>
        <w:rPr>
          <w:rFonts w:hint="eastAsia" w:eastAsia="黑体"/>
          <w:color w:val="000000" w:themeColor="text1"/>
          <w:spacing w:val="-14"/>
          <w:sz w:val="32"/>
          <w:szCs w:val="32"/>
          <w:highlight w:val="none"/>
          <w:lang w:val="en-US" w:eastAsia="zh-CN"/>
          <w14:textFill>
            <w14:solidFill>
              <w14:schemeClr w14:val="tx1"/>
            </w14:solidFill>
          </w14:textFill>
        </w:rPr>
        <w:t>项目</w:t>
      </w:r>
    </w:p>
    <w:p>
      <w:pPr>
        <w:adjustRightInd w:val="0"/>
        <w:snapToGrid w:val="0"/>
        <w:spacing w:line="560" w:lineRule="exact"/>
        <w:jc w:val="center"/>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14:textFill>
            <w14:solidFill>
              <w14:schemeClr w14:val="tx1"/>
            </w14:solidFill>
          </w14:textFill>
        </w:rPr>
        <w:t>操作规程</w:t>
      </w:r>
    </w:p>
    <w:p>
      <w:pPr>
        <w:adjustRightInd w:val="0"/>
        <w:snapToGrid w:val="0"/>
        <w:spacing w:line="560" w:lineRule="exact"/>
        <w:jc w:val="center"/>
        <w:rPr>
          <w:rFonts w:eastAsia="黑体"/>
          <w:color w:val="000000" w:themeColor="text1"/>
          <w:sz w:val="32"/>
          <w:szCs w:val="32"/>
          <w:highlight w:val="none"/>
          <w14:textFill>
            <w14:solidFill>
              <w14:schemeClr w14:val="tx1"/>
            </w14:solidFill>
          </w14:textFill>
        </w:rPr>
      </w:pPr>
      <w:r>
        <w:rPr>
          <w:rFonts w:hint="eastAsia" w:eastAsia="黑体"/>
          <w:b/>
          <w:bCs/>
          <w:color w:val="000000" w:themeColor="text1"/>
          <w:sz w:val="32"/>
          <w:szCs w:val="32"/>
          <w:highlight w:val="none"/>
          <w14:textFill>
            <w14:solidFill>
              <w14:schemeClr w14:val="tx1"/>
            </w14:solidFill>
          </w14:textFill>
        </w:rPr>
        <w:t>（</w:t>
      </w:r>
      <w:r>
        <w:rPr>
          <w:rFonts w:eastAsia="黑体"/>
          <w:b/>
          <w:bCs/>
          <w:color w:val="000000" w:themeColor="text1"/>
          <w:sz w:val="32"/>
          <w:szCs w:val="32"/>
          <w:highlight w:val="none"/>
          <w14:textFill>
            <w14:solidFill>
              <w14:schemeClr w14:val="tx1"/>
            </w14:solidFill>
          </w14:textFill>
        </w:rPr>
        <w:t>20</w:t>
      </w:r>
      <w:r>
        <w:rPr>
          <w:rFonts w:hint="eastAsia" w:eastAsia="黑体"/>
          <w:b/>
          <w:bCs/>
          <w:color w:val="000000" w:themeColor="text1"/>
          <w:sz w:val="32"/>
          <w:szCs w:val="32"/>
          <w:highlight w:val="none"/>
          <w14:textFill>
            <w14:solidFill>
              <w14:schemeClr w14:val="tx1"/>
            </w14:solidFill>
          </w14:textFill>
        </w:rPr>
        <w:t>2</w:t>
      </w:r>
      <w:r>
        <w:rPr>
          <w:rFonts w:hint="eastAsia" w:eastAsia="黑体"/>
          <w:b/>
          <w:bCs/>
          <w:color w:val="000000" w:themeColor="text1"/>
          <w:sz w:val="32"/>
          <w:szCs w:val="32"/>
          <w:highlight w:val="none"/>
          <w:lang w:val="en-US" w:eastAsia="zh-CN"/>
          <w14:textFill>
            <w14:solidFill>
              <w14:schemeClr w14:val="tx1"/>
            </w14:solidFill>
          </w14:textFill>
        </w:rPr>
        <w:t>3</w:t>
      </w:r>
      <w:r>
        <w:rPr>
          <w:rFonts w:hint="eastAsia" w:eastAsia="黑体"/>
          <w:b/>
          <w:bCs/>
          <w:color w:val="000000" w:themeColor="text1"/>
          <w:sz w:val="32"/>
          <w:szCs w:val="32"/>
          <w:highlight w:val="none"/>
          <w14:textFill>
            <w14:solidFill>
              <w14:schemeClr w14:val="tx1"/>
            </w14:solidFill>
          </w14:textFill>
        </w:rPr>
        <w:t>年）</w:t>
      </w:r>
    </w:p>
    <w:p>
      <w:pPr>
        <w:adjustRightInd w:val="0"/>
        <w:snapToGrid w:val="0"/>
        <w:spacing w:line="560" w:lineRule="exact"/>
        <w:rPr>
          <w:rFonts w:hAnsi="仿宋" w:eastAsia="仿宋"/>
          <w:color w:val="000000" w:themeColor="text1"/>
          <w:sz w:val="32"/>
          <w:szCs w:val="32"/>
          <w:highlight w:val="none"/>
          <w14:textFill>
            <w14:solidFill>
              <w14:schemeClr w14:val="tx1"/>
            </w14:solidFill>
          </w14:textFill>
        </w:rPr>
      </w:pP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为支持承办政府主办的重大电竞赛事，支持举办重点电竞职业联赛，鼓励举办高校电竞赛、粤港澳大湾区电竞赛等特色赛事，增强区域合作和协同发展，扩大南山区电竞产业影响力，根据《南山区促进现代产业高质量发展专项资金管理办法》和《南山区促进电竞产业发展专项扶持措施》，制定本操作规程。</w:t>
      </w:r>
    </w:p>
    <w:p>
      <w:pPr>
        <w:widowControl/>
        <w:adjustRightInd w:val="0"/>
        <w:snapToGrid w:val="0"/>
        <w:spacing w:line="560" w:lineRule="exac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一、政策内容</w:t>
      </w:r>
    </w:p>
    <w:p>
      <w:pPr>
        <w:widowControl/>
        <w:spacing w:line="560" w:lineRule="exact"/>
        <w:ind w:firstLine="640" w:firstLineChars="200"/>
        <w:rPr>
          <w:rFonts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14:textFill>
            <w14:solidFill>
              <w14:schemeClr w14:val="tx1"/>
            </w14:solidFill>
          </w14:textFill>
        </w:rPr>
        <w:t>（一）承办政府主办的重大电竞赛事。支持行业协会、专业机构、企业承办南山区政府组织举办的重大电竞赛事，</w:t>
      </w:r>
      <w:r>
        <w:rPr>
          <w:rFonts w:ascii="仿宋_GB2312" w:hAnsi="仿宋" w:eastAsia="仿宋_GB2312" w:cs="仿宋"/>
          <w:color w:val="000000" w:themeColor="text1"/>
          <w:sz w:val="32"/>
          <w:szCs w:val="32"/>
          <w:highlight w:val="none"/>
          <w14:textFill>
            <w14:solidFill>
              <w14:schemeClr w14:val="tx1"/>
            </w14:solidFill>
          </w14:textFill>
        </w:rPr>
        <w:t>每</w:t>
      </w:r>
      <w:r>
        <w:rPr>
          <w:rFonts w:hint="eastAsia" w:ascii="仿宋_GB2312" w:hAnsi="仿宋" w:eastAsia="仿宋_GB2312" w:cs="仿宋"/>
          <w:color w:val="000000" w:themeColor="text1"/>
          <w:sz w:val="32"/>
          <w:szCs w:val="32"/>
          <w:highlight w:val="none"/>
          <w14:textFill>
            <w14:solidFill>
              <w14:schemeClr w14:val="tx1"/>
            </w14:solidFill>
          </w14:textFill>
        </w:rPr>
        <w:t>个赛事给予最高不超过</w:t>
      </w:r>
      <w:r>
        <w:rPr>
          <w:rFonts w:ascii="仿宋_GB2312" w:hAnsi="仿宋" w:eastAsia="仿宋_GB2312" w:cs="仿宋"/>
          <w:color w:val="000000" w:themeColor="text1"/>
          <w:sz w:val="32"/>
          <w:szCs w:val="32"/>
          <w:highlight w:val="none"/>
          <w14:textFill>
            <w14:solidFill>
              <w14:schemeClr w14:val="tx1"/>
            </w14:solidFill>
          </w14:textFill>
        </w:rPr>
        <w:t>800</w:t>
      </w:r>
      <w:r>
        <w:rPr>
          <w:rFonts w:hint="eastAsia" w:ascii="仿宋_GB2312" w:hAnsi="仿宋" w:eastAsia="仿宋_GB2312" w:cs="仿宋"/>
          <w:color w:val="000000" w:themeColor="text1"/>
          <w:sz w:val="32"/>
          <w:szCs w:val="32"/>
          <w:highlight w:val="none"/>
          <w14:textFill>
            <w14:solidFill>
              <w14:schemeClr w14:val="tx1"/>
            </w14:solidFill>
          </w14:textFill>
        </w:rPr>
        <w:t>万元资助。</w:t>
      </w:r>
    </w:p>
    <w:p>
      <w:pPr>
        <w:widowControl/>
        <w:spacing w:line="560" w:lineRule="exact"/>
        <w:ind w:firstLine="640" w:firstLineChars="200"/>
        <w:rPr>
          <w:rFonts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14:textFill>
            <w14:solidFill>
              <w14:schemeClr w14:val="tx1"/>
            </w14:solidFill>
          </w14:textFill>
        </w:rPr>
        <w:t>（二）举办职业赛和特色电竞赛事。支持行业协会、专业机构、企业举办国际性/全国顶级职业杯赛/联赛电竞赛事，或高校类、区域类、联盟主场赛事等特色电竞赛事，每个赛事按照不超过实际发生费用</w:t>
      </w:r>
      <w:r>
        <w:rPr>
          <w:rFonts w:ascii="仿宋_GB2312" w:hAnsi="仿宋" w:eastAsia="仿宋_GB2312" w:cs="仿宋"/>
          <w:color w:val="000000" w:themeColor="text1"/>
          <w:sz w:val="32"/>
          <w:szCs w:val="32"/>
          <w:highlight w:val="none"/>
          <w14:textFill>
            <w14:solidFill>
              <w14:schemeClr w14:val="tx1"/>
            </w14:solidFill>
          </w14:textFill>
        </w:rPr>
        <w:t>50%的比例</w:t>
      </w:r>
      <w:r>
        <w:rPr>
          <w:rFonts w:hint="eastAsia" w:ascii="仿宋_GB2312" w:hAnsi="仿宋" w:eastAsia="仿宋_GB2312" w:cs="仿宋"/>
          <w:color w:val="000000" w:themeColor="text1"/>
          <w:sz w:val="32"/>
          <w:szCs w:val="32"/>
          <w:highlight w:val="none"/>
          <w14:textFill>
            <w14:solidFill>
              <w14:schemeClr w14:val="tx1"/>
            </w14:solidFill>
          </w14:textFill>
        </w:rPr>
        <w:t>，</w:t>
      </w:r>
      <w:r>
        <w:rPr>
          <w:rFonts w:ascii="仿宋_GB2312" w:hAnsi="仿宋" w:eastAsia="仿宋_GB2312" w:cs="仿宋"/>
          <w:color w:val="000000" w:themeColor="text1"/>
          <w:sz w:val="32"/>
          <w:szCs w:val="32"/>
          <w:highlight w:val="none"/>
          <w14:textFill>
            <w14:solidFill>
              <w14:schemeClr w14:val="tx1"/>
            </w14:solidFill>
          </w14:textFill>
        </w:rPr>
        <w:t>给予最高不超过500万元资助</w:t>
      </w:r>
      <w:r>
        <w:rPr>
          <w:rFonts w:hint="eastAsia" w:ascii="仿宋_GB2312" w:hAnsi="仿宋" w:eastAsia="仿宋_GB2312" w:cs="仿宋"/>
          <w:color w:val="000000" w:themeColor="text1"/>
          <w:sz w:val="32"/>
          <w:szCs w:val="32"/>
          <w:highlight w:val="none"/>
          <w14:textFill>
            <w14:solidFill>
              <w14:schemeClr w14:val="tx1"/>
            </w14:solidFill>
          </w14:textFill>
        </w:rPr>
        <w:t>，</w:t>
      </w:r>
      <w:r>
        <w:rPr>
          <w:rFonts w:ascii="仿宋_GB2312" w:hAnsi="仿宋" w:eastAsia="仿宋_GB2312" w:cs="仿宋"/>
          <w:color w:val="000000" w:themeColor="text1"/>
          <w:sz w:val="32"/>
          <w:szCs w:val="32"/>
          <w:highlight w:val="none"/>
          <w14:textFill>
            <w14:solidFill>
              <w14:schemeClr w14:val="tx1"/>
            </w14:solidFill>
          </w14:textFill>
        </w:rPr>
        <w:t>每家单位每年资助金额最高不超过</w:t>
      </w:r>
      <w:r>
        <w:rPr>
          <w:rFonts w:hint="eastAsia" w:ascii="仿宋_GB2312" w:hAnsi="仿宋" w:eastAsia="仿宋_GB2312" w:cs="仿宋"/>
          <w:color w:val="000000" w:themeColor="text1"/>
          <w:sz w:val="32"/>
          <w:szCs w:val="32"/>
          <w:highlight w:val="none"/>
          <w14:textFill>
            <w14:solidFill>
              <w14:schemeClr w14:val="tx1"/>
            </w14:solidFill>
          </w14:textFill>
        </w:rPr>
        <w:t>1000</w:t>
      </w:r>
      <w:r>
        <w:rPr>
          <w:rFonts w:ascii="仿宋_GB2312" w:hAnsi="仿宋" w:eastAsia="仿宋_GB2312" w:cs="仿宋"/>
          <w:color w:val="000000" w:themeColor="text1"/>
          <w:sz w:val="32"/>
          <w:szCs w:val="32"/>
          <w:highlight w:val="none"/>
          <w14:textFill>
            <w14:solidFill>
              <w14:schemeClr w14:val="tx1"/>
            </w14:solidFill>
          </w14:textFill>
        </w:rPr>
        <w:t>万元。</w:t>
      </w:r>
    </w:p>
    <w:p>
      <w:pPr>
        <w:widowControl/>
        <w:adjustRightInd w:val="0"/>
        <w:snapToGrid w:val="0"/>
        <w:spacing w:line="560" w:lineRule="exac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二、资助方式</w:t>
      </w:r>
    </w:p>
    <w:p>
      <w:pPr>
        <w:widowControl/>
        <w:adjustRightInd w:val="0"/>
        <w:snapToGrid w:val="0"/>
        <w:spacing w:line="560" w:lineRule="exact"/>
        <w:ind w:firstLine="537" w:firstLineChars="168"/>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本项资金资助属于核准类项目，资助资金的安排使用坚持公平、公开、公正的原则，实行自愿申报、科学决策和绩效评估的管理制度，采取无偿资助方式和</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事前（</w:t>
      </w:r>
      <w:r>
        <w:rPr>
          <w:rFonts w:hint="eastAsia" w:ascii="仿宋_GB2312" w:hAnsi="仿宋" w:eastAsia="仿宋_GB2312" w:cs="仿宋"/>
          <w:color w:val="000000" w:themeColor="text1"/>
          <w:sz w:val="32"/>
          <w:szCs w:val="32"/>
          <w:highlight w:val="none"/>
          <w14:textFill>
            <w14:solidFill>
              <w14:schemeClr w14:val="tx1"/>
            </w14:solidFill>
          </w14:textFill>
        </w:rPr>
        <w:t>承办政府主办的重大电竞赛事</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）或</w:t>
      </w:r>
      <w:r>
        <w:rPr>
          <w:rFonts w:hint="eastAsia" w:ascii="仿宋_GB2312" w:hAnsi="仿宋" w:eastAsia="仿宋_GB2312"/>
          <w:color w:val="000000" w:themeColor="text1"/>
          <w:sz w:val="32"/>
          <w:szCs w:val="32"/>
          <w:highlight w:val="none"/>
          <w14:textFill>
            <w14:solidFill>
              <w14:schemeClr w14:val="tx1"/>
            </w14:solidFill>
          </w14:textFill>
        </w:rPr>
        <w:t>事后</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s="仿宋"/>
          <w:color w:val="000000" w:themeColor="text1"/>
          <w:sz w:val="32"/>
          <w:szCs w:val="32"/>
          <w:highlight w:val="none"/>
          <w14:textFill>
            <w14:solidFill>
              <w14:schemeClr w14:val="tx1"/>
            </w14:solidFill>
          </w14:textFill>
        </w:rPr>
        <w:t>举办职业赛和特色电竞赛事</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补贴制，</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事前</w:t>
      </w:r>
      <w:r>
        <w:rPr>
          <w:rFonts w:hint="eastAsia" w:ascii="仿宋_GB2312" w:hAnsi="仿宋" w:eastAsia="仿宋_GB2312"/>
          <w:color w:val="000000" w:themeColor="text1"/>
          <w:sz w:val="32"/>
          <w:szCs w:val="32"/>
          <w:highlight w:val="none"/>
          <w14:textFill>
            <w14:solidFill>
              <w14:schemeClr w14:val="tx1"/>
            </w14:solidFill>
          </w14:textFill>
        </w:rPr>
        <w:t>资助项目需验收</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事后</w:t>
      </w:r>
      <w:r>
        <w:rPr>
          <w:rFonts w:hint="eastAsia" w:ascii="仿宋_GB2312" w:hAnsi="仿宋" w:eastAsia="仿宋_GB2312"/>
          <w:color w:val="000000" w:themeColor="text1"/>
          <w:sz w:val="32"/>
          <w:szCs w:val="32"/>
          <w:highlight w:val="none"/>
          <w14:textFill>
            <w14:solidFill>
              <w14:schemeClr w14:val="tx1"/>
            </w14:solidFill>
          </w14:textFill>
        </w:rPr>
        <w:t>资助项目无需验收。本项目不受“区级地方财力贡献”限制。</w:t>
      </w:r>
    </w:p>
    <w:p>
      <w:pPr>
        <w:widowControl/>
        <w:adjustRightInd w:val="0"/>
        <w:snapToGrid w:val="0"/>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三、申请条件</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（一）基本条件：</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1、</w:t>
      </w:r>
      <w:r>
        <w:rPr>
          <w:rFonts w:hint="eastAsia" w:ascii="仿宋_GB2312" w:hAnsi="仿宋" w:eastAsia="仿宋_GB2312"/>
          <w:color w:val="000000" w:themeColor="text1"/>
          <w:sz w:val="32"/>
          <w:szCs w:val="32"/>
          <w:highlight w:val="none"/>
          <w14:textFill>
            <w14:solidFill>
              <w14:schemeClr w14:val="tx1"/>
            </w14:solidFill>
          </w14:textFill>
        </w:rPr>
        <w:t>在南山辖区内登记注册、具有独立法人资格</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申请</w:t>
      </w:r>
      <w:r>
        <w:rPr>
          <w:rFonts w:hint="eastAsia" w:ascii="仿宋_GB2312" w:hAnsi="仿宋" w:eastAsia="仿宋_GB2312" w:cs="仿宋"/>
          <w:color w:val="000000" w:themeColor="text1"/>
          <w:sz w:val="32"/>
          <w:szCs w:val="32"/>
          <w:highlight w:val="none"/>
          <w14:textFill>
            <w14:solidFill>
              <w14:schemeClr w14:val="tx1"/>
            </w14:solidFill>
          </w14:textFill>
        </w:rPr>
        <w:t>承办政府主办的重大电竞赛事</w:t>
      </w:r>
      <w:r>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t>项目的，不受此项</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限制</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olor w:val="000000" w:themeColor="text1"/>
          <w:sz w:val="32"/>
          <w:szCs w:val="32"/>
          <w:highlight w:val="none"/>
          <w14:textFill>
            <w14:solidFill>
              <w14:schemeClr w14:val="tx1"/>
            </w14:solidFill>
          </w14:textFill>
        </w:rPr>
        <w:t>履行统计数据申报义务、守法经营、诚实守信、有规范健全的财务制度</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申请</w:t>
      </w:r>
      <w:r>
        <w:rPr>
          <w:rFonts w:hint="eastAsia" w:ascii="仿宋_GB2312" w:hAnsi="仿宋" w:eastAsia="仿宋_GB2312" w:cs="仿宋"/>
          <w:color w:val="000000" w:themeColor="text1"/>
          <w:sz w:val="32"/>
          <w:szCs w:val="32"/>
          <w:highlight w:val="none"/>
          <w14:textFill>
            <w14:solidFill>
              <w14:schemeClr w14:val="tx1"/>
            </w14:solidFill>
          </w14:textFill>
        </w:rPr>
        <w:t>承办政府主办的重大电竞赛事</w:t>
      </w:r>
      <w:r>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t>项目的，不受</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履行统计数据申报义务</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”限制</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3、</w:t>
      </w:r>
      <w:r>
        <w:rPr>
          <w:rFonts w:hint="eastAsia" w:ascii="仿宋_GB2312" w:hAnsi="仿宋" w:eastAsia="仿宋_GB2312"/>
          <w:color w:val="000000" w:themeColor="text1"/>
          <w:sz w:val="32"/>
          <w:szCs w:val="32"/>
          <w:highlight w:val="none"/>
          <w14:textFill>
            <w14:solidFill>
              <w14:schemeClr w14:val="tx1"/>
            </w14:solidFill>
          </w14:textFill>
        </w:rPr>
        <w:t>应积极配合区委、区政府相关工作；</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4、</w:t>
      </w:r>
      <w:r>
        <w:rPr>
          <w:rFonts w:hint="eastAsia" w:ascii="仿宋_GB2312" w:hAnsi="仿宋" w:eastAsia="仿宋_GB2312"/>
          <w:color w:val="000000" w:themeColor="text1"/>
          <w:sz w:val="32"/>
          <w:szCs w:val="32"/>
          <w:highlight w:val="none"/>
          <w14:textFill>
            <w14:solidFill>
              <w14:schemeClr w14:val="tx1"/>
            </w14:solidFill>
          </w14:textFill>
        </w:rPr>
        <w:t>其他除外情形的，由资金主管部门在产业扶持政策措施或其操作规程中另行作出明确规定。</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（二）不予资助情形：</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1、被依法依规纳入严重失信主体名单或失信惩戒措施清单的；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olor w:val="000000" w:themeColor="text1"/>
          <w:sz w:val="32"/>
          <w:szCs w:val="32"/>
          <w:highlight w:val="none"/>
          <w14:textFill>
            <w14:solidFill>
              <w14:schemeClr w14:val="tx1"/>
            </w14:solidFill>
          </w14:textFill>
        </w:rPr>
        <w:t>、提出资助申请后，申报主体注册地或在地统计关系发生变化，不再符合申报条件的</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申请</w:t>
      </w:r>
      <w:r>
        <w:rPr>
          <w:rFonts w:hint="eastAsia" w:ascii="仿宋_GB2312" w:hAnsi="仿宋" w:eastAsia="仿宋_GB2312" w:cs="仿宋"/>
          <w:color w:val="000000" w:themeColor="text1"/>
          <w:sz w:val="32"/>
          <w:szCs w:val="32"/>
          <w:highlight w:val="none"/>
          <w14:textFill>
            <w14:solidFill>
              <w14:schemeClr w14:val="tx1"/>
            </w14:solidFill>
          </w14:textFill>
        </w:rPr>
        <w:t>承办政府主办的重大电竞赛事</w:t>
      </w:r>
      <w:r>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t>项目的，不受此项</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限制</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四、申报类别</w:t>
      </w:r>
    </w:p>
    <w:p>
      <w:pPr>
        <w:pStyle w:val="15"/>
        <w:tabs>
          <w:tab w:val="left" w:pos="0"/>
        </w:tabs>
        <w:spacing w:line="560" w:lineRule="exact"/>
        <w:ind w:firstLine="640"/>
        <w:rPr>
          <w:rFonts w:ascii="仿宋" w:hAnsi="仿宋" w:eastAsia="仿宋" w:cs="Times New Roman"/>
          <w:color w:val="00B0F0"/>
          <w:sz w:val="32"/>
          <w:szCs w:val="32"/>
          <w:highlight w:val="none"/>
        </w:rPr>
      </w:pPr>
      <w:r>
        <w:rPr>
          <w:rFonts w:hint="eastAsia" w:ascii="仿宋_GB2312" w:hAnsi="仿宋" w:eastAsia="仿宋_GB2312" w:cs="仿宋"/>
          <w:b/>
          <w:bCs/>
          <w:color w:val="000000" w:themeColor="text1"/>
          <w:sz w:val="32"/>
          <w:szCs w:val="32"/>
          <w:highlight w:val="none"/>
          <w:lang w:val="en-US" w:eastAsia="zh-CN"/>
          <w14:textFill>
            <w14:solidFill>
              <w14:schemeClr w14:val="tx1"/>
            </w14:solidFill>
          </w14:textFill>
        </w:rPr>
        <w:t>1.</w:t>
      </w:r>
      <w:r>
        <w:rPr>
          <w:rFonts w:hint="eastAsia" w:ascii="仿宋_GB2312" w:hAnsi="仿宋" w:eastAsia="仿宋_GB2312" w:cs="仿宋"/>
          <w:b/>
          <w:bCs/>
          <w:color w:val="000000" w:themeColor="text1"/>
          <w:sz w:val="32"/>
          <w:szCs w:val="32"/>
          <w:highlight w:val="none"/>
          <w14:textFill>
            <w14:solidFill>
              <w14:schemeClr w14:val="tx1"/>
            </w14:solidFill>
          </w14:textFill>
        </w:rPr>
        <w:t>承办政府主办的重大电竞赛事。</w:t>
      </w:r>
      <w:r>
        <w:rPr>
          <w:rFonts w:hint="eastAsia" w:ascii="仿宋_GB2312" w:hAnsi="仿宋" w:eastAsia="仿宋_GB2312" w:cs="仿宋"/>
          <w:color w:val="000000" w:themeColor="text1"/>
          <w:sz w:val="32"/>
          <w:szCs w:val="32"/>
          <w:highlight w:val="none"/>
          <w14:textFill>
            <w14:solidFill>
              <w14:schemeClr w14:val="tx1"/>
            </w14:solidFill>
          </w14:textFill>
        </w:rPr>
        <w:t>支持行业协会、专业机构、企业承办南山区政府组织主办的重大电竞赛事，</w:t>
      </w:r>
      <w:r>
        <w:rPr>
          <w:rFonts w:ascii="仿宋_GB2312" w:hAnsi="仿宋" w:eastAsia="仿宋_GB2312" w:cs="仿宋"/>
          <w:color w:val="000000" w:themeColor="text1"/>
          <w:sz w:val="32"/>
          <w:szCs w:val="32"/>
          <w:highlight w:val="none"/>
          <w14:textFill>
            <w14:solidFill>
              <w14:schemeClr w14:val="tx1"/>
            </w14:solidFill>
          </w14:textFill>
        </w:rPr>
        <w:t>每</w:t>
      </w:r>
      <w:r>
        <w:rPr>
          <w:rFonts w:hint="eastAsia" w:ascii="仿宋_GB2312" w:hAnsi="仿宋" w:eastAsia="仿宋_GB2312" w:cs="仿宋"/>
          <w:color w:val="000000" w:themeColor="text1"/>
          <w:sz w:val="32"/>
          <w:szCs w:val="32"/>
          <w:highlight w:val="none"/>
          <w14:textFill>
            <w14:solidFill>
              <w14:schemeClr w14:val="tx1"/>
            </w14:solidFill>
          </w14:textFill>
        </w:rPr>
        <w:t>个赛事给予最高不超过</w:t>
      </w:r>
      <w:r>
        <w:rPr>
          <w:rFonts w:ascii="仿宋_GB2312" w:hAnsi="仿宋" w:eastAsia="仿宋_GB2312" w:cs="仿宋"/>
          <w:color w:val="000000" w:themeColor="text1"/>
          <w:sz w:val="32"/>
          <w:szCs w:val="32"/>
          <w:highlight w:val="none"/>
          <w14:textFill>
            <w14:solidFill>
              <w14:schemeClr w14:val="tx1"/>
            </w14:solidFill>
          </w14:textFill>
        </w:rPr>
        <w:t>800</w:t>
      </w:r>
      <w:r>
        <w:rPr>
          <w:rFonts w:hint="eastAsia" w:ascii="仿宋_GB2312" w:hAnsi="仿宋" w:eastAsia="仿宋_GB2312" w:cs="仿宋"/>
          <w:color w:val="000000" w:themeColor="text1"/>
          <w:sz w:val="32"/>
          <w:szCs w:val="32"/>
          <w:highlight w:val="none"/>
          <w14:textFill>
            <w14:solidFill>
              <w14:schemeClr w14:val="tx1"/>
            </w14:solidFill>
          </w14:textFill>
        </w:rPr>
        <w:t>万元资助。</w:t>
      </w:r>
    </w:p>
    <w:p>
      <w:pPr>
        <w:adjustRightInd w:val="0"/>
        <w:snapToGrid w:val="0"/>
        <w:spacing w:line="560" w:lineRule="exact"/>
        <w:ind w:firstLine="640" w:firstLineChars="200"/>
        <w:rPr>
          <w:rFonts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申报条件及说明：</w:t>
      </w:r>
    </w:p>
    <w:p>
      <w:pPr>
        <w:pStyle w:val="15"/>
        <w:tabs>
          <w:tab w:val="left" w:pos="0"/>
        </w:tabs>
        <w:spacing w:line="560" w:lineRule="exact"/>
        <w:ind w:firstLine="640"/>
        <w:rPr>
          <w:rFonts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1）</w:t>
      </w:r>
      <w:r>
        <w:rPr>
          <w:rFonts w:hint="eastAsia" w:ascii="仿宋_GB2312" w:hAnsi="仿宋" w:eastAsia="仿宋_GB2312" w:cs="仿宋"/>
          <w:color w:val="000000" w:themeColor="text1"/>
          <w:sz w:val="32"/>
          <w:szCs w:val="32"/>
          <w:highlight w:val="none"/>
          <w14:textFill>
            <w14:solidFill>
              <w14:schemeClr w14:val="tx1"/>
            </w14:solidFill>
          </w14:textFill>
        </w:rPr>
        <w:t>重大电竞赛事的标准</w:t>
      </w:r>
      <w:r>
        <w:rPr>
          <w:rFonts w:hint="eastAsia" w:ascii="仿宋_GB2312" w:hAnsi="仿宋" w:eastAsia="仿宋_GB2312" w:cs="Times New Roman"/>
          <w:color w:val="000000"/>
          <w:sz w:val="32"/>
          <w:szCs w:val="32"/>
          <w:highlight w:val="none"/>
        </w:rPr>
        <w:t>：由南山区政府主办的国际性/全国性/区域性/主题性的重大电竞赛事，最终解释权归南山区政府。</w:t>
      </w:r>
    </w:p>
    <w:p>
      <w:pPr>
        <w:pStyle w:val="15"/>
        <w:tabs>
          <w:tab w:val="left" w:pos="0"/>
        </w:tabs>
        <w:spacing w:line="560" w:lineRule="exact"/>
        <w:ind w:firstLine="640"/>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2）</w:t>
      </w:r>
      <w:r>
        <w:rPr>
          <w:rFonts w:ascii="仿宋_GB2312" w:hAnsi="仿宋" w:eastAsia="仿宋_GB2312" w:cs="仿宋"/>
          <w:color w:val="000000" w:themeColor="text1"/>
          <w:sz w:val="32"/>
          <w:szCs w:val="32"/>
          <w:highlight w:val="none"/>
          <w14:textFill>
            <w14:solidFill>
              <w14:schemeClr w14:val="tx1"/>
            </w14:solidFill>
          </w14:textFill>
        </w:rPr>
        <w:t>每</w:t>
      </w:r>
      <w:r>
        <w:rPr>
          <w:rFonts w:hint="eastAsia" w:ascii="仿宋_GB2312" w:hAnsi="仿宋" w:eastAsia="仿宋_GB2312" w:cs="仿宋"/>
          <w:color w:val="000000" w:themeColor="text1"/>
          <w:sz w:val="32"/>
          <w:szCs w:val="32"/>
          <w:highlight w:val="none"/>
          <w14:textFill>
            <w14:solidFill>
              <w14:schemeClr w14:val="tx1"/>
            </w14:solidFill>
          </w14:textFill>
        </w:rPr>
        <w:t>个赛事给予最高不超过</w:t>
      </w:r>
      <w:r>
        <w:rPr>
          <w:rFonts w:ascii="仿宋_GB2312" w:hAnsi="仿宋" w:eastAsia="仿宋_GB2312" w:cs="仿宋"/>
          <w:color w:val="000000" w:themeColor="text1"/>
          <w:sz w:val="32"/>
          <w:szCs w:val="32"/>
          <w:highlight w:val="none"/>
          <w14:textFill>
            <w14:solidFill>
              <w14:schemeClr w14:val="tx1"/>
            </w14:solidFill>
          </w14:textFill>
        </w:rPr>
        <w:t>800</w:t>
      </w:r>
      <w:r>
        <w:rPr>
          <w:rFonts w:hint="eastAsia" w:ascii="仿宋_GB2312" w:hAnsi="仿宋" w:eastAsia="仿宋_GB2312" w:cs="仿宋"/>
          <w:color w:val="000000" w:themeColor="text1"/>
          <w:sz w:val="32"/>
          <w:szCs w:val="32"/>
          <w:highlight w:val="none"/>
          <w14:textFill>
            <w14:solidFill>
              <w14:schemeClr w14:val="tx1"/>
            </w14:solidFill>
          </w14:textFill>
        </w:rPr>
        <w:t>万元的事前资助</w:t>
      </w:r>
      <w:r>
        <w:rPr>
          <w:rFonts w:hint="eastAsia" w:ascii="仿宋_GB2312" w:hAnsi="仿宋" w:eastAsia="仿宋_GB2312" w:cs="Times New Roman"/>
          <w:color w:val="000000"/>
          <w:sz w:val="32"/>
          <w:szCs w:val="32"/>
          <w:highlight w:val="none"/>
        </w:rPr>
        <w:t>。</w:t>
      </w:r>
    </w:p>
    <w:p>
      <w:pPr>
        <w:pStyle w:val="15"/>
        <w:tabs>
          <w:tab w:val="left" w:pos="0"/>
        </w:tabs>
        <w:spacing w:line="560" w:lineRule="exact"/>
        <w:ind w:firstLine="640"/>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lang w:val="en-US" w:eastAsia="zh-CN"/>
        </w:rPr>
        <w:t>3</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lang w:val="en-US" w:eastAsia="zh-CN"/>
        </w:rPr>
        <w:t>资助范围为本年度举办的重大电竞赛事。</w:t>
      </w:r>
    </w:p>
    <w:p>
      <w:pPr>
        <w:pStyle w:val="15"/>
        <w:tabs>
          <w:tab w:val="left" w:pos="0"/>
        </w:tabs>
        <w:spacing w:line="560" w:lineRule="exact"/>
        <w:ind w:firstLine="640"/>
        <w:rPr>
          <w:rFonts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lang w:val="en-US" w:eastAsia="zh-CN"/>
        </w:rPr>
        <w:t>4</w:t>
      </w:r>
      <w:r>
        <w:rPr>
          <w:rFonts w:hint="eastAsia" w:ascii="仿宋_GB2312" w:hAnsi="仿宋" w:eastAsia="仿宋_GB2312" w:cs="Times New Roman"/>
          <w:color w:val="000000"/>
          <w:sz w:val="32"/>
          <w:szCs w:val="32"/>
          <w:highlight w:val="none"/>
        </w:rPr>
        <w:t>）重大电竞赛事，需由南山区政府批准，由南山区文化广电旅游体育局组织，由</w:t>
      </w:r>
      <w:r>
        <w:rPr>
          <w:rFonts w:hint="eastAsia" w:ascii="仿宋_GB2312" w:hAnsi="仿宋" w:eastAsia="仿宋_GB2312" w:cs="仿宋"/>
          <w:color w:val="000000" w:themeColor="text1"/>
          <w:sz w:val="32"/>
          <w:szCs w:val="32"/>
          <w:highlight w:val="none"/>
          <w14:textFill>
            <w14:solidFill>
              <w14:schemeClr w14:val="tx1"/>
            </w14:solidFill>
          </w14:textFill>
        </w:rPr>
        <w:t>行业协会、专业机构、企业承办</w:t>
      </w:r>
      <w:r>
        <w:rPr>
          <w:rFonts w:hint="eastAsia" w:ascii="仿宋_GB2312" w:hAnsi="仿宋" w:eastAsia="仿宋_GB2312" w:cs="Times New Roman"/>
          <w:color w:val="000000"/>
          <w:sz w:val="32"/>
          <w:szCs w:val="32"/>
          <w:highlight w:val="none"/>
        </w:rPr>
        <w:t>。</w:t>
      </w:r>
    </w:p>
    <w:p>
      <w:pPr>
        <w:widowControl/>
        <w:spacing w:line="560" w:lineRule="exact"/>
        <w:ind w:firstLine="643" w:firstLineChars="200"/>
        <w:rPr>
          <w:rFonts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b/>
          <w:bCs/>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s="仿宋"/>
          <w:b/>
          <w:bCs/>
          <w:color w:val="000000" w:themeColor="text1"/>
          <w:sz w:val="32"/>
          <w:szCs w:val="32"/>
          <w:highlight w:val="none"/>
          <w14:textFill>
            <w14:solidFill>
              <w14:schemeClr w14:val="tx1"/>
            </w14:solidFill>
          </w14:textFill>
        </w:rPr>
        <w:t>举办职业电竞赛事和特色电竞赛事。</w:t>
      </w:r>
      <w:r>
        <w:rPr>
          <w:rFonts w:hint="eastAsia" w:ascii="仿宋_GB2312" w:hAnsi="仿宋" w:eastAsia="仿宋_GB2312" w:cs="仿宋"/>
          <w:color w:val="000000" w:themeColor="text1"/>
          <w:sz w:val="32"/>
          <w:szCs w:val="32"/>
          <w:highlight w:val="none"/>
          <w14:textFill>
            <w14:solidFill>
              <w14:schemeClr w14:val="tx1"/>
            </w14:solidFill>
          </w14:textFill>
        </w:rPr>
        <w:t>支持行业协会、专业机构、企业举办国际性/全国性顶级职业电竞赛事，或高校类、区域类、联盟主场赛事等特色电竞赛事，每个赛事按照不超过实际发生费用</w:t>
      </w:r>
      <w:r>
        <w:rPr>
          <w:rFonts w:ascii="仿宋_GB2312" w:hAnsi="仿宋" w:eastAsia="仿宋_GB2312" w:cs="仿宋"/>
          <w:color w:val="000000" w:themeColor="text1"/>
          <w:sz w:val="32"/>
          <w:szCs w:val="32"/>
          <w:highlight w:val="none"/>
          <w14:textFill>
            <w14:solidFill>
              <w14:schemeClr w14:val="tx1"/>
            </w14:solidFill>
          </w14:textFill>
        </w:rPr>
        <w:t>50%的比例</w:t>
      </w:r>
      <w:r>
        <w:rPr>
          <w:rFonts w:hint="eastAsia" w:ascii="仿宋_GB2312" w:hAnsi="仿宋" w:eastAsia="仿宋_GB2312" w:cs="仿宋"/>
          <w:color w:val="000000" w:themeColor="text1"/>
          <w:sz w:val="32"/>
          <w:szCs w:val="32"/>
          <w:highlight w:val="none"/>
          <w14:textFill>
            <w14:solidFill>
              <w14:schemeClr w14:val="tx1"/>
            </w14:solidFill>
          </w14:textFill>
        </w:rPr>
        <w:t>，</w:t>
      </w:r>
      <w:r>
        <w:rPr>
          <w:rFonts w:ascii="仿宋_GB2312" w:hAnsi="仿宋" w:eastAsia="仿宋_GB2312" w:cs="仿宋"/>
          <w:color w:val="000000" w:themeColor="text1"/>
          <w:sz w:val="32"/>
          <w:szCs w:val="32"/>
          <w:highlight w:val="none"/>
          <w14:textFill>
            <w14:solidFill>
              <w14:schemeClr w14:val="tx1"/>
            </w14:solidFill>
          </w14:textFill>
        </w:rPr>
        <w:t>给予最高不超过500万元资助</w:t>
      </w:r>
      <w:r>
        <w:rPr>
          <w:rFonts w:hint="eastAsia" w:ascii="仿宋_GB2312" w:hAnsi="仿宋" w:eastAsia="仿宋_GB2312" w:cs="仿宋"/>
          <w:color w:val="000000" w:themeColor="text1"/>
          <w:sz w:val="32"/>
          <w:szCs w:val="32"/>
          <w:highlight w:val="none"/>
          <w14:textFill>
            <w14:solidFill>
              <w14:schemeClr w14:val="tx1"/>
            </w14:solidFill>
          </w14:textFill>
        </w:rPr>
        <w:t>，</w:t>
      </w:r>
      <w:r>
        <w:rPr>
          <w:rFonts w:ascii="仿宋_GB2312" w:hAnsi="仿宋" w:eastAsia="仿宋_GB2312" w:cs="仿宋"/>
          <w:color w:val="000000" w:themeColor="text1"/>
          <w:sz w:val="32"/>
          <w:szCs w:val="32"/>
          <w:highlight w:val="none"/>
          <w14:textFill>
            <w14:solidFill>
              <w14:schemeClr w14:val="tx1"/>
            </w14:solidFill>
          </w14:textFill>
        </w:rPr>
        <w:t>每家单位每年资助金额最高不超过</w:t>
      </w:r>
      <w:r>
        <w:rPr>
          <w:rFonts w:hint="eastAsia" w:ascii="仿宋_GB2312" w:hAnsi="仿宋" w:eastAsia="仿宋_GB2312" w:cs="仿宋"/>
          <w:color w:val="000000" w:themeColor="text1"/>
          <w:sz w:val="32"/>
          <w:szCs w:val="32"/>
          <w:highlight w:val="none"/>
          <w14:textFill>
            <w14:solidFill>
              <w14:schemeClr w14:val="tx1"/>
            </w14:solidFill>
          </w14:textFill>
        </w:rPr>
        <w:t>1000</w:t>
      </w:r>
      <w:r>
        <w:rPr>
          <w:rFonts w:ascii="仿宋_GB2312" w:hAnsi="仿宋" w:eastAsia="仿宋_GB2312" w:cs="仿宋"/>
          <w:color w:val="000000" w:themeColor="text1"/>
          <w:sz w:val="32"/>
          <w:szCs w:val="32"/>
          <w:highlight w:val="none"/>
          <w14:textFill>
            <w14:solidFill>
              <w14:schemeClr w14:val="tx1"/>
            </w14:solidFill>
          </w14:textFill>
        </w:rPr>
        <w:t>万元。</w:t>
      </w:r>
    </w:p>
    <w:p>
      <w:pPr>
        <w:pStyle w:val="15"/>
        <w:tabs>
          <w:tab w:val="left" w:pos="0"/>
        </w:tabs>
        <w:spacing w:line="560" w:lineRule="exact"/>
        <w:ind w:firstLine="640"/>
        <w:rPr>
          <w:rFonts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申报条件及说明：</w:t>
      </w:r>
    </w:p>
    <w:p>
      <w:pPr>
        <w:widowControl/>
        <w:ind w:firstLine="640" w:firstLineChars="200"/>
        <w:rPr>
          <w:rFonts w:hint="eastAsia"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Times New Roman"/>
          <w:color w:val="000000"/>
          <w:sz w:val="32"/>
          <w:szCs w:val="32"/>
          <w:highlight w:val="none"/>
        </w:rPr>
        <w:t>1）</w:t>
      </w:r>
      <w:r>
        <w:rPr>
          <w:rFonts w:hint="eastAsia" w:ascii="仿宋_GB2312" w:hAnsi="仿宋" w:eastAsia="仿宋_GB2312" w:cs="仿宋"/>
          <w:color w:val="000000" w:themeColor="text1"/>
          <w:sz w:val="32"/>
          <w:szCs w:val="32"/>
          <w:highlight w:val="none"/>
          <w14:textFill>
            <w14:solidFill>
              <w14:schemeClr w14:val="tx1"/>
            </w14:solidFill>
          </w14:textFill>
        </w:rPr>
        <w:t>举办职业电竞赛事和特色电竞赛事</w:t>
      </w:r>
      <w:r>
        <w:rPr>
          <w:rFonts w:hint="eastAsia" w:ascii="仿宋_GB2312" w:hAnsi="仿宋" w:eastAsia="仿宋_GB2312" w:cs="Times New Roman"/>
          <w:color w:val="000000"/>
          <w:sz w:val="32"/>
          <w:szCs w:val="32"/>
          <w:highlight w:val="none"/>
        </w:rPr>
        <w:t>的</w:t>
      </w:r>
      <w:r>
        <w:rPr>
          <w:rFonts w:hint="eastAsia" w:ascii="仿宋_GB2312" w:hAnsi="仿宋" w:eastAsia="仿宋_GB2312" w:cs="Times New Roman"/>
          <w:color w:val="000000"/>
          <w:sz w:val="32"/>
          <w:szCs w:val="32"/>
          <w:highlight w:val="none"/>
          <w:lang w:val="en-US" w:eastAsia="zh-CN"/>
        </w:rPr>
        <w:t>资助</w:t>
      </w:r>
      <w:r>
        <w:rPr>
          <w:rFonts w:hint="eastAsia" w:ascii="仿宋_GB2312" w:hAnsi="仿宋" w:eastAsia="仿宋_GB2312" w:cs="Times New Roman"/>
          <w:color w:val="000000"/>
          <w:sz w:val="32"/>
          <w:szCs w:val="32"/>
          <w:highlight w:val="none"/>
        </w:rPr>
        <w:t>标准：</w:t>
      </w:r>
      <w:bookmarkStart w:id="0" w:name="_Hlk109896820"/>
      <w:r>
        <w:rPr>
          <w:rFonts w:hint="eastAsia" w:ascii="仿宋_GB2312" w:hAnsi="仿宋" w:eastAsia="仿宋_GB2312" w:cs="仿宋"/>
          <w:color w:val="000000" w:themeColor="text1"/>
          <w:sz w:val="32"/>
          <w:szCs w:val="32"/>
          <w:highlight w:val="none"/>
          <w14:textFill>
            <w14:solidFill>
              <w14:schemeClr w14:val="tx1"/>
            </w14:solidFill>
          </w14:textFill>
        </w:rPr>
        <w:t>举办国际性顶级职业赛事，给予每个赛事最高不超过500万元资助，每家单位每年资助总额不超过1000万元；举办全国性顶级职业赛事，给予每个赛事最高不超过300万元资助，每家单位每年资助总额不超过600万元；举办高校类、区域类、联盟主场赛事等特色电竞赛事，给予每个赛事最高不超过100万元资助，每家单位每年资助总额不超过200万元</w:t>
      </w:r>
      <w:bookmarkEnd w:id="0"/>
      <w:r>
        <w:rPr>
          <w:rFonts w:hint="eastAsia" w:ascii="仿宋_GB2312" w:hAnsi="仿宋" w:eastAsia="仿宋_GB2312" w:cs="仿宋"/>
          <w:color w:val="000000" w:themeColor="text1"/>
          <w:sz w:val="32"/>
          <w:szCs w:val="32"/>
          <w:highlight w:val="none"/>
          <w14:textFill>
            <w14:solidFill>
              <w14:schemeClr w14:val="tx1"/>
            </w14:solidFill>
          </w14:textFill>
        </w:rPr>
        <w:t>。上述赛事，每个赛事按照不超过实际发生费用50%比例的给予资助</w:t>
      </w:r>
      <w:r>
        <w:rPr>
          <w:rFonts w:hint="eastAsia" w:ascii="仿宋_GB2312" w:hAnsi="仿宋" w:eastAsia="仿宋_GB2312" w:cs="仿宋"/>
          <w:color w:val="000000" w:themeColor="text1"/>
          <w:sz w:val="32"/>
          <w:szCs w:val="32"/>
          <w:highlight w:val="none"/>
          <w:lang w:eastAsia="zh-CN"/>
          <w14:textFill>
            <w14:solidFill>
              <w14:schemeClr w14:val="tx1"/>
            </w14:solidFill>
          </w14:textFill>
        </w:rPr>
        <w:t>，</w:t>
      </w:r>
      <w:r>
        <w:rPr>
          <w:rFonts w:hint="eastAsia" w:ascii="仿宋_GB2312" w:hAnsi="仿宋" w:eastAsia="仿宋_GB2312" w:cs="仿宋"/>
          <w:color w:val="000000" w:themeColor="text1"/>
          <w:sz w:val="32"/>
          <w:szCs w:val="32"/>
          <w:highlight w:val="none"/>
          <w14:textFill>
            <w14:solidFill>
              <w14:schemeClr w14:val="tx1"/>
            </w14:solidFill>
          </w14:textFill>
        </w:rPr>
        <w:t>每家单位每年资助金额最高不超过1000万元。</w:t>
      </w:r>
    </w:p>
    <w:p>
      <w:pPr>
        <w:pStyle w:val="15"/>
        <w:tabs>
          <w:tab w:val="left" w:pos="0"/>
        </w:tabs>
        <w:spacing w:line="560" w:lineRule="exact"/>
        <w:ind w:firstLine="640"/>
        <w:rPr>
          <w:rFonts w:hint="eastAsia" w:ascii="仿宋_GB2312" w:hAnsi="仿宋" w:eastAsia="仿宋_GB2312" w:cs="Times New Roman"/>
          <w:color w:val="000000"/>
          <w:kern w:val="2"/>
          <w:sz w:val="32"/>
          <w:szCs w:val="32"/>
          <w:highlight w:val="none"/>
          <w:lang w:val="en-US" w:eastAsia="zh-CN" w:bidi="ar-SA"/>
        </w:rPr>
      </w:pPr>
      <w:r>
        <w:rPr>
          <w:rFonts w:hint="eastAsia" w:ascii="仿宋_GB2312" w:hAnsi="仿宋" w:eastAsia="仿宋_GB2312" w:cs="Times New Roman"/>
          <w:color w:val="000000"/>
          <w:kern w:val="2"/>
          <w:sz w:val="32"/>
          <w:szCs w:val="32"/>
          <w:highlight w:val="none"/>
          <w:lang w:val="en-US" w:eastAsia="zh-CN" w:bidi="ar-SA"/>
        </w:rPr>
        <w:t>2）职业电竞赛事的标准：获得游戏版权官方授权，国际性赛事的总奖金不低于100万美元或600万元人民币，全国性赛事的总奖金不低于300万元人民币。</w:t>
      </w:r>
    </w:p>
    <w:p>
      <w:pPr>
        <w:pStyle w:val="15"/>
        <w:tabs>
          <w:tab w:val="left" w:pos="0"/>
        </w:tabs>
        <w:spacing w:line="560" w:lineRule="exact"/>
        <w:ind w:firstLine="640"/>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lang w:val="en-US" w:eastAsia="zh-CN"/>
        </w:rPr>
        <w:t>3</w:t>
      </w:r>
      <w:r>
        <w:rPr>
          <w:rFonts w:hint="eastAsia" w:ascii="仿宋_GB2312" w:hAnsi="仿宋" w:eastAsia="仿宋_GB2312" w:cs="Times New Roman"/>
          <w:color w:val="000000"/>
          <w:sz w:val="32"/>
          <w:szCs w:val="32"/>
          <w:highlight w:val="none"/>
        </w:rPr>
        <w:t>）特色电竞赛事的标准：高校电竞赛，要求至少有100个以上高校代表队、1000支参赛队伍参加比赛；区域类电竞赛，要求须含深圳在内的不少于10个地市级以上城市代表队、总选手人数不少于1000人参加比赛，或须含香港、澳门和深圳在内的地级市不少于5个以上城市代表队、总选手人数不少于500人参加的粤港澳大湾区电竞赛事；</w:t>
      </w:r>
      <w:r>
        <w:rPr>
          <w:rFonts w:hint="eastAsia" w:ascii="仿宋_GB2312" w:hAnsi="仿宋" w:eastAsia="仿宋_GB2312" w:cs="Times New Roman"/>
          <w:color w:val="000000"/>
          <w:sz w:val="32"/>
          <w:szCs w:val="32"/>
          <w:highlight w:val="none"/>
          <w:lang w:val="en-US" w:eastAsia="zh-CN"/>
        </w:rPr>
        <w:t>经备案的</w:t>
      </w:r>
      <w:r>
        <w:rPr>
          <w:rFonts w:hint="eastAsia" w:ascii="仿宋_GB2312" w:hAnsi="仿宋" w:eastAsia="仿宋_GB2312" w:cs="Times New Roman"/>
          <w:color w:val="000000"/>
          <w:sz w:val="32"/>
          <w:szCs w:val="32"/>
          <w:highlight w:val="none"/>
        </w:rPr>
        <w:t>主场落户南山区的电竞俱乐部，在南山区举办的联盟主场赛事。</w:t>
      </w:r>
    </w:p>
    <w:p>
      <w:pPr>
        <w:pStyle w:val="15"/>
        <w:tabs>
          <w:tab w:val="left" w:pos="0"/>
        </w:tabs>
        <w:spacing w:line="560" w:lineRule="exact"/>
        <w:ind w:firstLine="640"/>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4）实际发生费用包括场地费、搭建费、直转播费、设备租赁费、网络费、宣传推广费、安保费、其他临时人员劳务费等费用，不包括电竞赛事奖金。场地费用限定在南山区。</w:t>
      </w:r>
    </w:p>
    <w:p>
      <w:pPr>
        <w:pStyle w:val="15"/>
        <w:tabs>
          <w:tab w:val="left" w:pos="0"/>
        </w:tabs>
        <w:spacing w:line="560" w:lineRule="exact"/>
        <w:ind w:firstLine="640"/>
        <w:rPr>
          <w:rFonts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lang w:val="en-US" w:eastAsia="zh-CN"/>
        </w:rPr>
        <w:t>5</w:t>
      </w:r>
      <w:r>
        <w:rPr>
          <w:rFonts w:hint="eastAsia" w:ascii="仿宋_GB2312" w:hAnsi="仿宋" w:eastAsia="仿宋_GB2312" w:cs="Times New Roman"/>
          <w:color w:val="000000"/>
          <w:sz w:val="32"/>
          <w:szCs w:val="32"/>
          <w:highlight w:val="none"/>
        </w:rPr>
        <w:t>）</w:t>
      </w:r>
      <w:r>
        <w:rPr>
          <w:rFonts w:hint="eastAsia" w:ascii="仿宋_GB2312" w:hAnsi="仿宋" w:eastAsia="仿宋_GB2312" w:cs="Times New Roman"/>
          <w:color w:val="000000"/>
          <w:sz w:val="32"/>
          <w:szCs w:val="32"/>
          <w:highlight w:val="none"/>
          <w:lang w:val="en-US" w:eastAsia="zh-CN"/>
        </w:rPr>
        <w:t>资助范围为上两年度举办的电竞赛事。</w:t>
      </w:r>
    </w:p>
    <w:p>
      <w:pPr>
        <w:pStyle w:val="15"/>
        <w:tabs>
          <w:tab w:val="left" w:pos="0"/>
        </w:tabs>
        <w:spacing w:line="560" w:lineRule="exact"/>
        <w:ind w:firstLine="640"/>
        <w:rPr>
          <w:rFonts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lang w:val="en-US" w:eastAsia="zh-CN"/>
        </w:rPr>
        <w:t>6</w:t>
      </w:r>
      <w:r>
        <w:rPr>
          <w:rFonts w:hint="eastAsia" w:ascii="仿宋_GB2312" w:hAnsi="仿宋" w:eastAsia="仿宋_GB2312" w:cs="Times New Roman"/>
          <w:color w:val="000000"/>
          <w:sz w:val="32"/>
          <w:szCs w:val="32"/>
          <w:highlight w:val="none"/>
        </w:rPr>
        <w:t>）职业电竞赛事和特色电竞赛事，需先报南山区文化广电旅游体育局备案。</w:t>
      </w:r>
    </w:p>
    <w:p>
      <w:pPr>
        <w:widowControl/>
        <w:adjustRightInd w:val="0"/>
        <w:snapToGrid w:val="0"/>
        <w:spacing w:line="560" w:lineRule="exact"/>
        <w:ind w:firstLine="640" w:firstLineChars="200"/>
        <w:rPr>
          <w:rFonts w:hint="eastAsia"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五、申报及审批流程</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申报主体登陆“i南山企业服务综合平台”（https://www.inanshan.org.cn/），网上提交项目申报材料；</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 xml:space="preserve">区企业发展服务中心受理申请，对申报材料进行形式性审核，区文化广电旅游体育局复审项目申报材料； </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14:textFill>
            <w14:solidFill>
              <w14:schemeClr w14:val="tx1"/>
            </w14:solidFill>
          </w14:textFill>
        </w:rPr>
        <w:t>区文化广电旅游体育局拟定资助计划；</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区统计局对申报主体在地统计开展情况进行核查，区企业发展服务中心组织对申报主体的注册情况、不良信用记录等情况进行核查；</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区企业发展服务中心将拟资助项目向社会公示5个工作日，对公示期满，无有效投诉的项目资助计划，再提交领导小组会议进行审议；</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14:textFill>
            <w14:solidFill>
              <w14:schemeClr w14:val="tx1"/>
            </w14:solidFill>
          </w14:textFill>
        </w:rPr>
        <w:t>经审议后，由区文化广电旅游体育局直接行文下达资金计划；</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ascii="仿宋_GB2312" w:eastAsia="仿宋_GB2312" w:cs="Times New Roman"/>
          <w:color w:val="000000" w:themeColor="text1"/>
          <w:kern w:val="2"/>
          <w:sz w:val="32"/>
          <w:szCs w:val="24"/>
          <w:highlight w:val="none"/>
          <w:lang w:val="en-US" w:eastAsia="zh-CN" w:bidi="ar-SA"/>
          <w14:textFill>
            <w14:solidFill>
              <w14:schemeClr w14:val="tx1"/>
            </w14:solidFill>
          </w14:textFill>
        </w:rPr>
        <w:t>7.</w:t>
      </w:r>
      <w:r>
        <w:rPr>
          <w:rFonts w:hint="eastAsia" w:ascii="仿宋_GB2312" w:hAnsi="Times New Roman" w:eastAsia="仿宋_GB2312" w:cs="Times New Roman"/>
          <w:color w:val="000000" w:themeColor="text1"/>
          <w:kern w:val="2"/>
          <w:sz w:val="32"/>
          <w:szCs w:val="24"/>
          <w:highlight w:val="none"/>
          <w:lang w:val="en-US" w:eastAsia="zh-CN" w:bidi="ar-SA"/>
          <w14:textFill>
            <w14:solidFill>
              <w14:schemeClr w14:val="tx1"/>
            </w14:solidFill>
          </w14:textFill>
        </w:rPr>
        <w:t>区财政部门及时安排资金，区文化广电旅游体育局办理资金拨付手续。</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六、所需材料</w:t>
      </w:r>
    </w:p>
    <w:p>
      <w:pPr>
        <w:adjustRightInd w:val="0"/>
        <w:snapToGrid w:val="0"/>
        <w:spacing w:line="560" w:lineRule="exact"/>
        <w:ind w:firstLine="656" w:firstLineChars="200"/>
        <w:rPr>
          <w:rFonts w:hint="eastAsia"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①申请类别为</w:t>
      </w:r>
      <w:r>
        <w:rPr>
          <w:rFonts w:hint="eastAsia" w:ascii="仿宋_GB2312" w:hAnsi="仿宋" w:eastAsia="仿宋_GB2312" w:cs="仿宋"/>
          <w:color w:val="000000" w:themeColor="text1"/>
          <w:sz w:val="32"/>
          <w:szCs w:val="32"/>
          <w:highlight w:val="none"/>
          <w14:textFill>
            <w14:solidFill>
              <w14:schemeClr w14:val="tx1"/>
            </w14:solidFill>
          </w14:textFill>
        </w:rPr>
        <w:t>承办政府主办的重大电竞赛事</w:t>
      </w:r>
      <w:r>
        <w:rPr>
          <w:rFonts w:hint="eastAsia" w:ascii="仿宋_GB2312" w:hAnsi="仿宋" w:eastAsia="仿宋_GB2312" w:cs="仿宋"/>
          <w:bCs/>
          <w:color w:val="000000" w:themeColor="text1"/>
          <w:sz w:val="32"/>
          <w:highlight w:val="none"/>
          <w14:textFill>
            <w14:solidFill>
              <w14:schemeClr w14:val="tx1"/>
            </w14:solidFill>
          </w14:textFill>
        </w:rPr>
        <w:t>，需</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提供以下资料：</w:t>
      </w:r>
    </w:p>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登录“i南山企业服务综合平台”（https://www.inanshan.org.cn/）在线填写《</w:t>
      </w:r>
      <w:r>
        <w:rPr>
          <w:rFonts w:hint="eastAsia" w:ascii="仿宋_GB2312" w:hAnsi="仿宋" w:eastAsia="仿宋_GB2312" w:cs="仿宋"/>
          <w:bCs/>
          <w:color w:val="000000" w:themeColor="text1"/>
          <w:sz w:val="32"/>
          <w:highlight w:val="none"/>
          <w14:textFill>
            <w14:solidFill>
              <w14:schemeClr w14:val="tx1"/>
            </w14:solidFill>
          </w14:textFill>
        </w:rPr>
        <w:t>支持举办电竞赛事项目</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》申请书</w:t>
      </w:r>
      <w:r>
        <w:rPr>
          <w:rFonts w:hint="eastAsia" w:ascii="仿宋_GB2312" w:hAnsi="宋体" w:eastAsia="仿宋_GB2312" w:cs="宋体"/>
          <w:color w:val="000000" w:themeColor="text1"/>
          <w:spacing w:val="4"/>
          <w:kern w:val="0"/>
          <w:sz w:val="32"/>
          <w:szCs w:val="32"/>
          <w:highlight w:val="none"/>
          <w:lang w:eastAsia="zh-CN"/>
          <w14:textFill>
            <w14:solidFill>
              <w14:schemeClr w14:val="tx1"/>
            </w14:solidFill>
          </w14:textFill>
        </w:rPr>
        <w:t>。</w:t>
      </w:r>
    </w:p>
    <w:tbl>
      <w:tblPr>
        <w:tblStyle w:val="10"/>
        <w:tblW w:w="9058"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717" w:hRule="atLeast"/>
        </w:trPr>
        <w:tc>
          <w:tcPr>
            <w:tcW w:w="722"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序号</w:t>
            </w:r>
          </w:p>
        </w:tc>
        <w:tc>
          <w:tcPr>
            <w:tcW w:w="4405"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附件名称</w:t>
            </w:r>
          </w:p>
        </w:tc>
        <w:tc>
          <w:tcPr>
            <w:tcW w:w="1595"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是否</w:t>
            </w:r>
          </w:p>
          <w:p>
            <w:pPr>
              <w:spacing w:line="276" w:lineRule="auto"/>
              <w:jc w:val="center"/>
              <w:rPr>
                <w:rFonts w:hint="eastAsia" w:ascii="楷体" w:hAnsi="楷体" w:eastAsia="楷体" w:cs="楷体"/>
                <w:b/>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必备材料</w:t>
            </w:r>
          </w:p>
        </w:tc>
        <w:tc>
          <w:tcPr>
            <w:tcW w:w="2336"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555" w:hRule="atLeast"/>
        </w:trPr>
        <w:tc>
          <w:tcPr>
            <w:tcW w:w="722"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bookmarkStart w:id="1" w:name="OLE_LINK85" w:colFirst="2" w:colLast="2"/>
            <w:bookmarkStart w:id="2" w:name="OLE_LINK86" w:colFirst="4" w:colLast="4"/>
            <w:r>
              <w:rPr>
                <w:rFonts w:hint="eastAsia" w:ascii="楷体" w:hAnsi="楷体" w:eastAsia="楷体" w:cs="楷体"/>
                <w:color w:val="000000" w:themeColor="text1"/>
                <w:sz w:val="24"/>
                <w:szCs w:val="24"/>
                <w:highlight w:val="none"/>
                <w14:textFill>
                  <w14:solidFill>
                    <w14:schemeClr w14:val="tx1"/>
                  </w14:solidFill>
                </w14:textFill>
              </w:rPr>
              <w:t>1</w:t>
            </w:r>
          </w:p>
        </w:tc>
        <w:tc>
          <w:tcPr>
            <w:tcW w:w="4405" w:type="dxa"/>
            <w:vAlign w:val="center"/>
          </w:tcPr>
          <w:p>
            <w:pPr>
              <w:spacing w:line="240" w:lineRule="atLeast"/>
              <w:ind w:left="-5" w:leftChars="0" w:right="42" w:rightChars="20"/>
              <w:jc w:val="center"/>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sz w:val="24"/>
                <w:szCs w:val="24"/>
                <w:highlight w:val="none"/>
              </w:rPr>
              <w:t>统一社会信用代码证书（新版“三证合一”营业执照、事业单位提交新版“三证合一”法人证书；未换领“三证合一”新版营业执照的，提交原旧版营业执照、组织机构代码证书、税务登记证书）</w:t>
            </w:r>
          </w:p>
        </w:tc>
        <w:tc>
          <w:tcPr>
            <w:tcW w:w="1595"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2</w:t>
            </w:r>
          </w:p>
        </w:tc>
        <w:tc>
          <w:tcPr>
            <w:tcW w:w="440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法定代表人身份证</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Times New Roman"/>
                <w:sz w:val="24"/>
                <w:highlight w:val="none"/>
              </w:rPr>
              <w:t>原件</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或复印件加盖单位公章</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彩色扫描</w:t>
            </w:r>
            <w:r>
              <w:rPr>
                <w:rFonts w:hint="eastAsia" w:ascii="楷体" w:hAnsi="楷体" w:eastAsia="楷体" w:cs="Times New Roman"/>
                <w:sz w:val="24"/>
                <w:highlight w:val="none"/>
                <w:lang w:eastAsia="zh-CN"/>
              </w:rPr>
              <w:t>成</w:t>
            </w:r>
            <w:r>
              <w:rPr>
                <w:rFonts w:hint="eastAsia" w:ascii="楷体" w:hAnsi="楷体" w:eastAsia="楷体" w:cs="Times New Roman"/>
                <w:sz w:val="24"/>
                <w:highlight w:val="none"/>
              </w:rPr>
              <w:t>PDF文件上传</w:t>
            </w:r>
          </w:p>
        </w:tc>
      </w:tr>
      <w:bookmarkEnd w:id="1"/>
      <w:bookmarkEnd w:id="2"/>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3</w:t>
            </w:r>
          </w:p>
        </w:tc>
        <w:tc>
          <w:tcPr>
            <w:tcW w:w="4405" w:type="dxa"/>
            <w:vAlign w:val="center"/>
          </w:tcPr>
          <w:p>
            <w:pPr>
              <w:spacing w:line="240" w:lineRule="atLeast"/>
              <w:ind w:left="-5" w:leftChars="0"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sz w:val="24"/>
                <w:highlight w:val="none"/>
              </w:rPr>
              <w:t>税务部门提供的单位上一年度的纳税证明</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lang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否</w:t>
            </w:r>
          </w:p>
        </w:tc>
        <w:tc>
          <w:tcPr>
            <w:tcW w:w="2336"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sz w:val="24"/>
                <w:szCs w:val="24"/>
                <w:highlight w:val="none"/>
                <w:lang w:eastAsia="zh-CN"/>
              </w:rPr>
              <w:t>上传税务系统下载带有税务机关红色印章的电子版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4</w:t>
            </w:r>
          </w:p>
        </w:tc>
        <w:tc>
          <w:tcPr>
            <w:tcW w:w="4405" w:type="dxa"/>
            <w:vAlign w:val="center"/>
          </w:tcPr>
          <w:p>
            <w:pPr>
              <w:spacing w:line="240" w:lineRule="atLeast"/>
              <w:ind w:left="-5" w:right="42" w:rightChars="20"/>
              <w:jc w:val="center"/>
              <w:rPr>
                <w:rFonts w:hint="default"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南山区委托行业协会</w:t>
            </w:r>
            <w:r>
              <w:rPr>
                <w:rFonts w:hint="eastAsia" w:ascii="楷体" w:hAnsi="楷体" w:eastAsia="楷体" w:cs="楷体"/>
                <w:color w:val="000000" w:themeColor="text1"/>
                <w:sz w:val="24"/>
                <w:szCs w:val="24"/>
                <w:highlight w:val="none"/>
                <w:lang w:val="en-US" w:eastAsia="zh-CN"/>
                <w14:textFill>
                  <w14:solidFill>
                    <w14:schemeClr w14:val="tx1"/>
                  </w14:solidFill>
                </w14:textFill>
              </w:rPr>
              <w:t>/</w:t>
            </w:r>
            <w:r>
              <w:rPr>
                <w:rFonts w:hint="eastAsia" w:ascii="楷体" w:hAnsi="楷体" w:eastAsia="楷体" w:cs="楷体"/>
                <w:color w:val="000000" w:themeColor="text1"/>
                <w:sz w:val="24"/>
                <w:szCs w:val="24"/>
                <w:highlight w:val="none"/>
                <w14:textFill>
                  <w14:solidFill>
                    <w14:schemeClr w14:val="tx1"/>
                  </w14:solidFill>
                </w14:textFill>
              </w:rPr>
              <w:t>专业机构</w:t>
            </w:r>
            <w:r>
              <w:rPr>
                <w:rFonts w:hint="eastAsia" w:ascii="楷体" w:hAnsi="楷体" w:eastAsia="楷体" w:cs="楷体"/>
                <w:color w:val="000000" w:themeColor="text1"/>
                <w:sz w:val="24"/>
                <w:szCs w:val="24"/>
                <w:highlight w:val="none"/>
                <w:lang w:val="en-US" w:eastAsia="zh-CN"/>
                <w14:textFill>
                  <w14:solidFill>
                    <w14:schemeClr w14:val="tx1"/>
                  </w14:solidFill>
                </w14:textFill>
              </w:rPr>
              <w:t>/</w:t>
            </w:r>
            <w:r>
              <w:rPr>
                <w:rFonts w:hint="eastAsia" w:ascii="楷体" w:hAnsi="楷体" w:eastAsia="楷体" w:cs="楷体"/>
                <w:color w:val="000000" w:themeColor="text1"/>
                <w:sz w:val="24"/>
                <w:szCs w:val="24"/>
                <w:highlight w:val="none"/>
                <w14:textFill>
                  <w14:solidFill>
                    <w14:schemeClr w14:val="tx1"/>
                  </w14:solidFill>
                </w14:textFill>
              </w:rPr>
              <w:t>企业承办重大电竞赛事的证明材料</w:t>
            </w:r>
            <w:r>
              <w:rPr>
                <w:rFonts w:hint="eastAsia" w:ascii="楷体" w:hAnsi="楷体" w:eastAsia="楷体" w:cs="楷体"/>
                <w:color w:val="000000" w:themeColor="text1"/>
                <w:sz w:val="24"/>
                <w:szCs w:val="24"/>
                <w:highlight w:val="none"/>
                <w:lang w:eastAsia="zh-CN"/>
                <w14:textFill>
                  <w14:solidFill>
                    <w14:schemeClr w14:val="tx1"/>
                  </w14:solidFill>
                </w14:textFill>
              </w:rPr>
              <w:t>。</w:t>
            </w:r>
            <w:r>
              <w:rPr>
                <w:rFonts w:hint="eastAsia" w:ascii="楷体" w:hAnsi="楷体" w:eastAsia="楷体" w:cs="楷体"/>
                <w:color w:val="000000" w:themeColor="text1"/>
                <w:sz w:val="24"/>
                <w:szCs w:val="24"/>
                <w:highlight w:val="none"/>
                <w:lang w:val="en-US" w:eastAsia="zh-CN"/>
                <w14:textFill>
                  <w14:solidFill>
                    <w14:schemeClr w14:val="tx1"/>
                  </w14:solidFill>
                </w14:textFill>
              </w:rPr>
              <w:t>包括委托合同等</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restart"/>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5</w:t>
            </w:r>
          </w:p>
        </w:tc>
        <w:tc>
          <w:tcPr>
            <w:tcW w:w="4405" w:type="dxa"/>
            <w:vAlign w:val="center"/>
          </w:tcPr>
          <w:p>
            <w:pPr>
              <w:spacing w:line="240" w:lineRule="atLeast"/>
              <w:ind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bCs/>
                <w:iCs/>
                <w:color w:val="000000" w:themeColor="text1"/>
                <w:sz w:val="24"/>
                <w:szCs w:val="24"/>
                <w:highlight w:val="none"/>
                <w14:textFill>
                  <w14:solidFill>
                    <w14:schemeClr w14:val="tx1"/>
                  </w14:solidFill>
                </w14:textFill>
              </w:rPr>
              <w:t>申请书签字盖章版</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lang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是</w:t>
            </w:r>
          </w:p>
        </w:tc>
        <w:tc>
          <w:tcPr>
            <w:tcW w:w="2336" w:type="dxa"/>
            <w:vMerge w:val="continue"/>
            <w:tcBorders/>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6</w:t>
            </w:r>
          </w:p>
        </w:tc>
        <w:tc>
          <w:tcPr>
            <w:tcW w:w="4405" w:type="dxa"/>
            <w:vAlign w:val="center"/>
          </w:tcPr>
          <w:p>
            <w:pPr>
              <w:spacing w:line="240" w:lineRule="atLeast"/>
              <w:ind w:right="42" w:rightChars="20"/>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bCs/>
                <w:iCs/>
                <w:color w:val="000000" w:themeColor="text1"/>
                <w:sz w:val="24"/>
                <w:szCs w:val="24"/>
                <w:highlight w:val="none"/>
                <w14:textFill>
                  <w14:solidFill>
                    <w14:schemeClr w14:val="tx1"/>
                  </w14:solidFill>
                </w14:textFill>
              </w:rPr>
              <w:t>其它附件</w:t>
            </w:r>
          </w:p>
        </w:tc>
        <w:tc>
          <w:tcPr>
            <w:tcW w:w="1595" w:type="dxa"/>
            <w:vAlign w:val="center"/>
          </w:tcPr>
          <w:p>
            <w:pPr>
              <w:spacing w:line="240" w:lineRule="atLeast"/>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否</w:t>
            </w:r>
          </w:p>
        </w:tc>
        <w:tc>
          <w:tcPr>
            <w:tcW w:w="2336" w:type="dxa"/>
            <w:vMerge w:val="continue"/>
            <w:tcBorders/>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bl>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②申请类别为</w:t>
      </w:r>
      <w:r>
        <w:rPr>
          <w:rFonts w:hint="eastAsia" w:ascii="仿宋_GB2312" w:hAnsi="仿宋" w:eastAsia="仿宋_GB2312" w:cs="仿宋"/>
          <w:color w:val="000000" w:themeColor="text1"/>
          <w:sz w:val="32"/>
          <w:szCs w:val="32"/>
          <w:highlight w:val="none"/>
          <w14:textFill>
            <w14:solidFill>
              <w14:schemeClr w14:val="tx1"/>
            </w14:solidFill>
          </w14:textFill>
        </w:rPr>
        <w:t>举办职业电竞赛事和特色电竞赛事</w:t>
      </w:r>
      <w:r>
        <w:rPr>
          <w:rFonts w:hint="eastAsia" w:ascii="仿宋_GB2312" w:hAnsi="仿宋" w:eastAsia="仿宋_GB2312" w:cs="仿宋"/>
          <w:bCs/>
          <w:color w:val="000000" w:themeColor="text1"/>
          <w:sz w:val="32"/>
          <w:highlight w:val="none"/>
          <w14:textFill>
            <w14:solidFill>
              <w14:schemeClr w14:val="tx1"/>
            </w14:solidFill>
          </w14:textFill>
        </w:rPr>
        <w:t>，需</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提供以下资料：</w:t>
      </w:r>
    </w:p>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登录“i南山企业服务综合平台”（https://www.inanshan.org.cn/）在线填写《</w:t>
      </w:r>
      <w:r>
        <w:rPr>
          <w:rFonts w:hint="eastAsia" w:ascii="仿宋_GB2312" w:hAnsi="仿宋" w:eastAsia="仿宋_GB2312" w:cs="仿宋"/>
          <w:bCs/>
          <w:color w:val="000000" w:themeColor="text1"/>
          <w:sz w:val="32"/>
          <w:highlight w:val="none"/>
          <w14:textFill>
            <w14:solidFill>
              <w14:schemeClr w14:val="tx1"/>
            </w14:solidFill>
          </w14:textFill>
        </w:rPr>
        <w:t>支持举办电竞赛事项目</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》申请书。</w:t>
      </w:r>
    </w:p>
    <w:tbl>
      <w:tblPr>
        <w:tblStyle w:val="10"/>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333"/>
        <w:gridCol w:w="1667"/>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序号</w:t>
            </w:r>
          </w:p>
        </w:tc>
        <w:tc>
          <w:tcPr>
            <w:tcW w:w="4333"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附件名称</w:t>
            </w:r>
          </w:p>
        </w:tc>
        <w:tc>
          <w:tcPr>
            <w:tcW w:w="1667"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是否</w:t>
            </w:r>
          </w:p>
          <w:p>
            <w:pPr>
              <w:spacing w:line="276" w:lineRule="auto"/>
              <w:jc w:val="center"/>
              <w:rPr>
                <w:rFonts w:hint="eastAsia" w:ascii="楷体" w:hAnsi="楷体" w:eastAsia="楷体" w:cs="楷体"/>
                <w:b/>
                <w:sz w:val="24"/>
                <w:szCs w:val="24"/>
                <w:highlight w:val="none"/>
              </w:rPr>
            </w:pPr>
            <w:r>
              <w:rPr>
                <w:rFonts w:hint="eastAsia" w:ascii="楷体" w:hAnsi="楷体" w:eastAsia="楷体" w:cs="楷体"/>
                <w:sz w:val="24"/>
                <w:szCs w:val="24"/>
                <w:highlight w:val="none"/>
              </w:rPr>
              <w:t>必备材料</w:t>
            </w:r>
          </w:p>
        </w:tc>
        <w:tc>
          <w:tcPr>
            <w:tcW w:w="2336"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1</w:t>
            </w:r>
          </w:p>
        </w:tc>
        <w:tc>
          <w:tcPr>
            <w:tcW w:w="4333" w:type="dxa"/>
            <w:vAlign w:val="center"/>
          </w:tcPr>
          <w:p>
            <w:pPr>
              <w:spacing w:line="240" w:lineRule="atLeast"/>
              <w:ind w:left="-5" w:leftChars="0" w:right="42" w:rightChars="20"/>
              <w:jc w:val="center"/>
              <w:rPr>
                <w:rFonts w:hint="eastAsia" w:ascii="楷体" w:hAnsi="楷体" w:eastAsia="楷体" w:cs="楷体"/>
                <w:bCs/>
                <w:sz w:val="24"/>
                <w:szCs w:val="24"/>
                <w:highlight w:val="none"/>
              </w:rPr>
            </w:pPr>
            <w:r>
              <w:rPr>
                <w:rFonts w:hint="eastAsia" w:ascii="楷体" w:hAnsi="楷体" w:eastAsia="楷体" w:cs="楷体"/>
                <w:bCs/>
                <w:color w:val="000000"/>
                <w:sz w:val="24"/>
                <w:szCs w:val="24"/>
                <w:highlight w:val="none"/>
              </w:rPr>
              <w:t>统一社会信用代码证书（新版“三证合一”营业执照、事业单位提交新版“三证合一”法人证书；未换领“三证合一”新版营业执照的，提交原旧版营业执照、组织机构代码证书、税务登记证书）</w:t>
            </w:r>
          </w:p>
        </w:tc>
        <w:tc>
          <w:tcPr>
            <w:tcW w:w="1667"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2</w:t>
            </w:r>
          </w:p>
        </w:tc>
        <w:tc>
          <w:tcPr>
            <w:tcW w:w="4333"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bCs/>
                <w:color w:val="000000" w:themeColor="text1"/>
                <w:sz w:val="24"/>
                <w:szCs w:val="24"/>
                <w:highlight w:val="none"/>
                <w14:textFill>
                  <w14:solidFill>
                    <w14:schemeClr w14:val="tx1"/>
                  </w14:solidFill>
                </w14:textFill>
              </w:rPr>
              <w:t>法定代表人身份证</w:t>
            </w:r>
          </w:p>
        </w:tc>
        <w:tc>
          <w:tcPr>
            <w:tcW w:w="1667"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sz w:val="24"/>
                <w:szCs w:val="24"/>
                <w:highlight w:val="none"/>
              </w:rPr>
            </w:pPr>
            <w:r>
              <w:rPr>
                <w:rFonts w:hint="eastAsia" w:ascii="楷体" w:hAnsi="楷体" w:eastAsia="楷体" w:cs="Times New Roman"/>
                <w:sz w:val="24"/>
                <w:highlight w:val="none"/>
              </w:rPr>
              <w:t>原件</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或复印件加盖单位公章</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彩色扫描PDF文件上传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3</w:t>
            </w:r>
          </w:p>
        </w:tc>
        <w:tc>
          <w:tcPr>
            <w:tcW w:w="4333" w:type="dxa"/>
            <w:vAlign w:val="center"/>
          </w:tcPr>
          <w:p>
            <w:pPr>
              <w:spacing w:line="240" w:lineRule="atLeast"/>
              <w:ind w:left="-5" w:leftChars="0" w:right="42" w:rightChars="20"/>
              <w:jc w:val="center"/>
              <w:rPr>
                <w:rFonts w:hint="eastAsia" w:ascii="楷体" w:hAnsi="楷体" w:eastAsia="楷体" w:cs="楷体"/>
                <w:sz w:val="24"/>
                <w:szCs w:val="24"/>
                <w:highlight w:val="none"/>
              </w:rPr>
            </w:pPr>
            <w:r>
              <w:rPr>
                <w:rFonts w:hint="eastAsia" w:ascii="楷体" w:hAnsi="楷体" w:eastAsia="楷体"/>
                <w:sz w:val="24"/>
                <w:highlight w:val="none"/>
              </w:rPr>
              <w:t>税务部门提供的单位上一年度的纳税证明</w:t>
            </w:r>
          </w:p>
        </w:tc>
        <w:tc>
          <w:tcPr>
            <w:tcW w:w="1667"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sz w:val="24"/>
                <w:szCs w:val="24"/>
                <w:highlight w:val="none"/>
              </w:rPr>
            </w:pPr>
            <w:r>
              <w:rPr>
                <w:rFonts w:hint="eastAsia" w:ascii="楷体" w:hAnsi="楷体" w:eastAsia="楷体"/>
                <w:sz w:val="24"/>
                <w:szCs w:val="24"/>
                <w:highlight w:val="none"/>
                <w:lang w:eastAsia="zh-CN"/>
              </w:rPr>
              <w:t>上传税务系统下载带有税务机关红色印章的电子版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4</w:t>
            </w:r>
          </w:p>
        </w:tc>
        <w:tc>
          <w:tcPr>
            <w:tcW w:w="4333" w:type="dxa"/>
            <w:vAlign w:val="center"/>
          </w:tcPr>
          <w:p>
            <w:pPr>
              <w:spacing w:line="240" w:lineRule="atLeast"/>
              <w:ind w:left="-5" w:right="42" w:rightChars="20"/>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获得游戏版权官方授权</w:t>
            </w:r>
            <w:r>
              <w:rPr>
                <w:rFonts w:hint="eastAsia" w:ascii="楷体" w:hAnsi="楷体" w:eastAsia="楷体" w:cs="楷体"/>
                <w:color w:val="000000" w:themeColor="text1"/>
                <w:sz w:val="24"/>
                <w:szCs w:val="24"/>
                <w:highlight w:val="none"/>
                <w:lang w:val="en-US" w:eastAsia="zh-CN"/>
                <w14:textFill>
                  <w14:solidFill>
                    <w14:schemeClr w14:val="tx1"/>
                  </w14:solidFill>
                </w14:textFill>
              </w:rPr>
              <w:t>的授权书</w:t>
            </w:r>
          </w:p>
        </w:tc>
        <w:tc>
          <w:tcPr>
            <w:tcW w:w="1667"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restart"/>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5</w:t>
            </w:r>
          </w:p>
        </w:tc>
        <w:tc>
          <w:tcPr>
            <w:tcW w:w="4333" w:type="dxa"/>
            <w:vAlign w:val="center"/>
          </w:tcPr>
          <w:p>
            <w:pPr>
              <w:spacing w:line="240" w:lineRule="atLeast"/>
              <w:ind w:left="-5" w:right="42" w:rightChars="20"/>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比赛为</w:t>
            </w:r>
            <w:r>
              <w:rPr>
                <w:rFonts w:hint="eastAsia" w:ascii="楷体" w:hAnsi="楷体" w:eastAsia="楷体" w:cs="楷体"/>
                <w:color w:val="000000" w:themeColor="text1"/>
                <w:sz w:val="24"/>
                <w:szCs w:val="24"/>
                <w:highlight w:val="none"/>
                <w14:textFill>
                  <w14:solidFill>
                    <w14:schemeClr w14:val="tx1"/>
                  </w14:solidFill>
                </w14:textFill>
              </w:rPr>
              <w:t>国际性赛事</w:t>
            </w:r>
            <w:r>
              <w:rPr>
                <w:rFonts w:hint="eastAsia" w:ascii="楷体" w:hAnsi="楷体" w:eastAsia="楷体" w:cs="楷体"/>
                <w:color w:val="000000" w:themeColor="text1"/>
                <w:sz w:val="24"/>
                <w:szCs w:val="24"/>
                <w:highlight w:val="none"/>
                <w:lang w:val="en-US" w:eastAsia="zh-CN"/>
                <w14:textFill>
                  <w14:solidFill>
                    <w14:schemeClr w14:val="tx1"/>
                  </w14:solidFill>
                </w14:textFill>
              </w:rPr>
              <w:t>且</w:t>
            </w:r>
            <w:r>
              <w:rPr>
                <w:rFonts w:hint="eastAsia" w:ascii="楷体" w:hAnsi="楷体" w:eastAsia="楷体" w:cs="楷体"/>
                <w:color w:val="000000" w:themeColor="text1"/>
                <w:sz w:val="24"/>
                <w:szCs w:val="24"/>
                <w:highlight w:val="none"/>
                <w14:textFill>
                  <w14:solidFill>
                    <w14:schemeClr w14:val="tx1"/>
                  </w14:solidFill>
                </w14:textFill>
              </w:rPr>
              <w:t>总奖金不少于100万美元或</w:t>
            </w:r>
            <w:r>
              <w:rPr>
                <w:rFonts w:hint="eastAsia" w:ascii="楷体" w:hAnsi="楷体" w:eastAsia="楷体" w:cs="楷体"/>
                <w:color w:val="000000" w:themeColor="text1"/>
                <w:sz w:val="24"/>
                <w:szCs w:val="24"/>
                <w:highlight w:val="none"/>
                <w:lang w:val="en-US" w:eastAsia="zh-CN"/>
                <w14:textFill>
                  <w14:solidFill>
                    <w14:schemeClr w14:val="tx1"/>
                  </w14:solidFill>
                </w14:textFill>
              </w:rPr>
              <w:t>6</w:t>
            </w:r>
            <w:r>
              <w:rPr>
                <w:rFonts w:hint="eastAsia" w:ascii="楷体" w:hAnsi="楷体" w:eastAsia="楷体" w:cs="楷体"/>
                <w:color w:val="000000" w:themeColor="text1"/>
                <w:sz w:val="24"/>
                <w:szCs w:val="24"/>
                <w:highlight w:val="none"/>
                <w14:textFill>
                  <w14:solidFill>
                    <w14:schemeClr w14:val="tx1"/>
                  </w14:solidFill>
                </w14:textFill>
              </w:rPr>
              <w:t>00万元人民币的证明材料</w:t>
            </w:r>
          </w:p>
        </w:tc>
        <w:tc>
          <w:tcPr>
            <w:tcW w:w="1667"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若申请国际赛事补贴则为是</w:t>
            </w:r>
          </w:p>
          <w:p>
            <w:pPr>
              <w:spacing w:line="276" w:lineRule="auto"/>
              <w:jc w:val="center"/>
              <w:rPr>
                <w:rFonts w:hint="eastAsia" w:ascii="楷体" w:hAnsi="楷体" w:eastAsia="楷体" w:cs="楷体"/>
                <w:sz w:val="24"/>
                <w:szCs w:val="24"/>
                <w:highlight w:val="none"/>
                <w:lang w:val="en-US" w:eastAsia="zh-CN"/>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其他为否</w:t>
            </w:r>
          </w:p>
        </w:tc>
        <w:tc>
          <w:tcPr>
            <w:tcW w:w="2336" w:type="dxa"/>
            <w:vMerge w:val="continue"/>
            <w:tcBorders/>
            <w:vAlign w:val="center"/>
          </w:tcPr>
          <w:p>
            <w:pPr>
              <w:spacing w:line="276" w:lineRule="auto"/>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6</w:t>
            </w:r>
          </w:p>
        </w:tc>
        <w:tc>
          <w:tcPr>
            <w:tcW w:w="4333" w:type="dxa"/>
            <w:vAlign w:val="center"/>
          </w:tcPr>
          <w:p>
            <w:pPr>
              <w:spacing w:line="240" w:lineRule="atLeast"/>
              <w:ind w:left="-5" w:right="42" w:rightChars="20"/>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比赛为</w:t>
            </w:r>
            <w:r>
              <w:rPr>
                <w:rFonts w:hint="eastAsia" w:ascii="楷体" w:hAnsi="楷体" w:eastAsia="楷体" w:cs="楷体"/>
                <w:color w:val="000000" w:themeColor="text1"/>
                <w:sz w:val="24"/>
                <w:szCs w:val="24"/>
                <w:highlight w:val="none"/>
                <w14:textFill>
                  <w14:solidFill>
                    <w14:schemeClr w14:val="tx1"/>
                  </w14:solidFill>
                </w14:textFill>
              </w:rPr>
              <w:t>全国性赛事</w:t>
            </w:r>
            <w:r>
              <w:rPr>
                <w:rFonts w:hint="eastAsia" w:ascii="楷体" w:hAnsi="楷体" w:eastAsia="楷体" w:cs="楷体"/>
                <w:color w:val="000000" w:themeColor="text1"/>
                <w:sz w:val="24"/>
                <w:szCs w:val="24"/>
                <w:highlight w:val="none"/>
                <w:lang w:val="en-US" w:eastAsia="zh-CN"/>
                <w14:textFill>
                  <w14:solidFill>
                    <w14:schemeClr w14:val="tx1"/>
                  </w14:solidFill>
                </w14:textFill>
              </w:rPr>
              <w:t>且</w:t>
            </w:r>
            <w:r>
              <w:rPr>
                <w:rFonts w:hint="eastAsia" w:ascii="楷体" w:hAnsi="楷体" w:eastAsia="楷体" w:cs="楷体"/>
                <w:color w:val="000000" w:themeColor="text1"/>
                <w:sz w:val="24"/>
                <w:szCs w:val="24"/>
                <w:highlight w:val="none"/>
                <w14:textFill>
                  <w14:solidFill>
                    <w14:schemeClr w14:val="tx1"/>
                  </w14:solidFill>
                </w14:textFill>
              </w:rPr>
              <w:t>总奖金不少于300万元人民币的证明材料</w:t>
            </w:r>
          </w:p>
        </w:tc>
        <w:tc>
          <w:tcPr>
            <w:tcW w:w="1667"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若申请国内赛事补贴则为是</w:t>
            </w:r>
          </w:p>
          <w:p>
            <w:pPr>
              <w:spacing w:line="276" w:lineRule="auto"/>
              <w:jc w:val="center"/>
              <w:rPr>
                <w:rFonts w:hint="eastAsia" w:ascii="楷体" w:hAnsi="楷体" w:eastAsia="楷体" w:cs="楷体"/>
                <w:sz w:val="24"/>
                <w:szCs w:val="24"/>
                <w:highlight w:val="none"/>
                <w:lang w:val="en-US" w:eastAsia="zh-CN"/>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其他为否</w:t>
            </w:r>
          </w:p>
        </w:tc>
        <w:tc>
          <w:tcPr>
            <w:tcW w:w="2336" w:type="dxa"/>
            <w:vMerge w:val="continue"/>
            <w:tcBorders/>
            <w:vAlign w:val="center"/>
          </w:tcPr>
          <w:p>
            <w:pPr>
              <w:spacing w:line="276" w:lineRule="auto"/>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7</w:t>
            </w:r>
          </w:p>
        </w:tc>
        <w:tc>
          <w:tcPr>
            <w:tcW w:w="4333" w:type="dxa"/>
            <w:vAlign w:val="center"/>
          </w:tcPr>
          <w:p>
            <w:pPr>
              <w:spacing w:line="240" w:lineRule="atLeast"/>
              <w:ind w:left="-5" w:right="42" w:rightChars="20"/>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比赛有超过</w:t>
            </w:r>
            <w:r>
              <w:rPr>
                <w:rFonts w:hint="eastAsia" w:ascii="楷体" w:hAnsi="楷体" w:eastAsia="楷体" w:cs="楷体"/>
                <w:color w:val="000000" w:themeColor="text1"/>
                <w:sz w:val="24"/>
                <w:szCs w:val="24"/>
                <w:highlight w:val="none"/>
                <w14:textFill>
                  <w14:solidFill>
                    <w14:schemeClr w14:val="tx1"/>
                  </w14:solidFill>
                </w14:textFill>
              </w:rPr>
              <w:t>100个以上高校代表队、1000支参赛队伍参加比赛的证明材料；</w:t>
            </w:r>
          </w:p>
        </w:tc>
        <w:tc>
          <w:tcPr>
            <w:tcW w:w="1667"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若申请高校电竞赛补贴则为是，</w:t>
            </w:r>
            <w:r>
              <w:rPr>
                <w:rFonts w:hint="eastAsia" w:ascii="楷体" w:hAnsi="楷体" w:eastAsia="楷体" w:cs="楷体"/>
                <w:color w:val="000000" w:themeColor="text1"/>
                <w:sz w:val="24"/>
                <w:szCs w:val="24"/>
                <w:highlight w:val="none"/>
                <w:lang w:val="en-US" w:eastAsia="zh-CN"/>
                <w14:textFill>
                  <w14:solidFill>
                    <w14:schemeClr w14:val="tx1"/>
                  </w14:solidFill>
                </w14:textFill>
              </w:rPr>
              <w:t>其他为否</w:t>
            </w:r>
          </w:p>
        </w:tc>
        <w:tc>
          <w:tcPr>
            <w:tcW w:w="2336" w:type="dxa"/>
            <w:vMerge w:val="continue"/>
            <w:tcBorders/>
            <w:vAlign w:val="center"/>
          </w:tcPr>
          <w:p>
            <w:pPr>
              <w:spacing w:line="276" w:lineRule="auto"/>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8</w:t>
            </w:r>
          </w:p>
        </w:tc>
        <w:tc>
          <w:tcPr>
            <w:tcW w:w="4333" w:type="dxa"/>
            <w:vAlign w:val="center"/>
          </w:tcPr>
          <w:p>
            <w:pPr>
              <w:spacing w:line="240" w:lineRule="atLeast"/>
              <w:ind w:left="-5" w:right="42" w:rightChars="20"/>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比赛有含</w:t>
            </w:r>
            <w:r>
              <w:rPr>
                <w:rFonts w:hint="eastAsia" w:ascii="楷体" w:hAnsi="楷体" w:eastAsia="楷体" w:cs="楷体"/>
                <w:color w:val="000000" w:themeColor="text1"/>
                <w:sz w:val="24"/>
                <w:szCs w:val="24"/>
                <w:highlight w:val="none"/>
                <w14:textFill>
                  <w14:solidFill>
                    <w14:schemeClr w14:val="tx1"/>
                  </w14:solidFill>
                </w14:textFill>
              </w:rPr>
              <w:t>深圳在内的不少于10个地市级以上城市代表队、总选手人数不少于1000人参加比赛或</w:t>
            </w:r>
            <w:r>
              <w:rPr>
                <w:rFonts w:hint="eastAsia" w:ascii="楷体" w:hAnsi="楷体" w:eastAsia="楷体" w:cs="楷体"/>
                <w:color w:val="000000" w:themeColor="text1"/>
                <w:sz w:val="24"/>
                <w:szCs w:val="24"/>
                <w:highlight w:val="none"/>
                <w:lang w:val="en-US" w:eastAsia="zh-CN"/>
                <w14:textFill>
                  <w14:solidFill>
                    <w14:schemeClr w14:val="tx1"/>
                  </w14:solidFill>
                </w14:textFill>
              </w:rPr>
              <w:t>有</w:t>
            </w:r>
            <w:r>
              <w:rPr>
                <w:rFonts w:hint="eastAsia" w:ascii="楷体" w:hAnsi="楷体" w:eastAsia="楷体" w:cs="楷体"/>
                <w:color w:val="000000" w:themeColor="text1"/>
                <w:sz w:val="24"/>
                <w:szCs w:val="24"/>
                <w:highlight w:val="none"/>
                <w14:textFill>
                  <w14:solidFill>
                    <w14:schemeClr w14:val="tx1"/>
                  </w14:solidFill>
                </w14:textFill>
              </w:rPr>
              <w:t>含香港、澳门和深圳在内的地级市不少于5个以上城市代表队、总选手人数不少于500人参加的</w:t>
            </w:r>
            <w:r>
              <w:rPr>
                <w:rFonts w:hint="eastAsia" w:ascii="楷体" w:hAnsi="楷体" w:eastAsia="楷体" w:cs="楷体"/>
                <w:color w:val="000000" w:themeColor="text1"/>
                <w:sz w:val="24"/>
                <w:szCs w:val="24"/>
                <w:highlight w:val="none"/>
                <w:lang w:val="en-US" w:eastAsia="zh-CN"/>
                <w14:textFill>
                  <w14:solidFill>
                    <w14:schemeClr w14:val="tx1"/>
                  </w14:solidFill>
                </w14:textFill>
              </w:rPr>
              <w:t>证明材料</w:t>
            </w:r>
          </w:p>
        </w:tc>
        <w:tc>
          <w:tcPr>
            <w:tcW w:w="1667"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若申请区域电竞赛补贴则为是，</w:t>
            </w:r>
            <w:r>
              <w:rPr>
                <w:rFonts w:hint="eastAsia" w:ascii="楷体" w:hAnsi="楷体" w:eastAsia="楷体" w:cs="楷体"/>
                <w:color w:val="000000" w:themeColor="text1"/>
                <w:sz w:val="24"/>
                <w:szCs w:val="24"/>
                <w:highlight w:val="none"/>
                <w:lang w:val="en-US" w:eastAsia="zh-CN"/>
                <w14:textFill>
                  <w14:solidFill>
                    <w14:schemeClr w14:val="tx1"/>
                  </w14:solidFill>
                </w14:textFill>
              </w:rPr>
              <w:t>其他为否</w:t>
            </w:r>
          </w:p>
        </w:tc>
        <w:tc>
          <w:tcPr>
            <w:tcW w:w="2336" w:type="dxa"/>
            <w:vMerge w:val="continue"/>
            <w:tcBorders/>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9</w:t>
            </w:r>
          </w:p>
        </w:tc>
        <w:tc>
          <w:tcPr>
            <w:tcW w:w="4333" w:type="dxa"/>
            <w:vAlign w:val="center"/>
          </w:tcPr>
          <w:p>
            <w:pPr>
              <w:spacing w:line="240" w:lineRule="atLeast"/>
              <w:ind w:left="-5" w:right="42" w:rightChars="20"/>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电竞俱乐部主场落户材料</w:t>
            </w:r>
          </w:p>
        </w:tc>
        <w:tc>
          <w:tcPr>
            <w:tcW w:w="1667"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若申请俱乐部主场赛补贴则为是，</w:t>
            </w:r>
            <w:r>
              <w:rPr>
                <w:rFonts w:hint="eastAsia" w:ascii="楷体" w:hAnsi="楷体" w:eastAsia="楷体" w:cs="楷体"/>
                <w:color w:val="000000" w:themeColor="text1"/>
                <w:sz w:val="24"/>
                <w:szCs w:val="24"/>
                <w:highlight w:val="none"/>
                <w:lang w:val="en-US" w:eastAsia="zh-CN"/>
                <w14:textFill>
                  <w14:solidFill>
                    <w14:schemeClr w14:val="tx1"/>
                  </w14:solidFill>
                </w14:textFill>
              </w:rPr>
              <w:t>其他为否</w:t>
            </w:r>
          </w:p>
        </w:tc>
        <w:tc>
          <w:tcPr>
            <w:tcW w:w="2336" w:type="dxa"/>
            <w:vMerge w:val="continue"/>
            <w:tcBorders/>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default"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10</w:t>
            </w:r>
          </w:p>
        </w:tc>
        <w:tc>
          <w:tcPr>
            <w:tcW w:w="4333" w:type="dxa"/>
            <w:vAlign w:val="center"/>
          </w:tcPr>
          <w:p>
            <w:pPr>
              <w:spacing w:line="240" w:lineRule="atLeast"/>
              <w:ind w:left="-5" w:right="42" w:rightChars="20"/>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实际发生费用相关合同及发票、付款凭证</w:t>
            </w:r>
          </w:p>
        </w:tc>
        <w:tc>
          <w:tcPr>
            <w:tcW w:w="1667"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continue"/>
            <w:tcBorders/>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default"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11</w:t>
            </w:r>
          </w:p>
        </w:tc>
        <w:tc>
          <w:tcPr>
            <w:tcW w:w="4333" w:type="dxa"/>
            <w:vAlign w:val="center"/>
          </w:tcPr>
          <w:p>
            <w:pPr>
              <w:spacing w:line="240" w:lineRule="atLeast"/>
              <w:ind w:left="-5" w:right="42" w:rightChars="20"/>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比赛</w:t>
            </w:r>
            <w:r>
              <w:rPr>
                <w:rFonts w:hint="eastAsia" w:ascii="楷体" w:hAnsi="楷体" w:eastAsia="楷体" w:cs="楷体"/>
                <w:color w:val="000000" w:themeColor="text1"/>
                <w:sz w:val="24"/>
                <w:szCs w:val="24"/>
                <w:highlight w:val="none"/>
                <w14:textFill>
                  <w14:solidFill>
                    <w14:schemeClr w14:val="tx1"/>
                  </w14:solidFill>
                </w14:textFill>
              </w:rPr>
              <w:t>举办场地照片</w:t>
            </w:r>
          </w:p>
        </w:tc>
        <w:tc>
          <w:tcPr>
            <w:tcW w:w="1667"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是</w:t>
            </w:r>
          </w:p>
        </w:tc>
        <w:tc>
          <w:tcPr>
            <w:tcW w:w="2336" w:type="dxa"/>
            <w:vMerge w:val="continue"/>
            <w:tcBorders/>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default"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12</w:t>
            </w:r>
          </w:p>
        </w:tc>
        <w:tc>
          <w:tcPr>
            <w:tcW w:w="4333" w:type="dxa"/>
            <w:vAlign w:val="center"/>
          </w:tcPr>
          <w:p>
            <w:pPr>
              <w:spacing w:line="240" w:lineRule="atLeast"/>
              <w:ind w:left="-5" w:right="42" w:rightChars="20"/>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在南山区文化广电旅游体育局备案的证明材料</w:t>
            </w:r>
          </w:p>
        </w:tc>
        <w:tc>
          <w:tcPr>
            <w:tcW w:w="1667"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continue"/>
            <w:tcBorders/>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default" w:ascii="楷体" w:hAnsi="楷体" w:eastAsia="楷体" w:cs="楷体"/>
                <w:sz w:val="24"/>
                <w:szCs w:val="24"/>
                <w:highlight w:val="none"/>
                <w:lang w:val="en-US" w:eastAsia="zh-CN"/>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13</w:t>
            </w:r>
          </w:p>
        </w:tc>
        <w:tc>
          <w:tcPr>
            <w:tcW w:w="4333" w:type="dxa"/>
            <w:vAlign w:val="center"/>
          </w:tcPr>
          <w:p>
            <w:pPr>
              <w:spacing w:line="240" w:lineRule="atLeast"/>
              <w:ind w:right="42" w:rightChars="20"/>
              <w:jc w:val="center"/>
              <w:rPr>
                <w:rFonts w:hint="eastAsia" w:ascii="楷体" w:hAnsi="楷体" w:eastAsia="楷体" w:cs="楷体"/>
                <w:sz w:val="24"/>
                <w:szCs w:val="24"/>
                <w:highlight w:val="none"/>
              </w:rPr>
            </w:pPr>
            <w:r>
              <w:rPr>
                <w:rFonts w:hint="eastAsia" w:ascii="楷体" w:hAnsi="楷体" w:eastAsia="楷体" w:cs="楷体"/>
                <w:bCs/>
                <w:iCs/>
                <w:color w:val="000000" w:themeColor="text1"/>
                <w:sz w:val="24"/>
                <w:szCs w:val="24"/>
                <w:highlight w:val="none"/>
                <w14:textFill>
                  <w14:solidFill>
                    <w14:schemeClr w14:val="tx1"/>
                  </w14:solidFill>
                </w14:textFill>
              </w:rPr>
              <w:t>申请书签字盖章版</w:t>
            </w:r>
          </w:p>
        </w:tc>
        <w:tc>
          <w:tcPr>
            <w:tcW w:w="1667"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是</w:t>
            </w:r>
          </w:p>
        </w:tc>
        <w:tc>
          <w:tcPr>
            <w:tcW w:w="2336" w:type="dxa"/>
            <w:vMerge w:val="continue"/>
            <w:tcBorders/>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default" w:ascii="楷体" w:hAnsi="楷体" w:eastAsia="楷体" w:cs="楷体"/>
                <w:sz w:val="24"/>
                <w:szCs w:val="24"/>
                <w:highlight w:val="none"/>
                <w:lang w:val="en-US" w:eastAsia="zh-CN"/>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14</w:t>
            </w:r>
            <w:bookmarkStart w:id="3" w:name="_GoBack"/>
            <w:bookmarkEnd w:id="3"/>
          </w:p>
        </w:tc>
        <w:tc>
          <w:tcPr>
            <w:tcW w:w="4333" w:type="dxa"/>
            <w:vAlign w:val="center"/>
          </w:tcPr>
          <w:p>
            <w:pPr>
              <w:spacing w:line="240" w:lineRule="atLeast"/>
              <w:ind w:right="42" w:rightChars="20"/>
              <w:jc w:val="center"/>
              <w:rPr>
                <w:rFonts w:hint="eastAsia" w:ascii="楷体" w:hAnsi="楷体" w:eastAsia="楷体" w:cs="楷体"/>
                <w:bCs/>
                <w:iCs/>
                <w:sz w:val="24"/>
                <w:szCs w:val="24"/>
                <w:highlight w:val="none"/>
              </w:rPr>
            </w:pPr>
            <w:r>
              <w:rPr>
                <w:rFonts w:hint="eastAsia" w:ascii="楷体" w:hAnsi="楷体" w:eastAsia="楷体" w:cs="楷体"/>
                <w:bCs/>
                <w:iCs/>
                <w:color w:val="000000" w:themeColor="text1"/>
                <w:sz w:val="24"/>
                <w:szCs w:val="24"/>
                <w:highlight w:val="none"/>
                <w14:textFill>
                  <w14:solidFill>
                    <w14:schemeClr w14:val="tx1"/>
                  </w14:solidFill>
                </w14:textFill>
              </w:rPr>
              <w:t>其它附件</w:t>
            </w:r>
          </w:p>
        </w:tc>
        <w:tc>
          <w:tcPr>
            <w:tcW w:w="1667"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否</w:t>
            </w:r>
          </w:p>
        </w:tc>
        <w:tc>
          <w:tcPr>
            <w:tcW w:w="2336" w:type="dxa"/>
            <w:vMerge w:val="continue"/>
            <w:tcBorders/>
            <w:vAlign w:val="center"/>
          </w:tcPr>
          <w:p>
            <w:pPr>
              <w:spacing w:line="240" w:lineRule="atLeast"/>
              <w:jc w:val="left"/>
              <w:rPr>
                <w:rFonts w:hint="eastAsia" w:ascii="楷体" w:hAnsi="楷体" w:eastAsia="楷体" w:cs="楷体"/>
                <w:sz w:val="24"/>
                <w:szCs w:val="24"/>
                <w:highlight w:val="none"/>
              </w:rPr>
            </w:pPr>
          </w:p>
        </w:tc>
      </w:tr>
    </w:tbl>
    <w:p>
      <w:pPr>
        <w:pStyle w:val="8"/>
        <w:shd w:val="clear" w:color="auto" w:fill="FFFFFF"/>
        <w:adjustRightInd w:val="0"/>
        <w:snapToGrid w:val="0"/>
        <w:spacing w:before="0" w:beforeAutospacing="0" w:after="0" w:afterAutospacing="0" w:line="560" w:lineRule="exact"/>
        <w:ind w:firstLine="645"/>
        <w:jc w:val="both"/>
        <w:rPr>
          <w:rFonts w:ascii="Times New Roman" w:hAnsi="Times New Roman" w:eastAsia="黑体" w:cs="Times New Roman"/>
          <w:color w:val="000000" w:themeColor="text1"/>
          <w:kern w:val="2"/>
          <w:sz w:val="32"/>
          <w:szCs w:val="32"/>
          <w:highlight w:val="none"/>
          <w14:textFill>
            <w14:solidFill>
              <w14:schemeClr w14:val="tx1"/>
            </w14:solidFill>
          </w14:textFill>
        </w:rPr>
      </w:pPr>
      <w:r>
        <w:rPr>
          <w:rFonts w:hint="eastAsia" w:ascii="Times New Roman" w:hAnsi="黑体" w:eastAsia="黑体" w:cs="Times New Roman"/>
          <w:color w:val="000000" w:themeColor="text1"/>
          <w:kern w:val="2"/>
          <w:sz w:val="32"/>
          <w:szCs w:val="32"/>
          <w:highlight w:val="none"/>
          <w14:textFill>
            <w14:solidFill>
              <w14:schemeClr w14:val="tx1"/>
            </w14:solidFill>
          </w14:textFill>
        </w:rPr>
        <w:t>七、其他事项</w:t>
      </w:r>
    </w:p>
    <w:p>
      <w:pPr>
        <w:pStyle w:val="8"/>
        <w:shd w:val="clear" w:color="auto" w:fill="FFFFFF"/>
        <w:adjustRightInd w:val="0"/>
        <w:snapToGrid w:val="0"/>
        <w:spacing w:before="0" w:beforeAutospacing="0" w:after="0" w:afterAutospacing="0" w:line="560" w:lineRule="exact"/>
        <w:ind w:firstLine="645"/>
        <w:jc w:val="both"/>
        <w:rPr>
          <w:rFonts w:ascii="仿宋_GB2312" w:hAnsi="仿宋" w:eastAsia="仿宋_GB2312" w:cs="Times New Roman"/>
          <w:color w:val="000000" w:themeColor="text1"/>
          <w:sz w:val="32"/>
          <w:szCs w:val="32"/>
          <w:highlight w:val="none"/>
          <w14:textFill>
            <w14:solidFill>
              <w14:schemeClr w14:val="tx1"/>
            </w14:solidFill>
          </w14:textFill>
        </w:rPr>
      </w:pPr>
      <w:r>
        <w:rPr>
          <w:rFonts w:hint="eastAsia" w:ascii="仿宋_GB2312" w:hAnsi="仿宋" w:eastAsia="仿宋_GB2312" w:cs="Times New Roman"/>
          <w:color w:val="000000" w:themeColor="text1"/>
          <w:kern w:val="2"/>
          <w:sz w:val="32"/>
          <w:szCs w:val="32"/>
          <w:highlight w:val="none"/>
          <w14:textFill>
            <w14:solidFill>
              <w14:schemeClr w14:val="tx1"/>
            </w14:solidFill>
          </w14:textFill>
        </w:rPr>
        <w:t>申请本项目资助的企业应保证其申报材料的完整性、</w:t>
      </w:r>
      <w:r>
        <w:rPr>
          <w:rFonts w:hint="eastAsia" w:ascii="仿宋_GB2312" w:hAnsi="仿宋" w:eastAsia="仿宋_GB2312" w:cs="Times New Roman"/>
          <w:color w:val="000000" w:themeColor="text1"/>
          <w:sz w:val="32"/>
          <w:szCs w:val="32"/>
          <w:highlight w:val="none"/>
          <w14:textFill>
            <w14:solidFill>
              <w14:schemeClr w14:val="tx1"/>
            </w14:solidFill>
          </w14:textFill>
        </w:rPr>
        <w:t>真实性、</w:t>
      </w:r>
      <w:r>
        <w:rPr>
          <w:rFonts w:hint="eastAsia" w:ascii="仿宋_GB2312" w:hAnsi="仿宋" w:eastAsia="仿宋_GB2312" w:cs="Times New Roman"/>
          <w:color w:val="000000" w:themeColor="text1"/>
          <w:kern w:val="2"/>
          <w:sz w:val="32"/>
          <w:szCs w:val="32"/>
          <w:highlight w:val="none"/>
          <w14:textFill>
            <w14:solidFill>
              <w14:schemeClr w14:val="tx1"/>
            </w14:solidFill>
          </w14:textFill>
        </w:rPr>
        <w:t>准确性</w:t>
      </w:r>
      <w:r>
        <w:rPr>
          <w:rFonts w:hint="eastAsia" w:ascii="仿宋_GB2312" w:hAnsi="仿宋" w:eastAsia="仿宋_GB2312" w:cs="Times New Roman"/>
          <w:color w:val="000000" w:themeColor="text1"/>
          <w:sz w:val="32"/>
          <w:szCs w:val="32"/>
          <w:highlight w:val="none"/>
          <w14:textFill>
            <w14:solidFill>
              <w14:schemeClr w14:val="tx1"/>
            </w14:solidFill>
          </w14:textFill>
        </w:rPr>
        <w:t>及合法性</w:t>
      </w:r>
      <w:r>
        <w:rPr>
          <w:rFonts w:hint="eastAsia" w:ascii="仿宋_GB2312" w:hAnsi="仿宋" w:eastAsia="仿宋_GB2312" w:cs="Times New Roman"/>
          <w:color w:val="000000" w:themeColor="text1"/>
          <w:kern w:val="2"/>
          <w:sz w:val="32"/>
          <w:szCs w:val="32"/>
          <w:highlight w:val="none"/>
          <w14:textFill>
            <w14:solidFill>
              <w14:schemeClr w14:val="tx1"/>
            </w14:solidFill>
          </w14:textFill>
        </w:rPr>
        <w:t>，</w:t>
      </w:r>
      <w:r>
        <w:rPr>
          <w:rFonts w:hint="eastAsia" w:ascii="仿宋_GB2312" w:hAnsi="仿宋" w:eastAsia="仿宋_GB2312" w:cs="Times New Roman"/>
          <w:color w:val="000000" w:themeColor="text1"/>
          <w:sz w:val="32"/>
          <w:szCs w:val="32"/>
          <w:highlight w:val="none"/>
          <w14:textFill>
            <w14:solidFill>
              <w14:schemeClr w14:val="tx1"/>
            </w14:solidFill>
          </w14:textFill>
        </w:rPr>
        <w:t>并承担所提交的项目申报材料的相关法律责任，如有虚假或侵权等行为，该项目申请无效，如事后发现存在以上行为，本资金主管部门将保留依法追究其法律责任的权利。</w:t>
      </w:r>
    </w:p>
    <w:p>
      <w:pPr>
        <w:pStyle w:val="8"/>
        <w:shd w:val="clear" w:color="auto" w:fill="FFFFFF"/>
        <w:adjustRightInd w:val="0"/>
        <w:snapToGrid w:val="0"/>
        <w:spacing w:before="0" w:beforeAutospacing="0" w:after="0" w:afterAutospacing="0" w:line="560" w:lineRule="exact"/>
        <w:ind w:firstLine="640" w:firstLineChars="200"/>
        <w:jc w:val="both"/>
        <w:rPr>
          <w:rFonts w:ascii="Times New Roman" w:hAnsi="Times New Roman" w:eastAsia="黑体" w:cs="Times New Roman"/>
          <w:color w:val="000000" w:themeColor="text1"/>
          <w:kern w:val="2"/>
          <w:sz w:val="32"/>
          <w:szCs w:val="32"/>
          <w:highlight w:val="none"/>
          <w14:textFill>
            <w14:solidFill>
              <w14:schemeClr w14:val="tx1"/>
            </w14:solidFill>
          </w14:textFill>
        </w:rPr>
      </w:pPr>
      <w:r>
        <w:rPr>
          <w:rFonts w:hint="eastAsia" w:ascii="Times New Roman" w:hAnsi="黑体" w:eastAsia="黑体" w:cs="Times New Roman"/>
          <w:color w:val="000000" w:themeColor="text1"/>
          <w:kern w:val="2"/>
          <w:sz w:val="32"/>
          <w:szCs w:val="32"/>
          <w:highlight w:val="none"/>
          <w14:textFill>
            <w14:solidFill>
              <w14:schemeClr w14:val="tx1"/>
            </w14:solidFill>
          </w14:textFill>
        </w:rPr>
        <w:t>八、附则</w:t>
      </w:r>
    </w:p>
    <w:p>
      <w:pPr>
        <w:pStyle w:val="8"/>
        <w:shd w:val="clear" w:color="auto" w:fill="FFFFFF"/>
        <w:adjustRightInd w:val="0"/>
        <w:snapToGrid w:val="0"/>
        <w:spacing w:before="0" w:beforeAutospacing="0" w:after="0" w:afterAutospacing="0" w:line="560" w:lineRule="exact"/>
        <w:ind w:firstLine="640" w:firstLineChars="200"/>
        <w:jc w:val="both"/>
        <w:rPr>
          <w:rFonts w:ascii="仿宋_GB2312" w:eastAsia="仿宋_GB2312"/>
          <w:color w:val="000000" w:themeColor="text1"/>
          <w:highlight w:val="none"/>
          <w14:textFill>
            <w14:solidFill>
              <w14:schemeClr w14:val="tx1"/>
            </w14:solidFill>
          </w14:textFill>
        </w:rPr>
      </w:pPr>
      <w:r>
        <w:rPr>
          <w:rFonts w:hint="eastAsia" w:ascii="仿宋_GB2312" w:hAnsi="仿宋" w:eastAsia="仿宋_GB2312" w:cs="Times New Roman"/>
          <w:color w:val="000000" w:themeColor="text1"/>
          <w:kern w:val="2"/>
          <w:sz w:val="32"/>
          <w:szCs w:val="32"/>
          <w:highlight w:val="none"/>
          <w14:textFill>
            <w14:solidFill>
              <w14:schemeClr w14:val="tx1"/>
            </w14:solidFill>
          </w14:textFill>
        </w:rPr>
        <w:t>本规程由南山区文化广电旅游体育局负责解释，自发布之日起施行。</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9097515"/>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Q3NmZlZGU2MTUxNzU1NDM0ZTgzOGI1YzBkOTcxZTMifQ=="/>
  </w:docVars>
  <w:rsids>
    <w:rsidRoot w:val="1E9B000F"/>
    <w:rsid w:val="00007F6F"/>
    <w:rsid w:val="00024D3C"/>
    <w:rsid w:val="00031E90"/>
    <w:rsid w:val="000965F4"/>
    <w:rsid w:val="000B0273"/>
    <w:rsid w:val="00115BCC"/>
    <w:rsid w:val="001421E0"/>
    <w:rsid w:val="00143A36"/>
    <w:rsid w:val="0015404E"/>
    <w:rsid w:val="001B0C22"/>
    <w:rsid w:val="0020003E"/>
    <w:rsid w:val="0026218E"/>
    <w:rsid w:val="003513BD"/>
    <w:rsid w:val="003E1EB4"/>
    <w:rsid w:val="003F33E9"/>
    <w:rsid w:val="0040362C"/>
    <w:rsid w:val="004329C4"/>
    <w:rsid w:val="00434791"/>
    <w:rsid w:val="00456C09"/>
    <w:rsid w:val="00475747"/>
    <w:rsid w:val="00484F4E"/>
    <w:rsid w:val="004B052D"/>
    <w:rsid w:val="004C22D8"/>
    <w:rsid w:val="00595A1F"/>
    <w:rsid w:val="005A622A"/>
    <w:rsid w:val="005C1AD0"/>
    <w:rsid w:val="005D529D"/>
    <w:rsid w:val="006255F8"/>
    <w:rsid w:val="00651611"/>
    <w:rsid w:val="00676E19"/>
    <w:rsid w:val="00705AFF"/>
    <w:rsid w:val="007067EE"/>
    <w:rsid w:val="00765457"/>
    <w:rsid w:val="007A67CC"/>
    <w:rsid w:val="007D0365"/>
    <w:rsid w:val="007E2AAA"/>
    <w:rsid w:val="007E59AE"/>
    <w:rsid w:val="008058F8"/>
    <w:rsid w:val="00886129"/>
    <w:rsid w:val="00896F3C"/>
    <w:rsid w:val="008A06B8"/>
    <w:rsid w:val="008B0EB5"/>
    <w:rsid w:val="008C75B3"/>
    <w:rsid w:val="008D3C58"/>
    <w:rsid w:val="00920AE3"/>
    <w:rsid w:val="00966922"/>
    <w:rsid w:val="009944AF"/>
    <w:rsid w:val="009B0D2F"/>
    <w:rsid w:val="009B3AE0"/>
    <w:rsid w:val="009E2DAA"/>
    <w:rsid w:val="009F4297"/>
    <w:rsid w:val="00A33646"/>
    <w:rsid w:val="00A65275"/>
    <w:rsid w:val="00A82793"/>
    <w:rsid w:val="00AD6040"/>
    <w:rsid w:val="00AE260C"/>
    <w:rsid w:val="00B101C1"/>
    <w:rsid w:val="00B17BF3"/>
    <w:rsid w:val="00B77C53"/>
    <w:rsid w:val="00B803E6"/>
    <w:rsid w:val="00B91CA9"/>
    <w:rsid w:val="00BA5F30"/>
    <w:rsid w:val="00BC06DD"/>
    <w:rsid w:val="00BD6E4F"/>
    <w:rsid w:val="00BE7C30"/>
    <w:rsid w:val="00C97D94"/>
    <w:rsid w:val="00CA4770"/>
    <w:rsid w:val="00CD6F9A"/>
    <w:rsid w:val="00CE00CC"/>
    <w:rsid w:val="00CE1FF7"/>
    <w:rsid w:val="00CE6F5B"/>
    <w:rsid w:val="00D13618"/>
    <w:rsid w:val="00D818FD"/>
    <w:rsid w:val="00DF10BB"/>
    <w:rsid w:val="00E040F9"/>
    <w:rsid w:val="00E102DA"/>
    <w:rsid w:val="00E1265B"/>
    <w:rsid w:val="00E23039"/>
    <w:rsid w:val="00E4544B"/>
    <w:rsid w:val="00EA5699"/>
    <w:rsid w:val="00EC4977"/>
    <w:rsid w:val="00F0380B"/>
    <w:rsid w:val="00F07B9B"/>
    <w:rsid w:val="00F07CA9"/>
    <w:rsid w:val="00F2135A"/>
    <w:rsid w:val="00F254EF"/>
    <w:rsid w:val="00F2602B"/>
    <w:rsid w:val="00F3450B"/>
    <w:rsid w:val="00F85813"/>
    <w:rsid w:val="00F95C5E"/>
    <w:rsid w:val="00FB6C39"/>
    <w:rsid w:val="00FD76D6"/>
    <w:rsid w:val="024E06A7"/>
    <w:rsid w:val="0381433E"/>
    <w:rsid w:val="095C7285"/>
    <w:rsid w:val="0A5B0FE9"/>
    <w:rsid w:val="0F5657D4"/>
    <w:rsid w:val="0F970CAC"/>
    <w:rsid w:val="104D08F5"/>
    <w:rsid w:val="10572E1C"/>
    <w:rsid w:val="10914778"/>
    <w:rsid w:val="119C505E"/>
    <w:rsid w:val="168B0344"/>
    <w:rsid w:val="17341286"/>
    <w:rsid w:val="1DE65B7D"/>
    <w:rsid w:val="1E395720"/>
    <w:rsid w:val="1E9B000F"/>
    <w:rsid w:val="1EE349E1"/>
    <w:rsid w:val="1F701E6B"/>
    <w:rsid w:val="1FAD4DE8"/>
    <w:rsid w:val="21D26611"/>
    <w:rsid w:val="22A03ECE"/>
    <w:rsid w:val="268838F2"/>
    <w:rsid w:val="27341108"/>
    <w:rsid w:val="2A0E4549"/>
    <w:rsid w:val="2ABE797D"/>
    <w:rsid w:val="2CB93B54"/>
    <w:rsid w:val="2D1C3032"/>
    <w:rsid w:val="2D4D13D7"/>
    <w:rsid w:val="2E0C1292"/>
    <w:rsid w:val="2E6B7739"/>
    <w:rsid w:val="365F39E8"/>
    <w:rsid w:val="37B104F6"/>
    <w:rsid w:val="3A322081"/>
    <w:rsid w:val="3C9A0A26"/>
    <w:rsid w:val="3DBA0E43"/>
    <w:rsid w:val="3E9962A9"/>
    <w:rsid w:val="3EB43064"/>
    <w:rsid w:val="410E52C5"/>
    <w:rsid w:val="42D91274"/>
    <w:rsid w:val="431D4C7D"/>
    <w:rsid w:val="43252FDE"/>
    <w:rsid w:val="432C2634"/>
    <w:rsid w:val="43306312"/>
    <w:rsid w:val="463F7CE5"/>
    <w:rsid w:val="46DC3AA0"/>
    <w:rsid w:val="489D2DBB"/>
    <w:rsid w:val="492055D3"/>
    <w:rsid w:val="49A40981"/>
    <w:rsid w:val="49BE66BD"/>
    <w:rsid w:val="4A6807A1"/>
    <w:rsid w:val="4E92280E"/>
    <w:rsid w:val="51422751"/>
    <w:rsid w:val="55905B88"/>
    <w:rsid w:val="56B440F1"/>
    <w:rsid w:val="5C8D0087"/>
    <w:rsid w:val="5CD110EF"/>
    <w:rsid w:val="5DB22A0D"/>
    <w:rsid w:val="5FB8487A"/>
    <w:rsid w:val="60EA0710"/>
    <w:rsid w:val="61C6117D"/>
    <w:rsid w:val="63894210"/>
    <w:rsid w:val="64561B9C"/>
    <w:rsid w:val="65CE2733"/>
    <w:rsid w:val="682008BB"/>
    <w:rsid w:val="69024E95"/>
    <w:rsid w:val="6A7B0C2A"/>
    <w:rsid w:val="6D3414FD"/>
    <w:rsid w:val="758F53A8"/>
    <w:rsid w:val="77425CD3"/>
    <w:rsid w:val="77AA0DE3"/>
    <w:rsid w:val="7A7B45E1"/>
    <w:rsid w:val="7C8A1257"/>
    <w:rsid w:val="7D9C7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jc w:val="center"/>
      <w:outlineLvl w:val="0"/>
    </w:pPr>
    <w:rPr>
      <w:rFonts w:eastAsia="黑体"/>
      <w:bCs/>
      <w:kern w:val="44"/>
      <w:szCs w:val="4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qFormat/>
    <w:uiPriority w:val="0"/>
    <w:pPr>
      <w:jc w:val="left"/>
    </w:pPr>
  </w:style>
  <w:style w:type="paragraph" w:styleId="4">
    <w:name w:val="Body Text"/>
    <w:basedOn w:val="1"/>
    <w:qFormat/>
    <w:uiPriority w:val="0"/>
    <w:pPr>
      <w:jc w:val="center"/>
    </w:pPr>
    <w:rPr>
      <w:rFonts w:eastAsia="华文中宋"/>
      <w:sz w:val="44"/>
    </w:rPr>
  </w:style>
  <w:style w:type="paragraph" w:styleId="5">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6">
    <w:name w:val="footer"/>
    <w:basedOn w:val="1"/>
    <w:link w:val="18"/>
    <w:qFormat/>
    <w:uiPriority w:val="99"/>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17"/>
    <w:qFormat/>
    <w:uiPriority w:val="0"/>
    <w:rPr>
      <w:b/>
      <w:bCs/>
    </w:rPr>
  </w:style>
  <w:style w:type="character" w:styleId="12">
    <w:name w:val="annotation reference"/>
    <w:basedOn w:val="11"/>
    <w:qFormat/>
    <w:uiPriority w:val="0"/>
    <w:rPr>
      <w:sz w:val="21"/>
      <w:szCs w:val="21"/>
    </w:rPr>
  </w:style>
  <w:style w:type="character" w:customStyle="1" w:styleId="13">
    <w:name w:val="font51"/>
    <w:basedOn w:val="11"/>
    <w:qFormat/>
    <w:uiPriority w:val="0"/>
    <w:rPr>
      <w:rFonts w:hint="eastAsia" w:ascii="宋体" w:hAnsi="宋体" w:eastAsia="宋体" w:cs="宋体"/>
      <w:color w:val="000000"/>
      <w:sz w:val="24"/>
      <w:szCs w:val="24"/>
      <w:u w:val="none"/>
    </w:rPr>
  </w:style>
  <w:style w:type="character" w:customStyle="1" w:styleId="14">
    <w:name w:val="页眉 字符"/>
    <w:basedOn w:val="11"/>
    <w:link w:val="7"/>
    <w:qFormat/>
    <w:uiPriority w:val="0"/>
    <w:rPr>
      <w:kern w:val="2"/>
      <w:sz w:val="18"/>
      <w:szCs w:val="18"/>
    </w:rPr>
  </w:style>
  <w:style w:type="paragraph" w:customStyle="1" w:styleId="15">
    <w:name w:val="列出段落1"/>
    <w:basedOn w:val="1"/>
    <w:qFormat/>
    <w:uiPriority w:val="34"/>
    <w:pPr>
      <w:ind w:firstLine="420" w:firstLineChars="200"/>
    </w:pPr>
    <w:rPr>
      <w:rFonts w:ascii="Calibri" w:hAnsi="Calibri" w:cs="宋体"/>
    </w:rPr>
  </w:style>
  <w:style w:type="character" w:customStyle="1" w:styleId="16">
    <w:name w:val="批注文字 字符"/>
    <w:basedOn w:val="11"/>
    <w:link w:val="3"/>
    <w:qFormat/>
    <w:uiPriority w:val="0"/>
    <w:rPr>
      <w:kern w:val="2"/>
      <w:sz w:val="21"/>
      <w:szCs w:val="24"/>
    </w:rPr>
  </w:style>
  <w:style w:type="character" w:customStyle="1" w:styleId="17">
    <w:name w:val="批注主题 字符"/>
    <w:basedOn w:val="16"/>
    <w:link w:val="9"/>
    <w:qFormat/>
    <w:uiPriority w:val="0"/>
    <w:rPr>
      <w:b/>
      <w:bCs/>
      <w:kern w:val="2"/>
      <w:sz w:val="21"/>
      <w:szCs w:val="24"/>
    </w:rPr>
  </w:style>
  <w:style w:type="character" w:customStyle="1" w:styleId="18">
    <w:name w:val="页脚 字符"/>
    <w:basedOn w:val="11"/>
    <w:link w:val="6"/>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3191</Words>
  <Characters>3373</Characters>
  <Lines>20</Lines>
  <Paragraphs>5</Paragraphs>
  <TotalTime>1</TotalTime>
  <ScaleCrop>false</ScaleCrop>
  <LinksUpToDate>false</LinksUpToDate>
  <CharactersWithSpaces>3374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2022-07-23T02:39:00Z</dcterms:created>
  <dc:creator>王榕</dc:creator>
  <cp:lastModifiedBy>hjx</cp:lastModifiedBy>
  <cp:lastPrinted>2021-06-04T03:18:00Z</cp:lastPrinted>
  <dcterms:modified xsi:type="dcterms:W3CDTF">2023-04-04T02:09:03Z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AC069A648FF7451DAD7D99FB60DA189C</vt:lpwstr>
  </property>
</Properties>
</file>