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jc w:val="center"/>
        <w:textAlignment w:val="auto"/>
        <w:rPr>
          <w:rFonts w:hint="eastAsia" w:eastAsia="黑体"/>
          <w:color w:val="000000" w:themeColor="text1"/>
          <w:spacing w:val="-14"/>
          <w:sz w:val="32"/>
          <w:szCs w:val="32"/>
          <w:highlight w:val="none"/>
          <w:lang w:val="en-US" w:eastAsia="zh-CN"/>
          <w14:textFill>
            <w14:solidFill>
              <w14:schemeClr w14:val="tx1"/>
            </w14:solidFill>
          </w14:textFill>
        </w:rPr>
      </w:pPr>
      <w:r>
        <w:rPr>
          <w:rFonts w:hint="eastAsia" w:eastAsia="黑体"/>
          <w:color w:val="000000" w:themeColor="text1"/>
          <w:spacing w:val="-14"/>
          <w:sz w:val="32"/>
          <w:szCs w:val="32"/>
          <w:highlight w:val="none"/>
          <w14:textFill>
            <w14:solidFill>
              <w14:schemeClr w14:val="tx1"/>
            </w14:solidFill>
          </w14:textFill>
        </w:rPr>
        <w:t>南山区</w:t>
      </w:r>
      <w:r>
        <w:rPr>
          <w:rFonts w:hint="eastAsia" w:eastAsia="黑体"/>
          <w:color w:val="000000" w:themeColor="text1"/>
          <w:spacing w:val="-14"/>
          <w:sz w:val="32"/>
          <w:szCs w:val="32"/>
          <w:highlight w:val="none"/>
          <w:lang w:val="en-US" w:eastAsia="zh-CN"/>
          <w14:textFill>
            <w14:solidFill>
              <w14:schemeClr w14:val="tx1"/>
            </w14:solidFill>
          </w14:textFill>
        </w:rPr>
        <w:t>促进电竞产业发展专项扶持措施</w:t>
      </w:r>
    </w:p>
    <w:p>
      <w:pPr>
        <w:adjustRightInd w:val="0"/>
        <w:snapToGrid w:val="0"/>
        <w:spacing w:line="560" w:lineRule="exact"/>
        <w:jc w:val="center"/>
        <w:rPr>
          <w:rFonts w:hint="eastAsia" w:eastAsia="黑体"/>
          <w:color w:val="000000" w:themeColor="text1"/>
          <w:spacing w:val="-14"/>
          <w:sz w:val="32"/>
          <w:szCs w:val="32"/>
          <w:highlight w:val="none"/>
          <w:lang w:val="en-US" w:eastAsia="zh-CN"/>
          <w14:textFill>
            <w14:solidFill>
              <w14:schemeClr w14:val="tx1"/>
            </w14:solidFill>
          </w14:textFill>
        </w:rPr>
      </w:pPr>
      <w:r>
        <w:rPr>
          <w:rFonts w:hint="eastAsia" w:eastAsia="黑体"/>
          <w:color w:val="000000" w:themeColor="text1"/>
          <w:spacing w:val="-14"/>
          <w:sz w:val="32"/>
          <w:szCs w:val="32"/>
          <w:highlight w:val="none"/>
          <w14:textFill>
            <w14:solidFill>
              <w14:schemeClr w14:val="tx1"/>
            </w14:solidFill>
          </w14:textFill>
        </w:rPr>
        <w:t>支持举办电竞产业活动</w:t>
      </w:r>
      <w:r>
        <w:rPr>
          <w:rFonts w:hint="eastAsia" w:eastAsia="黑体"/>
          <w:color w:val="000000" w:themeColor="text1"/>
          <w:spacing w:val="-14"/>
          <w:sz w:val="32"/>
          <w:szCs w:val="32"/>
          <w:highlight w:val="none"/>
          <w:lang w:val="en-US" w:eastAsia="zh-CN"/>
          <w14:textFill>
            <w14:solidFill>
              <w14:schemeClr w14:val="tx1"/>
            </w14:solidFill>
          </w14:textFill>
        </w:rPr>
        <w:t>项目</w:t>
      </w:r>
    </w:p>
    <w:p>
      <w:pPr>
        <w:adjustRightInd w:val="0"/>
        <w:snapToGrid w:val="0"/>
        <w:spacing w:line="560" w:lineRule="exact"/>
        <w:jc w:val="center"/>
        <w:rPr>
          <w:rFonts w:eastAsia="黑体"/>
          <w:color w:val="000000" w:themeColor="text1"/>
          <w:sz w:val="32"/>
          <w:szCs w:val="32"/>
          <w:highlight w:val="none"/>
          <w14:textFill>
            <w14:solidFill>
              <w14:schemeClr w14:val="tx1"/>
            </w14:solidFill>
          </w14:textFill>
        </w:rPr>
      </w:pPr>
      <w:r>
        <w:rPr>
          <w:rFonts w:hint="eastAsia" w:eastAsia="黑体"/>
          <w:color w:val="000000" w:themeColor="text1"/>
          <w:sz w:val="32"/>
          <w:szCs w:val="32"/>
          <w:highlight w:val="none"/>
          <w14:textFill>
            <w14:solidFill>
              <w14:schemeClr w14:val="tx1"/>
            </w14:solidFill>
          </w14:textFill>
        </w:rPr>
        <w:t>操作规程</w:t>
      </w:r>
    </w:p>
    <w:p>
      <w:pPr>
        <w:adjustRightInd w:val="0"/>
        <w:snapToGrid w:val="0"/>
        <w:spacing w:line="560" w:lineRule="exact"/>
        <w:jc w:val="center"/>
        <w:rPr>
          <w:rFonts w:eastAsia="黑体"/>
          <w:color w:val="000000" w:themeColor="text1"/>
          <w:sz w:val="32"/>
          <w:szCs w:val="32"/>
          <w:highlight w:val="none"/>
          <w14:textFill>
            <w14:solidFill>
              <w14:schemeClr w14:val="tx1"/>
            </w14:solidFill>
          </w14:textFill>
        </w:rPr>
      </w:pPr>
      <w:r>
        <w:rPr>
          <w:rFonts w:hint="eastAsia" w:eastAsia="黑体"/>
          <w:b/>
          <w:bCs/>
          <w:color w:val="000000" w:themeColor="text1"/>
          <w:sz w:val="32"/>
          <w:szCs w:val="32"/>
          <w:highlight w:val="none"/>
          <w14:textFill>
            <w14:solidFill>
              <w14:schemeClr w14:val="tx1"/>
            </w14:solidFill>
          </w14:textFill>
        </w:rPr>
        <w:t>（</w:t>
      </w:r>
      <w:r>
        <w:rPr>
          <w:rFonts w:eastAsia="黑体"/>
          <w:b/>
          <w:bCs/>
          <w:color w:val="000000" w:themeColor="text1"/>
          <w:sz w:val="32"/>
          <w:szCs w:val="32"/>
          <w:highlight w:val="none"/>
          <w14:textFill>
            <w14:solidFill>
              <w14:schemeClr w14:val="tx1"/>
            </w14:solidFill>
          </w14:textFill>
        </w:rPr>
        <w:t>20</w:t>
      </w:r>
      <w:r>
        <w:rPr>
          <w:rFonts w:hint="eastAsia" w:eastAsia="黑体"/>
          <w:b/>
          <w:bCs/>
          <w:color w:val="000000" w:themeColor="text1"/>
          <w:sz w:val="32"/>
          <w:szCs w:val="32"/>
          <w:highlight w:val="none"/>
          <w14:textFill>
            <w14:solidFill>
              <w14:schemeClr w14:val="tx1"/>
            </w14:solidFill>
          </w14:textFill>
        </w:rPr>
        <w:t>2</w:t>
      </w:r>
      <w:r>
        <w:rPr>
          <w:rFonts w:hint="eastAsia" w:eastAsia="黑体"/>
          <w:b/>
          <w:bCs/>
          <w:color w:val="000000" w:themeColor="text1"/>
          <w:sz w:val="32"/>
          <w:szCs w:val="32"/>
          <w:highlight w:val="none"/>
          <w:lang w:val="en-US" w:eastAsia="zh-CN"/>
          <w14:textFill>
            <w14:solidFill>
              <w14:schemeClr w14:val="tx1"/>
            </w14:solidFill>
          </w14:textFill>
        </w:rPr>
        <w:t>3</w:t>
      </w:r>
      <w:r>
        <w:rPr>
          <w:rFonts w:hint="eastAsia" w:eastAsia="黑体"/>
          <w:b/>
          <w:bCs/>
          <w:color w:val="000000" w:themeColor="text1"/>
          <w:sz w:val="32"/>
          <w:szCs w:val="32"/>
          <w:highlight w:val="none"/>
          <w14:textFill>
            <w14:solidFill>
              <w14:schemeClr w14:val="tx1"/>
            </w14:solidFill>
          </w14:textFill>
        </w:rPr>
        <w:t>年）</w:t>
      </w:r>
    </w:p>
    <w:p>
      <w:pPr>
        <w:adjustRightInd w:val="0"/>
        <w:snapToGrid w:val="0"/>
        <w:spacing w:line="560" w:lineRule="exact"/>
        <w:rPr>
          <w:rFonts w:hAnsi="仿宋" w:eastAsia="仿宋"/>
          <w:color w:val="000000" w:themeColor="text1"/>
          <w:sz w:val="32"/>
          <w:szCs w:val="32"/>
          <w:highlight w:val="none"/>
          <w14:textFill>
            <w14:solidFill>
              <w14:schemeClr w14:val="tx1"/>
            </w14:solidFill>
          </w14:textFill>
        </w:rPr>
      </w:pPr>
    </w:p>
    <w:p>
      <w:pPr>
        <w:adjustRightInd w:val="0"/>
        <w:snapToGrid w:val="0"/>
        <w:spacing w:line="560" w:lineRule="exact"/>
        <w:ind w:firstLine="640" w:firstLineChars="200"/>
        <w:rPr>
          <w:rFonts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14:textFill>
            <w14:solidFill>
              <w14:schemeClr w14:val="tx1"/>
            </w14:solidFill>
          </w14:textFill>
        </w:rPr>
        <w:t>为支持承办政府主办的重大电竞产业活动，鼓励举办有一定规模和影响力的特色电竞产业活动，优化营商环境，加强招商引资，完善南山区电竞产业链，根据《南山区促进现代产业高质量发展专项资金管理办法》和《南山区促进电竞产业发展专项扶持措施》，制定本操作规程。</w:t>
      </w:r>
    </w:p>
    <w:p>
      <w:pPr>
        <w:widowControl/>
        <w:adjustRightInd w:val="0"/>
        <w:snapToGrid w:val="0"/>
        <w:spacing w:line="560" w:lineRule="exact"/>
        <w:ind w:firstLine="537" w:firstLineChars="168"/>
        <w:rPr>
          <w:rFonts w:eastAsia="黑体"/>
          <w:color w:val="000000" w:themeColor="text1"/>
          <w:sz w:val="32"/>
          <w:szCs w:val="32"/>
          <w:highlight w:val="none"/>
          <w14:textFill>
            <w14:solidFill>
              <w14:schemeClr w14:val="tx1"/>
            </w14:solidFill>
          </w14:textFill>
        </w:rPr>
      </w:pPr>
      <w:r>
        <w:rPr>
          <w:rFonts w:hint="eastAsia" w:hAnsi="黑体" w:eastAsia="黑体"/>
          <w:color w:val="000000" w:themeColor="text1"/>
          <w:sz w:val="32"/>
          <w:szCs w:val="32"/>
          <w:highlight w:val="none"/>
          <w14:textFill>
            <w14:solidFill>
              <w14:schemeClr w14:val="tx1"/>
            </w14:solidFill>
          </w14:textFill>
        </w:rPr>
        <w:t>一、政策内容</w:t>
      </w:r>
    </w:p>
    <w:p>
      <w:pPr>
        <w:widowControl/>
        <w:spacing w:line="560" w:lineRule="exact"/>
        <w:ind w:firstLine="640" w:firstLineChars="200"/>
        <w:rPr>
          <w:rFonts w:hint="eastAsia" w:ascii="仿宋_GB2312" w:hAnsi="仿宋" w:eastAsia="仿宋_GB2312" w:cs="仿宋"/>
          <w:color w:val="000000" w:themeColor="text1"/>
          <w:sz w:val="32"/>
          <w:szCs w:val="32"/>
          <w:highlight w:val="none"/>
          <w14:textFill>
            <w14:solidFill>
              <w14:schemeClr w14:val="tx1"/>
            </w14:solidFill>
          </w14:textFill>
        </w:rPr>
      </w:pPr>
      <w:r>
        <w:rPr>
          <w:rFonts w:hint="eastAsia" w:ascii="仿宋_GB2312" w:hAnsi="仿宋" w:eastAsia="仿宋_GB2312" w:cs="仿宋"/>
          <w:color w:val="000000" w:themeColor="text1"/>
          <w:sz w:val="32"/>
          <w:szCs w:val="32"/>
          <w:highlight w:val="none"/>
          <w14:textFill>
            <w14:solidFill>
              <w14:schemeClr w14:val="tx1"/>
            </w14:solidFill>
          </w14:textFill>
        </w:rPr>
        <w:t>（一）承办政府主办的重大电竞产业活动。支持行业协会、专业机构和企业承办南山区政府组织举办的重大电竞产业展会、论坛活动，每个活动给予资助不超过800万元。</w:t>
      </w:r>
    </w:p>
    <w:p>
      <w:pPr>
        <w:widowControl/>
        <w:spacing w:line="560" w:lineRule="exact"/>
        <w:ind w:firstLine="640" w:firstLineChars="200"/>
        <w:rPr>
          <w:rFonts w:ascii="仿宋_GB2312" w:hAnsi="仿宋" w:eastAsia="仿宋_GB2312" w:cs="仿宋"/>
          <w:color w:val="000000" w:themeColor="text1"/>
          <w:sz w:val="32"/>
          <w:szCs w:val="32"/>
          <w:highlight w:val="none"/>
          <w14:textFill>
            <w14:solidFill>
              <w14:schemeClr w14:val="tx1"/>
            </w14:solidFill>
          </w14:textFill>
        </w:rPr>
      </w:pPr>
      <w:r>
        <w:rPr>
          <w:rFonts w:hint="eastAsia" w:ascii="仿宋_GB2312" w:hAnsi="仿宋" w:eastAsia="仿宋_GB2312" w:cs="仿宋"/>
          <w:color w:val="000000" w:themeColor="text1"/>
          <w:sz w:val="32"/>
          <w:szCs w:val="32"/>
          <w:highlight w:val="none"/>
          <w14:textFill>
            <w14:solidFill>
              <w14:schemeClr w14:val="tx1"/>
            </w14:solidFill>
          </w14:textFill>
        </w:rPr>
        <w:t>（二）举办特色电竞产业活动。支持行业协会、专业机构和企业举办符合南山电竞产业发展方向，具备一定规模和影响力，有助于推动南山电竞产业发展的电竞产业展会、论坛等特色活动，每个按不超过实际发生费用50%的比例给予资助，每家单位每年不超过200万元。</w:t>
      </w:r>
    </w:p>
    <w:p>
      <w:pPr>
        <w:widowControl/>
        <w:adjustRightInd w:val="0"/>
        <w:snapToGrid w:val="0"/>
        <w:spacing w:line="560" w:lineRule="exact"/>
        <w:ind w:firstLine="537" w:firstLineChars="168"/>
        <w:rPr>
          <w:rFonts w:eastAsia="黑体"/>
          <w:color w:val="000000" w:themeColor="text1"/>
          <w:sz w:val="32"/>
          <w:szCs w:val="32"/>
          <w:highlight w:val="none"/>
          <w14:textFill>
            <w14:solidFill>
              <w14:schemeClr w14:val="tx1"/>
            </w14:solidFill>
          </w14:textFill>
        </w:rPr>
      </w:pPr>
      <w:r>
        <w:rPr>
          <w:rFonts w:hint="eastAsia" w:hAnsi="黑体" w:eastAsia="黑体"/>
          <w:color w:val="000000" w:themeColor="text1"/>
          <w:sz w:val="32"/>
          <w:szCs w:val="32"/>
          <w:highlight w:val="none"/>
          <w14:textFill>
            <w14:solidFill>
              <w14:schemeClr w14:val="tx1"/>
            </w14:solidFill>
          </w14:textFill>
        </w:rPr>
        <w:t>二、资助方式</w:t>
      </w:r>
    </w:p>
    <w:p>
      <w:pPr>
        <w:widowControl/>
        <w:adjustRightInd w:val="0"/>
        <w:snapToGrid w:val="0"/>
        <w:spacing w:line="560" w:lineRule="exact"/>
        <w:ind w:firstLine="537" w:firstLineChars="168"/>
        <w:rPr>
          <w:rFonts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14:textFill>
            <w14:solidFill>
              <w14:schemeClr w14:val="tx1"/>
            </w14:solidFill>
          </w14:textFill>
        </w:rPr>
        <w:t>本项资金资助属于核准类项目，资助资金的安排使用坚持公平、公开、公正的原则，实行自愿申报、科学决策和绩效评估的管理制度，采取无偿资助方式和</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事前（</w:t>
      </w:r>
      <w:r>
        <w:rPr>
          <w:rFonts w:hint="eastAsia" w:ascii="仿宋_GB2312" w:hAnsi="仿宋" w:eastAsia="仿宋_GB2312"/>
          <w:color w:val="000000" w:themeColor="text1"/>
          <w:sz w:val="32"/>
          <w:szCs w:val="32"/>
          <w:highlight w:val="none"/>
          <w14:textFill>
            <w14:solidFill>
              <w14:schemeClr w14:val="tx1"/>
            </w14:solidFill>
          </w14:textFill>
        </w:rPr>
        <w:t>承办政府主办的重大电竞产业活动</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）或</w:t>
      </w:r>
      <w:r>
        <w:rPr>
          <w:rFonts w:hint="eastAsia" w:ascii="仿宋_GB2312" w:hAnsi="仿宋" w:eastAsia="仿宋_GB2312"/>
          <w:color w:val="000000" w:themeColor="text1"/>
          <w:sz w:val="32"/>
          <w:szCs w:val="32"/>
          <w:highlight w:val="none"/>
          <w14:textFill>
            <w14:solidFill>
              <w14:schemeClr w14:val="tx1"/>
            </w14:solidFill>
          </w14:textFill>
        </w:rPr>
        <w:t>事后</w:t>
      </w:r>
      <w:r>
        <w:rPr>
          <w:rFonts w:hint="eastAsia" w:ascii="仿宋_GB2312" w:hAnsi="仿宋" w:eastAsia="仿宋_GB2312"/>
          <w:color w:val="000000" w:themeColor="text1"/>
          <w:sz w:val="32"/>
          <w:szCs w:val="32"/>
          <w:highlight w:val="none"/>
          <w:lang w:eastAsia="zh-CN"/>
          <w14:textFill>
            <w14:solidFill>
              <w14:schemeClr w14:val="tx1"/>
            </w14:solidFill>
          </w14:textFill>
        </w:rPr>
        <w:t>（</w:t>
      </w:r>
      <w:r>
        <w:rPr>
          <w:rFonts w:hint="eastAsia" w:ascii="仿宋_GB2312" w:hAnsi="仿宋" w:eastAsia="仿宋_GB2312"/>
          <w:color w:val="000000" w:themeColor="text1"/>
          <w:sz w:val="32"/>
          <w:szCs w:val="32"/>
          <w:highlight w:val="none"/>
          <w14:textFill>
            <w14:solidFill>
              <w14:schemeClr w14:val="tx1"/>
            </w14:solidFill>
          </w14:textFill>
        </w:rPr>
        <w:t>举办特色电竞产业活动</w:t>
      </w:r>
      <w:r>
        <w:rPr>
          <w:rFonts w:hint="eastAsia" w:ascii="仿宋_GB2312" w:hAnsi="仿宋" w:eastAsia="仿宋_GB2312"/>
          <w:color w:val="000000" w:themeColor="text1"/>
          <w:sz w:val="32"/>
          <w:szCs w:val="32"/>
          <w:highlight w:val="none"/>
          <w:lang w:eastAsia="zh-CN"/>
          <w14:textFill>
            <w14:solidFill>
              <w14:schemeClr w14:val="tx1"/>
            </w14:solidFill>
          </w14:textFill>
        </w:rPr>
        <w:t>）</w:t>
      </w:r>
      <w:r>
        <w:rPr>
          <w:rFonts w:hint="eastAsia" w:ascii="仿宋_GB2312" w:hAnsi="仿宋" w:eastAsia="仿宋_GB2312"/>
          <w:color w:val="000000" w:themeColor="text1"/>
          <w:sz w:val="32"/>
          <w:szCs w:val="32"/>
          <w:highlight w:val="none"/>
          <w14:textFill>
            <w14:solidFill>
              <w14:schemeClr w14:val="tx1"/>
            </w14:solidFill>
          </w14:textFill>
        </w:rPr>
        <w:t>补贴制，</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事前</w:t>
      </w:r>
      <w:r>
        <w:rPr>
          <w:rFonts w:hint="eastAsia" w:ascii="仿宋_GB2312" w:hAnsi="仿宋" w:eastAsia="仿宋_GB2312"/>
          <w:color w:val="000000" w:themeColor="text1"/>
          <w:sz w:val="32"/>
          <w:szCs w:val="32"/>
          <w:highlight w:val="none"/>
          <w14:textFill>
            <w14:solidFill>
              <w14:schemeClr w14:val="tx1"/>
            </w14:solidFill>
          </w14:textFill>
        </w:rPr>
        <w:t>资助项目需验收</w:t>
      </w:r>
      <w:r>
        <w:rPr>
          <w:rFonts w:hint="eastAsia" w:ascii="仿宋_GB2312" w:hAnsi="仿宋" w:eastAsia="仿宋_GB2312"/>
          <w:color w:val="000000" w:themeColor="text1"/>
          <w:sz w:val="32"/>
          <w:szCs w:val="32"/>
          <w:highlight w:val="none"/>
          <w:lang w:eastAsia="zh-CN"/>
          <w14:textFill>
            <w14:solidFill>
              <w14:schemeClr w14:val="tx1"/>
            </w14:solidFill>
          </w14:textFill>
        </w:rPr>
        <w:t>，</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事后</w:t>
      </w:r>
      <w:r>
        <w:rPr>
          <w:rFonts w:hint="eastAsia" w:ascii="仿宋_GB2312" w:hAnsi="仿宋" w:eastAsia="仿宋_GB2312"/>
          <w:color w:val="000000" w:themeColor="text1"/>
          <w:sz w:val="32"/>
          <w:szCs w:val="32"/>
          <w:highlight w:val="none"/>
          <w14:textFill>
            <w14:solidFill>
              <w14:schemeClr w14:val="tx1"/>
            </w14:solidFill>
          </w14:textFill>
        </w:rPr>
        <w:t>资助项目无需验收。本项目不受“区级地方财力贡献”限制。</w:t>
      </w:r>
    </w:p>
    <w:p>
      <w:pPr>
        <w:widowControl/>
        <w:adjustRightInd w:val="0"/>
        <w:snapToGrid w:val="0"/>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hint="eastAsia" w:hAnsi="黑体" w:eastAsia="黑体"/>
          <w:color w:val="000000" w:themeColor="text1"/>
          <w:sz w:val="32"/>
          <w:szCs w:val="32"/>
          <w:highlight w:val="none"/>
          <w14:textFill>
            <w14:solidFill>
              <w14:schemeClr w14:val="tx1"/>
            </w14:solidFill>
          </w14:textFill>
        </w:rPr>
        <w:t>三、申请条件</w:t>
      </w:r>
    </w:p>
    <w:p>
      <w:pPr>
        <w:adjustRightInd w:val="0"/>
        <w:snapToGrid w:val="0"/>
        <w:spacing w:line="560" w:lineRule="exact"/>
        <w:ind w:firstLine="640" w:firstLineChars="200"/>
        <w:rPr>
          <w:rFonts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14:textFill>
            <w14:solidFill>
              <w14:schemeClr w14:val="tx1"/>
            </w14:solidFill>
          </w14:textFill>
        </w:rPr>
        <w:t>（一）基本条件：</w:t>
      </w:r>
    </w:p>
    <w:p>
      <w:pPr>
        <w:adjustRightInd w:val="0"/>
        <w:snapToGrid w:val="0"/>
        <w:spacing w:line="560" w:lineRule="exact"/>
        <w:ind w:firstLine="640" w:firstLineChars="200"/>
        <w:rPr>
          <w:rFonts w:hint="eastAsia"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lang w:val="en-US" w:eastAsia="zh-CN"/>
          <w14:textFill>
            <w14:solidFill>
              <w14:schemeClr w14:val="tx1"/>
            </w14:solidFill>
          </w14:textFill>
        </w:rPr>
        <w:t>1、</w:t>
      </w:r>
      <w:r>
        <w:rPr>
          <w:rFonts w:hint="eastAsia" w:ascii="仿宋_GB2312" w:hAnsi="仿宋" w:eastAsia="仿宋_GB2312"/>
          <w:color w:val="000000" w:themeColor="text1"/>
          <w:sz w:val="32"/>
          <w:szCs w:val="32"/>
          <w:highlight w:val="none"/>
          <w14:textFill>
            <w14:solidFill>
              <w14:schemeClr w14:val="tx1"/>
            </w14:solidFill>
          </w14:textFill>
        </w:rPr>
        <w:t>在南山辖区内登记注册、具有独立法人资格</w:t>
      </w:r>
      <w:r>
        <w:rPr>
          <w:rFonts w:hint="eastAsia" w:ascii="仿宋_GB2312" w:hAnsi="仿宋" w:eastAsia="仿宋_GB2312"/>
          <w:color w:val="000000" w:themeColor="text1"/>
          <w:sz w:val="32"/>
          <w:szCs w:val="32"/>
          <w:highlight w:val="none"/>
          <w:lang w:eastAsia="zh-CN"/>
          <w14:textFill>
            <w14:solidFill>
              <w14:schemeClr w14:val="tx1"/>
            </w14:solidFill>
          </w14:textFill>
        </w:rPr>
        <w:t>（</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申请</w:t>
      </w:r>
      <w:r>
        <w:rPr>
          <w:rFonts w:hint="eastAsia" w:ascii="仿宋_GB2312" w:hAnsi="仿宋" w:eastAsia="仿宋_GB2312" w:cs="仿宋"/>
          <w:color w:val="000000" w:themeColor="text1"/>
          <w:sz w:val="32"/>
          <w:szCs w:val="32"/>
          <w:highlight w:val="none"/>
          <w14:textFill>
            <w14:solidFill>
              <w14:schemeClr w14:val="tx1"/>
            </w14:solidFill>
          </w14:textFill>
        </w:rPr>
        <w:t>承办政府主办的重大电竞产业活动</w:t>
      </w:r>
      <w:r>
        <w:rPr>
          <w:rFonts w:hint="eastAsia" w:ascii="仿宋_GB2312" w:hAnsi="仿宋" w:eastAsia="仿宋_GB2312" w:cs="仿宋"/>
          <w:color w:val="000000" w:themeColor="text1"/>
          <w:sz w:val="32"/>
          <w:szCs w:val="32"/>
          <w:highlight w:val="none"/>
          <w:lang w:val="en-US" w:eastAsia="zh-CN"/>
          <w14:textFill>
            <w14:solidFill>
              <w14:schemeClr w14:val="tx1"/>
            </w14:solidFill>
          </w14:textFill>
        </w:rPr>
        <w:t>项目的，不受此项</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限制</w:t>
      </w:r>
      <w:r>
        <w:rPr>
          <w:rFonts w:hint="eastAsia" w:ascii="仿宋_GB2312" w:hAnsi="仿宋" w:eastAsia="仿宋_GB2312"/>
          <w:color w:val="000000" w:themeColor="text1"/>
          <w:sz w:val="32"/>
          <w:szCs w:val="32"/>
          <w:highlight w:val="none"/>
          <w:lang w:eastAsia="zh-CN"/>
          <w14:textFill>
            <w14:solidFill>
              <w14:schemeClr w14:val="tx1"/>
            </w14:solidFill>
          </w14:textFill>
        </w:rPr>
        <w:t>）</w:t>
      </w:r>
      <w:r>
        <w:rPr>
          <w:rFonts w:hint="eastAsia" w:ascii="仿宋_GB2312" w:hAnsi="仿宋" w:eastAsia="仿宋_GB2312"/>
          <w:color w:val="000000" w:themeColor="text1"/>
          <w:sz w:val="32"/>
          <w:szCs w:val="32"/>
          <w:highlight w:val="none"/>
          <w14:textFill>
            <w14:solidFill>
              <w14:schemeClr w14:val="tx1"/>
            </w14:solidFill>
          </w14:textFill>
        </w:rPr>
        <w:t>；</w:t>
      </w:r>
    </w:p>
    <w:p>
      <w:pPr>
        <w:adjustRightInd w:val="0"/>
        <w:snapToGrid w:val="0"/>
        <w:spacing w:line="560" w:lineRule="exact"/>
        <w:ind w:firstLine="640" w:firstLineChars="200"/>
        <w:rPr>
          <w:rFonts w:hint="eastAsia"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lang w:val="en-US" w:eastAsia="zh-CN"/>
          <w14:textFill>
            <w14:solidFill>
              <w14:schemeClr w14:val="tx1"/>
            </w14:solidFill>
          </w14:textFill>
        </w:rPr>
        <w:t>2、</w:t>
      </w:r>
      <w:r>
        <w:rPr>
          <w:rFonts w:hint="eastAsia" w:ascii="仿宋_GB2312" w:hAnsi="仿宋" w:eastAsia="仿宋_GB2312"/>
          <w:color w:val="000000" w:themeColor="text1"/>
          <w:sz w:val="32"/>
          <w:szCs w:val="32"/>
          <w:highlight w:val="none"/>
          <w14:textFill>
            <w14:solidFill>
              <w14:schemeClr w14:val="tx1"/>
            </w14:solidFill>
          </w14:textFill>
        </w:rPr>
        <w:t>履行统计数据申报义务、守法经营、诚实守信、有规范健全的财务制度</w:t>
      </w:r>
      <w:r>
        <w:rPr>
          <w:rFonts w:hint="eastAsia" w:ascii="仿宋_GB2312" w:hAnsi="仿宋" w:eastAsia="仿宋_GB2312"/>
          <w:color w:val="000000" w:themeColor="text1"/>
          <w:sz w:val="32"/>
          <w:szCs w:val="32"/>
          <w:highlight w:val="none"/>
          <w:lang w:eastAsia="zh-CN"/>
          <w14:textFill>
            <w14:solidFill>
              <w14:schemeClr w14:val="tx1"/>
            </w14:solidFill>
          </w14:textFill>
        </w:rPr>
        <w:t>（</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申请</w:t>
      </w:r>
      <w:r>
        <w:rPr>
          <w:rFonts w:hint="eastAsia" w:ascii="仿宋_GB2312" w:hAnsi="仿宋" w:eastAsia="仿宋_GB2312" w:cs="仿宋"/>
          <w:color w:val="000000" w:themeColor="text1"/>
          <w:sz w:val="32"/>
          <w:szCs w:val="32"/>
          <w:highlight w:val="none"/>
          <w14:textFill>
            <w14:solidFill>
              <w14:schemeClr w14:val="tx1"/>
            </w14:solidFill>
          </w14:textFill>
        </w:rPr>
        <w:t>承办政府主办的重大电竞产业活动</w:t>
      </w:r>
      <w:r>
        <w:rPr>
          <w:rFonts w:hint="eastAsia" w:ascii="仿宋_GB2312" w:hAnsi="仿宋" w:eastAsia="仿宋_GB2312" w:cs="仿宋"/>
          <w:color w:val="000000" w:themeColor="text1"/>
          <w:sz w:val="32"/>
          <w:szCs w:val="32"/>
          <w:highlight w:val="none"/>
          <w:lang w:val="en-US" w:eastAsia="zh-CN"/>
          <w14:textFill>
            <w14:solidFill>
              <w14:schemeClr w14:val="tx1"/>
            </w14:solidFill>
          </w14:textFill>
        </w:rPr>
        <w:t>项目的，不受</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w:t>
      </w:r>
      <w:r>
        <w:rPr>
          <w:rFonts w:hint="eastAsia" w:ascii="仿宋_GB2312" w:hAnsi="仿宋" w:eastAsia="仿宋_GB2312"/>
          <w:color w:val="000000" w:themeColor="text1"/>
          <w:sz w:val="32"/>
          <w:szCs w:val="32"/>
          <w:highlight w:val="none"/>
          <w14:textFill>
            <w14:solidFill>
              <w14:schemeClr w14:val="tx1"/>
            </w14:solidFill>
          </w14:textFill>
        </w:rPr>
        <w:t>履行统计数据申报义务</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”限制</w:t>
      </w:r>
      <w:r>
        <w:rPr>
          <w:rFonts w:hint="eastAsia" w:ascii="仿宋_GB2312" w:hAnsi="仿宋" w:eastAsia="仿宋_GB2312"/>
          <w:color w:val="000000" w:themeColor="text1"/>
          <w:sz w:val="32"/>
          <w:szCs w:val="32"/>
          <w:highlight w:val="none"/>
          <w:lang w:eastAsia="zh-CN"/>
          <w14:textFill>
            <w14:solidFill>
              <w14:schemeClr w14:val="tx1"/>
            </w14:solidFill>
          </w14:textFill>
        </w:rPr>
        <w:t>）</w:t>
      </w:r>
      <w:r>
        <w:rPr>
          <w:rFonts w:hint="eastAsia" w:ascii="仿宋_GB2312" w:hAnsi="仿宋" w:eastAsia="仿宋_GB2312"/>
          <w:color w:val="000000" w:themeColor="text1"/>
          <w:sz w:val="32"/>
          <w:szCs w:val="32"/>
          <w:highlight w:val="none"/>
          <w14:textFill>
            <w14:solidFill>
              <w14:schemeClr w14:val="tx1"/>
            </w14:solidFill>
          </w14:textFill>
        </w:rPr>
        <w:t>；</w:t>
      </w:r>
    </w:p>
    <w:p>
      <w:pPr>
        <w:adjustRightInd w:val="0"/>
        <w:snapToGrid w:val="0"/>
        <w:spacing w:line="560" w:lineRule="exact"/>
        <w:ind w:firstLine="640" w:firstLineChars="200"/>
        <w:rPr>
          <w:rFonts w:hint="eastAsia"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lang w:val="en-US" w:eastAsia="zh-CN"/>
          <w14:textFill>
            <w14:solidFill>
              <w14:schemeClr w14:val="tx1"/>
            </w14:solidFill>
          </w14:textFill>
        </w:rPr>
        <w:t>3、</w:t>
      </w:r>
      <w:r>
        <w:rPr>
          <w:rFonts w:hint="eastAsia" w:ascii="仿宋_GB2312" w:hAnsi="仿宋" w:eastAsia="仿宋_GB2312"/>
          <w:color w:val="000000" w:themeColor="text1"/>
          <w:sz w:val="32"/>
          <w:szCs w:val="32"/>
          <w:highlight w:val="none"/>
          <w14:textFill>
            <w14:solidFill>
              <w14:schemeClr w14:val="tx1"/>
            </w14:solidFill>
          </w14:textFill>
        </w:rPr>
        <w:t>应积极配合区委、区政府相关工作；</w:t>
      </w:r>
    </w:p>
    <w:p>
      <w:pPr>
        <w:adjustRightInd w:val="0"/>
        <w:snapToGrid w:val="0"/>
        <w:spacing w:line="560" w:lineRule="exact"/>
        <w:ind w:firstLine="640" w:firstLineChars="200"/>
        <w:rPr>
          <w:rFonts w:hint="eastAsia"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lang w:val="en-US" w:eastAsia="zh-CN"/>
          <w14:textFill>
            <w14:solidFill>
              <w14:schemeClr w14:val="tx1"/>
            </w14:solidFill>
          </w14:textFill>
        </w:rPr>
        <w:t>4、</w:t>
      </w:r>
      <w:r>
        <w:rPr>
          <w:rFonts w:hint="eastAsia" w:ascii="仿宋_GB2312" w:hAnsi="仿宋" w:eastAsia="仿宋_GB2312"/>
          <w:color w:val="000000" w:themeColor="text1"/>
          <w:sz w:val="32"/>
          <w:szCs w:val="32"/>
          <w:highlight w:val="none"/>
          <w14:textFill>
            <w14:solidFill>
              <w14:schemeClr w14:val="tx1"/>
            </w14:solidFill>
          </w14:textFill>
        </w:rPr>
        <w:t>其他除外情形的，由资金主管部门在产业扶持政策措施或其操作规程中另行作出明确规定。</w:t>
      </w:r>
    </w:p>
    <w:p>
      <w:pPr>
        <w:adjustRightInd w:val="0"/>
        <w:snapToGrid w:val="0"/>
        <w:spacing w:line="560" w:lineRule="exact"/>
        <w:ind w:firstLine="640" w:firstLineChars="200"/>
        <w:rPr>
          <w:rFonts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14:textFill>
            <w14:solidFill>
              <w14:schemeClr w14:val="tx1"/>
            </w14:solidFill>
          </w14:textFill>
        </w:rPr>
        <w:t>（二）不予资助情形：</w:t>
      </w:r>
    </w:p>
    <w:p>
      <w:pPr>
        <w:adjustRightInd w:val="0"/>
        <w:snapToGrid w:val="0"/>
        <w:spacing w:line="560" w:lineRule="exact"/>
        <w:ind w:firstLine="640" w:firstLineChars="200"/>
        <w:rPr>
          <w:rFonts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14:textFill>
            <w14:solidFill>
              <w14:schemeClr w14:val="tx1"/>
            </w14:solidFill>
          </w14:textFill>
        </w:rPr>
        <w:t>1、被依法依规纳入严重失信主体名单或失信惩戒措施清单的；</w:t>
      </w:r>
    </w:p>
    <w:p>
      <w:pPr>
        <w:adjustRightInd w:val="0"/>
        <w:snapToGrid w:val="0"/>
        <w:spacing w:line="560" w:lineRule="exact"/>
        <w:ind w:firstLine="640" w:firstLineChars="200"/>
        <w:rPr>
          <w:rFonts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lang w:val="en-US" w:eastAsia="zh-CN"/>
          <w14:textFill>
            <w14:solidFill>
              <w14:schemeClr w14:val="tx1"/>
            </w14:solidFill>
          </w14:textFill>
        </w:rPr>
        <w:t>2</w:t>
      </w:r>
      <w:r>
        <w:rPr>
          <w:rFonts w:hint="eastAsia" w:ascii="仿宋_GB2312" w:hAnsi="仿宋" w:eastAsia="仿宋_GB2312"/>
          <w:color w:val="000000" w:themeColor="text1"/>
          <w:sz w:val="32"/>
          <w:szCs w:val="32"/>
          <w:highlight w:val="none"/>
          <w14:textFill>
            <w14:solidFill>
              <w14:schemeClr w14:val="tx1"/>
            </w14:solidFill>
          </w14:textFill>
        </w:rPr>
        <w:t>、提出资助申请后，申报主体注册地或在地统计关系发生变化，不再符合申报条件的</w:t>
      </w:r>
      <w:r>
        <w:rPr>
          <w:rFonts w:hint="eastAsia" w:ascii="仿宋_GB2312" w:hAnsi="仿宋" w:eastAsia="仿宋_GB2312"/>
          <w:color w:val="000000" w:themeColor="text1"/>
          <w:sz w:val="32"/>
          <w:szCs w:val="32"/>
          <w:highlight w:val="none"/>
          <w:lang w:eastAsia="zh-CN"/>
          <w14:textFill>
            <w14:solidFill>
              <w14:schemeClr w14:val="tx1"/>
            </w14:solidFill>
          </w14:textFill>
        </w:rPr>
        <w:t>（</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申请</w:t>
      </w:r>
      <w:r>
        <w:rPr>
          <w:rFonts w:hint="eastAsia" w:ascii="仿宋_GB2312" w:hAnsi="仿宋" w:eastAsia="仿宋_GB2312" w:cs="仿宋"/>
          <w:color w:val="000000" w:themeColor="text1"/>
          <w:sz w:val="32"/>
          <w:szCs w:val="32"/>
          <w:highlight w:val="none"/>
          <w14:textFill>
            <w14:solidFill>
              <w14:schemeClr w14:val="tx1"/>
            </w14:solidFill>
          </w14:textFill>
        </w:rPr>
        <w:t>承办政府主办的重大电竞产业活动</w:t>
      </w:r>
      <w:r>
        <w:rPr>
          <w:rFonts w:hint="eastAsia" w:ascii="仿宋_GB2312" w:hAnsi="仿宋" w:eastAsia="仿宋_GB2312" w:cs="仿宋"/>
          <w:color w:val="000000" w:themeColor="text1"/>
          <w:sz w:val="32"/>
          <w:szCs w:val="32"/>
          <w:highlight w:val="none"/>
          <w:lang w:val="en-US" w:eastAsia="zh-CN"/>
          <w14:textFill>
            <w14:solidFill>
              <w14:schemeClr w14:val="tx1"/>
            </w14:solidFill>
          </w14:textFill>
        </w:rPr>
        <w:t>项目的，不受此项</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限制</w:t>
      </w:r>
      <w:r>
        <w:rPr>
          <w:rFonts w:hint="eastAsia" w:ascii="仿宋_GB2312" w:hAnsi="仿宋" w:eastAsia="仿宋_GB2312"/>
          <w:color w:val="000000" w:themeColor="text1"/>
          <w:sz w:val="32"/>
          <w:szCs w:val="32"/>
          <w:highlight w:val="none"/>
          <w:lang w:eastAsia="zh-CN"/>
          <w14:textFill>
            <w14:solidFill>
              <w14:schemeClr w14:val="tx1"/>
            </w14:solidFill>
          </w14:textFill>
        </w:rPr>
        <w:t>）</w:t>
      </w:r>
      <w:r>
        <w:rPr>
          <w:rFonts w:hint="eastAsia" w:ascii="仿宋_GB2312" w:hAnsi="仿宋" w:eastAsia="仿宋_GB2312"/>
          <w:color w:val="000000" w:themeColor="text1"/>
          <w:sz w:val="32"/>
          <w:szCs w:val="32"/>
          <w:highlight w:val="none"/>
          <w14:textFill>
            <w14:solidFill>
              <w14:schemeClr w14:val="tx1"/>
            </w14:solidFill>
          </w14:textFill>
        </w:rPr>
        <w:t>。</w:t>
      </w:r>
    </w:p>
    <w:p>
      <w:pPr>
        <w:widowControl/>
        <w:adjustRightInd w:val="0"/>
        <w:snapToGrid w:val="0"/>
        <w:spacing w:line="560" w:lineRule="exact"/>
        <w:ind w:firstLine="640" w:firstLineChars="200"/>
        <w:rPr>
          <w:rFonts w:hAnsi="黑体" w:eastAsia="黑体"/>
          <w:color w:val="000000" w:themeColor="text1"/>
          <w:sz w:val="32"/>
          <w:szCs w:val="32"/>
          <w:highlight w:val="none"/>
          <w14:textFill>
            <w14:solidFill>
              <w14:schemeClr w14:val="tx1"/>
            </w14:solidFill>
          </w14:textFill>
        </w:rPr>
      </w:pPr>
      <w:r>
        <w:rPr>
          <w:rFonts w:hint="eastAsia" w:hAnsi="黑体" w:eastAsia="黑体"/>
          <w:color w:val="000000" w:themeColor="text1"/>
          <w:sz w:val="32"/>
          <w:szCs w:val="32"/>
          <w:highlight w:val="none"/>
          <w14:textFill>
            <w14:solidFill>
              <w14:schemeClr w14:val="tx1"/>
            </w14:solidFill>
          </w14:textFill>
        </w:rPr>
        <w:t>四、申报类别</w:t>
      </w:r>
    </w:p>
    <w:p>
      <w:pPr>
        <w:widowControl/>
        <w:spacing w:line="560" w:lineRule="exact"/>
        <w:ind w:firstLine="643" w:firstLineChars="200"/>
        <w:rPr>
          <w:rFonts w:ascii="仿宋_GB2312" w:hAnsi="仿宋" w:eastAsia="仿宋_GB2312" w:cs="仿宋"/>
          <w:color w:val="000000" w:themeColor="text1"/>
          <w:sz w:val="32"/>
          <w:szCs w:val="32"/>
          <w:highlight w:val="none"/>
          <w14:textFill>
            <w14:solidFill>
              <w14:schemeClr w14:val="tx1"/>
            </w14:solidFill>
          </w14:textFill>
        </w:rPr>
      </w:pPr>
      <w:r>
        <w:rPr>
          <w:rFonts w:hint="eastAsia" w:ascii="仿宋_GB2312" w:hAnsi="仿宋" w:eastAsia="仿宋_GB2312" w:cs="仿宋"/>
          <w:b/>
          <w:bCs/>
          <w:color w:val="000000" w:themeColor="text1"/>
          <w:sz w:val="32"/>
          <w:szCs w:val="32"/>
          <w:highlight w:val="none"/>
          <w:lang w:val="en-US" w:eastAsia="zh-CN"/>
          <w14:textFill>
            <w14:solidFill>
              <w14:schemeClr w14:val="tx1"/>
            </w14:solidFill>
          </w14:textFill>
        </w:rPr>
        <w:t>1.</w:t>
      </w:r>
      <w:r>
        <w:rPr>
          <w:rFonts w:hint="eastAsia" w:ascii="仿宋_GB2312" w:hAnsi="仿宋" w:eastAsia="仿宋_GB2312" w:cs="仿宋"/>
          <w:b/>
          <w:bCs/>
          <w:color w:val="000000" w:themeColor="text1"/>
          <w:sz w:val="32"/>
          <w:szCs w:val="32"/>
          <w:highlight w:val="none"/>
          <w14:textFill>
            <w14:solidFill>
              <w14:schemeClr w14:val="tx1"/>
            </w14:solidFill>
          </w14:textFill>
        </w:rPr>
        <w:t>承办政府主办的重大电竞产业活动。</w:t>
      </w:r>
      <w:r>
        <w:rPr>
          <w:rFonts w:hint="eastAsia" w:ascii="仿宋_GB2312" w:hAnsi="仿宋" w:eastAsia="仿宋_GB2312" w:cs="仿宋"/>
          <w:color w:val="000000" w:themeColor="text1"/>
          <w:sz w:val="32"/>
          <w:szCs w:val="32"/>
          <w:highlight w:val="none"/>
          <w14:textFill>
            <w14:solidFill>
              <w14:schemeClr w14:val="tx1"/>
            </w14:solidFill>
          </w14:textFill>
        </w:rPr>
        <w:t>支持行业协会、专业机构、企业承办南山区政府组织主办的展会、论坛等重大电竞产业活动，</w:t>
      </w:r>
      <w:r>
        <w:rPr>
          <w:rFonts w:ascii="仿宋_GB2312" w:hAnsi="仿宋" w:eastAsia="仿宋_GB2312" w:cs="仿宋"/>
          <w:color w:val="000000" w:themeColor="text1"/>
          <w:sz w:val="32"/>
          <w:szCs w:val="32"/>
          <w:highlight w:val="none"/>
          <w14:textFill>
            <w14:solidFill>
              <w14:schemeClr w14:val="tx1"/>
            </w14:solidFill>
          </w14:textFill>
        </w:rPr>
        <w:t>每</w:t>
      </w:r>
      <w:r>
        <w:rPr>
          <w:rFonts w:hint="eastAsia" w:ascii="仿宋_GB2312" w:hAnsi="仿宋" w:eastAsia="仿宋_GB2312" w:cs="仿宋"/>
          <w:color w:val="000000" w:themeColor="text1"/>
          <w:sz w:val="32"/>
          <w:szCs w:val="32"/>
          <w:highlight w:val="none"/>
          <w14:textFill>
            <w14:solidFill>
              <w14:schemeClr w14:val="tx1"/>
            </w14:solidFill>
          </w14:textFill>
        </w:rPr>
        <w:t>个活动给予最高不超过</w:t>
      </w:r>
      <w:r>
        <w:rPr>
          <w:rFonts w:ascii="仿宋_GB2312" w:hAnsi="仿宋" w:eastAsia="仿宋_GB2312" w:cs="仿宋"/>
          <w:color w:val="000000" w:themeColor="text1"/>
          <w:sz w:val="32"/>
          <w:szCs w:val="32"/>
          <w:highlight w:val="none"/>
          <w14:textFill>
            <w14:solidFill>
              <w14:schemeClr w14:val="tx1"/>
            </w14:solidFill>
          </w14:textFill>
        </w:rPr>
        <w:t>800</w:t>
      </w:r>
      <w:r>
        <w:rPr>
          <w:rFonts w:hint="eastAsia" w:ascii="仿宋_GB2312" w:hAnsi="仿宋" w:eastAsia="仿宋_GB2312" w:cs="仿宋"/>
          <w:color w:val="000000" w:themeColor="text1"/>
          <w:sz w:val="32"/>
          <w:szCs w:val="32"/>
          <w:highlight w:val="none"/>
          <w14:textFill>
            <w14:solidFill>
              <w14:schemeClr w14:val="tx1"/>
            </w14:solidFill>
          </w14:textFill>
        </w:rPr>
        <w:t>万元资助。</w:t>
      </w:r>
    </w:p>
    <w:p>
      <w:pPr>
        <w:adjustRightInd w:val="0"/>
        <w:snapToGrid w:val="0"/>
        <w:spacing w:line="560" w:lineRule="exact"/>
        <w:ind w:firstLine="640" w:firstLineChars="200"/>
        <w:rPr>
          <w:rFonts w:ascii="楷体_GB2312" w:hAnsi="楷体_GB2312" w:eastAsia="楷体_GB2312" w:cs="楷体_GB2312"/>
          <w:color w:val="000000" w:themeColor="text1"/>
          <w:sz w:val="32"/>
          <w:szCs w:val="32"/>
          <w:highlight w:val="none"/>
          <w14:textFill>
            <w14:solidFill>
              <w14:schemeClr w14:val="tx1"/>
            </w14:solidFill>
          </w14:textFill>
        </w:rPr>
      </w:pPr>
      <w:r>
        <w:rPr>
          <w:rFonts w:hint="eastAsia" w:ascii="楷体_GB2312" w:hAnsi="楷体_GB2312" w:eastAsia="楷体_GB2312" w:cs="楷体_GB2312"/>
          <w:color w:val="000000" w:themeColor="text1"/>
          <w:sz w:val="32"/>
          <w:szCs w:val="32"/>
          <w:highlight w:val="none"/>
          <w14:textFill>
            <w14:solidFill>
              <w14:schemeClr w14:val="tx1"/>
            </w14:solidFill>
          </w14:textFill>
        </w:rPr>
        <w:t>申报条件及说明：</w:t>
      </w:r>
    </w:p>
    <w:p>
      <w:pPr>
        <w:pStyle w:val="15"/>
        <w:tabs>
          <w:tab w:val="left" w:pos="0"/>
        </w:tabs>
        <w:spacing w:line="560" w:lineRule="exact"/>
        <w:ind w:firstLine="640"/>
        <w:rPr>
          <w:rFonts w:ascii="仿宋_GB2312" w:hAnsi="仿宋" w:eastAsia="仿宋_GB2312" w:cs="Times New Roman"/>
          <w:color w:val="000000"/>
          <w:sz w:val="32"/>
          <w:szCs w:val="32"/>
          <w:highlight w:val="none"/>
        </w:rPr>
      </w:pPr>
      <w:r>
        <w:rPr>
          <w:rFonts w:hint="eastAsia" w:ascii="仿宋_GB2312" w:hAnsi="仿宋" w:eastAsia="仿宋_GB2312" w:cs="Times New Roman"/>
          <w:color w:val="000000"/>
          <w:sz w:val="32"/>
          <w:szCs w:val="32"/>
          <w:highlight w:val="none"/>
        </w:rPr>
        <w:t>1）</w:t>
      </w:r>
      <w:r>
        <w:rPr>
          <w:rFonts w:hint="eastAsia" w:ascii="仿宋_GB2312" w:hAnsi="仿宋" w:eastAsia="仿宋_GB2312" w:cs="仿宋"/>
          <w:color w:val="000000" w:themeColor="text1"/>
          <w:sz w:val="32"/>
          <w:szCs w:val="32"/>
          <w:highlight w:val="none"/>
          <w14:textFill>
            <w14:solidFill>
              <w14:schemeClr w14:val="tx1"/>
            </w14:solidFill>
          </w14:textFill>
        </w:rPr>
        <w:t>重大电竞产业活动的标准</w:t>
      </w:r>
      <w:r>
        <w:rPr>
          <w:rFonts w:hint="eastAsia" w:ascii="仿宋_GB2312" w:hAnsi="仿宋" w:eastAsia="仿宋_GB2312" w:cs="Times New Roman"/>
          <w:color w:val="000000"/>
          <w:sz w:val="32"/>
          <w:szCs w:val="32"/>
          <w:highlight w:val="none"/>
        </w:rPr>
        <w:t>：由南山区政府主办的国际性/全国性/区域性/主题性的展会、论坛等重大电竞产业活动，最终解释权归南山区政府。</w:t>
      </w:r>
    </w:p>
    <w:p>
      <w:pPr>
        <w:pStyle w:val="15"/>
        <w:tabs>
          <w:tab w:val="left" w:pos="0"/>
        </w:tabs>
        <w:spacing w:line="560" w:lineRule="exact"/>
        <w:ind w:firstLine="640"/>
        <w:rPr>
          <w:rFonts w:hint="eastAsia" w:ascii="仿宋_GB2312" w:hAnsi="仿宋" w:eastAsia="仿宋_GB2312" w:cs="Times New Roman"/>
          <w:color w:val="000000"/>
          <w:sz w:val="32"/>
          <w:szCs w:val="32"/>
          <w:highlight w:val="none"/>
        </w:rPr>
      </w:pPr>
      <w:r>
        <w:rPr>
          <w:rFonts w:hint="eastAsia" w:ascii="仿宋_GB2312" w:hAnsi="仿宋" w:eastAsia="仿宋_GB2312" w:cs="Times New Roman"/>
          <w:color w:val="000000"/>
          <w:sz w:val="32"/>
          <w:szCs w:val="32"/>
          <w:highlight w:val="none"/>
        </w:rPr>
        <w:t>2）</w:t>
      </w:r>
      <w:r>
        <w:rPr>
          <w:rFonts w:ascii="仿宋_GB2312" w:hAnsi="仿宋" w:eastAsia="仿宋_GB2312" w:cs="仿宋"/>
          <w:color w:val="000000" w:themeColor="text1"/>
          <w:sz w:val="32"/>
          <w:szCs w:val="32"/>
          <w:highlight w:val="none"/>
          <w14:textFill>
            <w14:solidFill>
              <w14:schemeClr w14:val="tx1"/>
            </w14:solidFill>
          </w14:textFill>
        </w:rPr>
        <w:t>每</w:t>
      </w:r>
      <w:r>
        <w:rPr>
          <w:rFonts w:hint="eastAsia" w:ascii="仿宋_GB2312" w:hAnsi="仿宋" w:eastAsia="仿宋_GB2312" w:cs="仿宋"/>
          <w:color w:val="000000" w:themeColor="text1"/>
          <w:sz w:val="32"/>
          <w:szCs w:val="32"/>
          <w:highlight w:val="none"/>
          <w14:textFill>
            <w14:solidFill>
              <w14:schemeClr w14:val="tx1"/>
            </w14:solidFill>
          </w14:textFill>
        </w:rPr>
        <w:t>个活动给予最高不超过</w:t>
      </w:r>
      <w:r>
        <w:rPr>
          <w:rFonts w:ascii="仿宋_GB2312" w:hAnsi="仿宋" w:eastAsia="仿宋_GB2312" w:cs="仿宋"/>
          <w:color w:val="000000" w:themeColor="text1"/>
          <w:sz w:val="32"/>
          <w:szCs w:val="32"/>
          <w:highlight w:val="none"/>
          <w14:textFill>
            <w14:solidFill>
              <w14:schemeClr w14:val="tx1"/>
            </w14:solidFill>
          </w14:textFill>
        </w:rPr>
        <w:t>800</w:t>
      </w:r>
      <w:r>
        <w:rPr>
          <w:rFonts w:hint="eastAsia" w:ascii="仿宋_GB2312" w:hAnsi="仿宋" w:eastAsia="仿宋_GB2312" w:cs="仿宋"/>
          <w:color w:val="000000" w:themeColor="text1"/>
          <w:sz w:val="32"/>
          <w:szCs w:val="32"/>
          <w:highlight w:val="none"/>
          <w14:textFill>
            <w14:solidFill>
              <w14:schemeClr w14:val="tx1"/>
            </w14:solidFill>
          </w14:textFill>
        </w:rPr>
        <w:t>万元的事前资助</w:t>
      </w:r>
      <w:r>
        <w:rPr>
          <w:rFonts w:hint="eastAsia" w:ascii="仿宋_GB2312" w:hAnsi="仿宋" w:eastAsia="仿宋_GB2312" w:cs="Times New Roman"/>
          <w:color w:val="000000"/>
          <w:sz w:val="32"/>
          <w:szCs w:val="32"/>
          <w:highlight w:val="none"/>
        </w:rPr>
        <w:t>。</w:t>
      </w:r>
    </w:p>
    <w:p>
      <w:pPr>
        <w:pStyle w:val="15"/>
        <w:tabs>
          <w:tab w:val="left" w:pos="0"/>
        </w:tabs>
        <w:spacing w:line="560" w:lineRule="exact"/>
        <w:ind w:firstLine="640"/>
        <w:rPr>
          <w:rFonts w:hint="eastAsia" w:ascii="仿宋_GB2312" w:hAnsi="仿宋" w:eastAsia="仿宋_GB2312" w:cs="Times New Roman"/>
          <w:color w:val="000000"/>
          <w:sz w:val="32"/>
          <w:szCs w:val="32"/>
          <w:highlight w:val="none"/>
        </w:rPr>
      </w:pPr>
      <w:r>
        <w:rPr>
          <w:rFonts w:hint="eastAsia" w:ascii="仿宋_GB2312" w:hAnsi="仿宋" w:eastAsia="仿宋_GB2312" w:cs="Times New Roman"/>
          <w:color w:val="000000"/>
          <w:sz w:val="32"/>
          <w:szCs w:val="32"/>
          <w:highlight w:val="none"/>
          <w:lang w:val="en-US" w:eastAsia="zh-CN"/>
        </w:rPr>
        <w:t>3</w:t>
      </w:r>
      <w:r>
        <w:rPr>
          <w:rFonts w:hint="eastAsia" w:ascii="仿宋_GB2312" w:hAnsi="仿宋" w:eastAsia="仿宋_GB2312" w:cs="Times New Roman"/>
          <w:color w:val="000000"/>
          <w:sz w:val="32"/>
          <w:szCs w:val="32"/>
          <w:highlight w:val="none"/>
          <w:lang w:eastAsia="zh-CN"/>
        </w:rPr>
        <w:t>）</w:t>
      </w:r>
      <w:r>
        <w:rPr>
          <w:rFonts w:hint="eastAsia" w:ascii="仿宋_GB2312" w:hAnsi="仿宋" w:eastAsia="仿宋_GB2312" w:cs="Times New Roman"/>
          <w:color w:val="000000"/>
          <w:sz w:val="32"/>
          <w:szCs w:val="32"/>
          <w:highlight w:val="none"/>
          <w:lang w:val="en-US" w:eastAsia="zh-CN"/>
        </w:rPr>
        <w:t>资助范围为本年度举办的重大电竞产业活动。</w:t>
      </w:r>
    </w:p>
    <w:p>
      <w:pPr>
        <w:pStyle w:val="15"/>
        <w:tabs>
          <w:tab w:val="left" w:pos="0"/>
        </w:tabs>
        <w:spacing w:line="560" w:lineRule="exact"/>
        <w:ind w:firstLine="640"/>
        <w:rPr>
          <w:rFonts w:ascii="仿宋_GB2312" w:hAnsi="仿宋" w:eastAsia="仿宋_GB2312" w:cs="Times New Roman"/>
          <w:color w:val="000000"/>
          <w:sz w:val="32"/>
          <w:szCs w:val="32"/>
          <w:highlight w:val="none"/>
        </w:rPr>
      </w:pPr>
      <w:r>
        <w:rPr>
          <w:rFonts w:hint="eastAsia" w:ascii="仿宋_GB2312" w:hAnsi="仿宋" w:eastAsia="仿宋_GB2312" w:cs="Times New Roman"/>
          <w:color w:val="000000"/>
          <w:sz w:val="32"/>
          <w:szCs w:val="32"/>
          <w:highlight w:val="none"/>
          <w:lang w:val="en-US" w:eastAsia="zh-CN"/>
        </w:rPr>
        <w:t>4</w:t>
      </w:r>
      <w:r>
        <w:rPr>
          <w:rFonts w:hint="eastAsia" w:ascii="仿宋_GB2312" w:hAnsi="仿宋" w:eastAsia="仿宋_GB2312" w:cs="Times New Roman"/>
          <w:color w:val="000000"/>
          <w:sz w:val="32"/>
          <w:szCs w:val="32"/>
          <w:highlight w:val="none"/>
        </w:rPr>
        <w:t>）重大电竞产业活动，需由南山区政府批准，由南山区文化广电旅游体育局组织，由</w:t>
      </w:r>
      <w:r>
        <w:rPr>
          <w:rFonts w:hint="eastAsia" w:ascii="仿宋_GB2312" w:hAnsi="仿宋" w:eastAsia="仿宋_GB2312" w:cs="仿宋"/>
          <w:color w:val="000000" w:themeColor="text1"/>
          <w:sz w:val="32"/>
          <w:szCs w:val="32"/>
          <w:highlight w:val="none"/>
          <w14:textFill>
            <w14:solidFill>
              <w14:schemeClr w14:val="tx1"/>
            </w14:solidFill>
          </w14:textFill>
        </w:rPr>
        <w:t>行业协会、专业机构、企业承办</w:t>
      </w:r>
      <w:r>
        <w:rPr>
          <w:rFonts w:hint="eastAsia" w:ascii="仿宋_GB2312" w:hAnsi="仿宋" w:eastAsia="仿宋_GB2312" w:cs="Times New Roman"/>
          <w:color w:val="000000"/>
          <w:sz w:val="32"/>
          <w:szCs w:val="32"/>
          <w:highlight w:val="none"/>
        </w:rPr>
        <w:t>。</w:t>
      </w:r>
    </w:p>
    <w:p>
      <w:pPr>
        <w:widowControl/>
        <w:spacing w:line="560" w:lineRule="exact"/>
        <w:ind w:firstLine="643" w:firstLineChars="200"/>
        <w:rPr>
          <w:rFonts w:ascii="仿宋_GB2312" w:hAnsi="仿宋" w:eastAsia="仿宋_GB2312" w:cs="仿宋"/>
          <w:color w:val="000000" w:themeColor="text1"/>
          <w:sz w:val="32"/>
          <w:szCs w:val="32"/>
          <w:highlight w:val="none"/>
          <w14:textFill>
            <w14:solidFill>
              <w14:schemeClr w14:val="tx1"/>
            </w14:solidFill>
          </w14:textFill>
        </w:rPr>
      </w:pPr>
      <w:r>
        <w:rPr>
          <w:rFonts w:hint="eastAsia" w:ascii="仿宋_GB2312" w:hAnsi="仿宋" w:eastAsia="仿宋_GB2312" w:cs="仿宋"/>
          <w:b/>
          <w:bCs/>
          <w:color w:val="000000" w:themeColor="text1"/>
          <w:sz w:val="32"/>
          <w:szCs w:val="32"/>
          <w:highlight w:val="none"/>
          <w:lang w:val="en-US" w:eastAsia="zh-CN"/>
          <w14:textFill>
            <w14:solidFill>
              <w14:schemeClr w14:val="tx1"/>
            </w14:solidFill>
          </w14:textFill>
        </w:rPr>
        <w:t>2.</w:t>
      </w:r>
      <w:r>
        <w:rPr>
          <w:rFonts w:hint="eastAsia" w:ascii="仿宋_GB2312" w:hAnsi="仿宋" w:eastAsia="仿宋_GB2312" w:cs="仿宋"/>
          <w:b/>
          <w:bCs/>
          <w:color w:val="000000" w:themeColor="text1"/>
          <w:sz w:val="32"/>
          <w:szCs w:val="32"/>
          <w:highlight w:val="none"/>
          <w14:textFill>
            <w14:solidFill>
              <w14:schemeClr w14:val="tx1"/>
            </w14:solidFill>
          </w14:textFill>
        </w:rPr>
        <w:t>举办特色电竞产业活动。</w:t>
      </w:r>
      <w:r>
        <w:rPr>
          <w:rFonts w:hint="eastAsia" w:ascii="仿宋_GB2312" w:hAnsi="仿宋" w:eastAsia="仿宋_GB2312" w:cs="仿宋"/>
          <w:color w:val="000000" w:themeColor="text1"/>
          <w:sz w:val="32"/>
          <w:szCs w:val="32"/>
          <w:highlight w:val="none"/>
          <w14:textFill>
            <w14:solidFill>
              <w14:schemeClr w14:val="tx1"/>
            </w14:solidFill>
          </w14:textFill>
        </w:rPr>
        <w:t>支持行业协会、专业机构、企业举办符合南山电竞产业发展方向，具备一定规模和影响力，有助于推动南山电竞产业发展的展会、论坛等特色电竞产业活动，</w:t>
      </w:r>
      <w:bookmarkStart w:id="0" w:name="_Hlk109470474"/>
      <w:r>
        <w:rPr>
          <w:rFonts w:hint="eastAsia" w:ascii="仿宋_GB2312" w:hAnsi="仿宋" w:eastAsia="仿宋_GB2312" w:cs="仿宋"/>
          <w:color w:val="000000" w:themeColor="text1"/>
          <w:sz w:val="32"/>
          <w:szCs w:val="32"/>
          <w:highlight w:val="none"/>
          <w14:textFill>
            <w14:solidFill>
              <w14:schemeClr w14:val="tx1"/>
            </w14:solidFill>
          </w14:textFill>
        </w:rPr>
        <w:t>每个活动按照</w:t>
      </w:r>
      <w:bookmarkEnd w:id="0"/>
      <w:r>
        <w:rPr>
          <w:rFonts w:hint="eastAsia" w:ascii="仿宋_GB2312" w:hAnsi="仿宋" w:eastAsia="仿宋_GB2312" w:cs="仿宋"/>
          <w:color w:val="000000" w:themeColor="text1"/>
          <w:sz w:val="32"/>
          <w:szCs w:val="32"/>
          <w:highlight w:val="none"/>
          <w14:textFill>
            <w14:solidFill>
              <w14:schemeClr w14:val="tx1"/>
            </w14:solidFill>
          </w14:textFill>
        </w:rPr>
        <w:t>不超过实际发生费用50%的比例给予资助，每家单位每年资助金额最高不超过200万元。</w:t>
      </w:r>
    </w:p>
    <w:p>
      <w:pPr>
        <w:pStyle w:val="15"/>
        <w:tabs>
          <w:tab w:val="left" w:pos="0"/>
        </w:tabs>
        <w:spacing w:line="560" w:lineRule="exact"/>
        <w:ind w:firstLine="640"/>
        <w:rPr>
          <w:rFonts w:ascii="楷体_GB2312" w:hAnsi="楷体_GB2312" w:eastAsia="楷体_GB2312" w:cs="楷体_GB2312"/>
          <w:color w:val="000000" w:themeColor="text1"/>
          <w:sz w:val="32"/>
          <w:szCs w:val="32"/>
          <w:highlight w:val="none"/>
          <w14:textFill>
            <w14:solidFill>
              <w14:schemeClr w14:val="tx1"/>
            </w14:solidFill>
          </w14:textFill>
        </w:rPr>
      </w:pPr>
      <w:r>
        <w:rPr>
          <w:rFonts w:hint="eastAsia" w:ascii="楷体_GB2312" w:hAnsi="楷体_GB2312" w:eastAsia="楷体_GB2312" w:cs="楷体_GB2312"/>
          <w:color w:val="000000" w:themeColor="text1"/>
          <w:sz w:val="32"/>
          <w:szCs w:val="32"/>
          <w:highlight w:val="none"/>
          <w14:textFill>
            <w14:solidFill>
              <w14:schemeClr w14:val="tx1"/>
            </w14:solidFill>
          </w14:textFill>
        </w:rPr>
        <w:t>申报条件及说明：</w:t>
      </w:r>
    </w:p>
    <w:p>
      <w:pPr>
        <w:pStyle w:val="15"/>
        <w:tabs>
          <w:tab w:val="left" w:pos="0"/>
        </w:tabs>
        <w:spacing w:line="560" w:lineRule="exact"/>
        <w:ind w:firstLine="640"/>
        <w:rPr>
          <w:rFonts w:ascii="仿宋_GB2312" w:hAnsi="仿宋" w:eastAsia="仿宋_GB2312" w:cs="Times New Roman"/>
          <w:color w:val="000000"/>
          <w:sz w:val="32"/>
          <w:szCs w:val="32"/>
          <w:highlight w:val="none"/>
        </w:rPr>
      </w:pPr>
      <w:r>
        <w:rPr>
          <w:rFonts w:hint="eastAsia" w:ascii="仿宋_GB2312" w:hAnsi="仿宋" w:eastAsia="仿宋_GB2312" w:cs="Times New Roman"/>
          <w:color w:val="000000"/>
          <w:sz w:val="32"/>
          <w:szCs w:val="32"/>
          <w:highlight w:val="none"/>
        </w:rPr>
        <w:t>1）</w:t>
      </w:r>
      <w:r>
        <w:rPr>
          <w:rFonts w:hint="eastAsia" w:ascii="仿宋_GB2312" w:hAnsi="仿宋" w:eastAsia="仿宋_GB2312" w:cs="仿宋"/>
          <w:color w:val="000000" w:themeColor="text1"/>
          <w:sz w:val="32"/>
          <w:szCs w:val="32"/>
          <w:highlight w:val="none"/>
          <w14:textFill>
            <w14:solidFill>
              <w14:schemeClr w14:val="tx1"/>
            </w14:solidFill>
          </w14:textFill>
        </w:rPr>
        <w:t>特色电竞产业活动</w:t>
      </w:r>
      <w:r>
        <w:rPr>
          <w:rFonts w:hint="eastAsia" w:ascii="仿宋_GB2312" w:hAnsi="仿宋" w:eastAsia="仿宋_GB2312" w:cs="Times New Roman"/>
          <w:color w:val="000000"/>
          <w:sz w:val="32"/>
          <w:szCs w:val="32"/>
          <w:highlight w:val="none"/>
        </w:rPr>
        <w:t>的标准：与电竞产业直接相关的展会、论坛等活动</w:t>
      </w:r>
      <w:r>
        <w:rPr>
          <w:rFonts w:hint="eastAsia" w:ascii="仿宋_GB2312" w:hAnsi="仿宋" w:eastAsia="仿宋_GB2312" w:cs="仿宋"/>
          <w:color w:val="000000" w:themeColor="text1"/>
          <w:sz w:val="32"/>
          <w:szCs w:val="32"/>
          <w:highlight w:val="none"/>
          <w14:textFill>
            <w14:solidFill>
              <w14:schemeClr w14:val="tx1"/>
            </w14:solidFill>
          </w14:textFill>
        </w:rPr>
        <w:t>；参加展会的企事业单位不少于5</w:t>
      </w:r>
      <w:r>
        <w:rPr>
          <w:rFonts w:ascii="仿宋_GB2312" w:hAnsi="仿宋" w:eastAsia="仿宋_GB2312" w:cs="仿宋"/>
          <w:color w:val="000000" w:themeColor="text1"/>
          <w:sz w:val="32"/>
          <w:szCs w:val="32"/>
          <w:highlight w:val="none"/>
          <w14:textFill>
            <w14:solidFill>
              <w14:schemeClr w14:val="tx1"/>
            </w14:solidFill>
          </w14:textFill>
        </w:rPr>
        <w:t>0</w:t>
      </w:r>
      <w:r>
        <w:rPr>
          <w:rFonts w:hint="eastAsia" w:ascii="仿宋_GB2312" w:hAnsi="仿宋" w:eastAsia="仿宋_GB2312" w:cs="仿宋"/>
          <w:color w:val="000000" w:themeColor="text1"/>
          <w:sz w:val="32"/>
          <w:szCs w:val="32"/>
          <w:highlight w:val="none"/>
          <w14:textFill>
            <w14:solidFill>
              <w14:schemeClr w14:val="tx1"/>
            </w14:solidFill>
          </w14:textFill>
        </w:rPr>
        <w:t>家，参加论坛的线上线下嘉宾</w:t>
      </w:r>
      <w:r>
        <w:rPr>
          <w:rFonts w:hint="eastAsia" w:ascii="仿宋_GB2312" w:hAnsi="仿宋" w:eastAsia="仿宋_GB2312" w:cs="仿宋"/>
          <w:color w:val="000000" w:themeColor="text1"/>
          <w:sz w:val="32"/>
          <w:szCs w:val="32"/>
          <w:highlight w:val="none"/>
          <w:lang w:val="en-US" w:eastAsia="zh-CN"/>
          <w14:textFill>
            <w14:solidFill>
              <w14:schemeClr w14:val="tx1"/>
            </w14:solidFill>
          </w14:textFill>
        </w:rPr>
        <w:t>和专业观众</w:t>
      </w:r>
      <w:r>
        <w:rPr>
          <w:rFonts w:hint="eastAsia" w:ascii="仿宋_GB2312" w:hAnsi="仿宋" w:eastAsia="仿宋_GB2312" w:cs="仿宋"/>
          <w:color w:val="000000" w:themeColor="text1"/>
          <w:sz w:val="32"/>
          <w:szCs w:val="32"/>
          <w:highlight w:val="none"/>
          <w14:textFill>
            <w14:solidFill>
              <w14:schemeClr w14:val="tx1"/>
            </w14:solidFill>
          </w14:textFill>
        </w:rPr>
        <w:t>总数不低于1</w:t>
      </w:r>
      <w:r>
        <w:rPr>
          <w:rFonts w:ascii="仿宋_GB2312" w:hAnsi="仿宋" w:eastAsia="仿宋_GB2312" w:cs="仿宋"/>
          <w:color w:val="000000" w:themeColor="text1"/>
          <w:sz w:val="32"/>
          <w:szCs w:val="32"/>
          <w:highlight w:val="none"/>
          <w14:textFill>
            <w14:solidFill>
              <w14:schemeClr w14:val="tx1"/>
            </w14:solidFill>
          </w14:textFill>
        </w:rPr>
        <w:t>00</w:t>
      </w:r>
      <w:r>
        <w:rPr>
          <w:rFonts w:hint="eastAsia" w:ascii="仿宋_GB2312" w:hAnsi="仿宋" w:eastAsia="仿宋_GB2312" w:cs="仿宋"/>
          <w:color w:val="000000" w:themeColor="text1"/>
          <w:sz w:val="32"/>
          <w:szCs w:val="32"/>
          <w:highlight w:val="none"/>
          <w14:textFill>
            <w14:solidFill>
              <w14:schemeClr w14:val="tx1"/>
            </w14:solidFill>
          </w14:textFill>
        </w:rPr>
        <w:t>人</w:t>
      </w:r>
      <w:r>
        <w:rPr>
          <w:rFonts w:hint="eastAsia" w:ascii="仿宋_GB2312" w:hAnsi="仿宋" w:eastAsia="仿宋_GB2312" w:cs="Times New Roman"/>
          <w:color w:val="000000"/>
          <w:sz w:val="32"/>
          <w:szCs w:val="32"/>
          <w:highlight w:val="none"/>
        </w:rPr>
        <w:t>。</w:t>
      </w:r>
    </w:p>
    <w:p>
      <w:pPr>
        <w:pStyle w:val="15"/>
        <w:tabs>
          <w:tab w:val="left" w:pos="0"/>
        </w:tabs>
        <w:spacing w:line="560" w:lineRule="exact"/>
        <w:ind w:firstLine="640"/>
        <w:rPr>
          <w:rFonts w:ascii="仿宋_GB2312" w:hAnsi="仿宋" w:eastAsia="仿宋_GB2312" w:cs="Times New Roman"/>
          <w:color w:val="000000"/>
          <w:sz w:val="32"/>
          <w:szCs w:val="32"/>
          <w:highlight w:val="none"/>
        </w:rPr>
      </w:pPr>
      <w:r>
        <w:rPr>
          <w:rFonts w:ascii="仿宋_GB2312" w:hAnsi="仿宋" w:eastAsia="仿宋_GB2312" w:cs="Times New Roman"/>
          <w:color w:val="000000"/>
          <w:sz w:val="32"/>
          <w:szCs w:val="32"/>
          <w:highlight w:val="none"/>
        </w:rPr>
        <w:t>2</w:t>
      </w:r>
      <w:r>
        <w:rPr>
          <w:rFonts w:hint="eastAsia" w:ascii="仿宋_GB2312" w:hAnsi="仿宋" w:eastAsia="仿宋_GB2312" w:cs="Times New Roman"/>
          <w:color w:val="000000"/>
          <w:sz w:val="32"/>
          <w:szCs w:val="32"/>
          <w:highlight w:val="none"/>
        </w:rPr>
        <w:t>）</w:t>
      </w:r>
      <w:r>
        <w:rPr>
          <w:rFonts w:hint="eastAsia" w:ascii="仿宋_GB2312" w:hAnsi="仿宋" w:eastAsia="仿宋_GB2312" w:cs="Times New Roman"/>
          <w:color w:val="000000"/>
          <w:sz w:val="32"/>
          <w:szCs w:val="32"/>
          <w:highlight w:val="none"/>
          <w:lang w:val="en-US" w:eastAsia="zh-CN"/>
        </w:rPr>
        <w:t>对于南山区政府指导或支持的</w:t>
      </w:r>
      <w:r>
        <w:rPr>
          <w:rFonts w:hint="eastAsia" w:ascii="仿宋_GB2312" w:hAnsi="仿宋" w:eastAsia="仿宋_GB2312" w:cs="仿宋"/>
          <w:color w:val="000000" w:themeColor="text1"/>
          <w:sz w:val="32"/>
          <w:szCs w:val="32"/>
          <w:highlight w:val="none"/>
          <w14:textFill>
            <w14:solidFill>
              <w14:schemeClr w14:val="tx1"/>
            </w14:solidFill>
          </w14:textFill>
        </w:rPr>
        <w:t>特色电竞产业活动</w:t>
      </w:r>
      <w:r>
        <w:rPr>
          <w:rFonts w:hint="eastAsia" w:ascii="仿宋_GB2312" w:hAnsi="仿宋" w:eastAsia="仿宋_GB2312" w:cs="仿宋"/>
          <w:color w:val="000000" w:themeColor="text1"/>
          <w:sz w:val="32"/>
          <w:szCs w:val="32"/>
          <w:highlight w:val="none"/>
          <w:lang w:eastAsia="zh-CN"/>
          <w14:textFill>
            <w14:solidFill>
              <w14:schemeClr w14:val="tx1"/>
            </w14:solidFill>
          </w14:textFill>
        </w:rPr>
        <w:t>，</w:t>
      </w:r>
      <w:r>
        <w:rPr>
          <w:rFonts w:hint="eastAsia" w:ascii="仿宋_GB2312" w:hAnsi="仿宋" w:eastAsia="仿宋_GB2312" w:cs="仿宋"/>
          <w:color w:val="000000" w:themeColor="text1"/>
          <w:sz w:val="32"/>
          <w:szCs w:val="32"/>
          <w:highlight w:val="none"/>
          <w:lang w:val="en-US" w:eastAsia="zh-CN"/>
          <w14:textFill>
            <w14:solidFill>
              <w14:schemeClr w14:val="tx1"/>
            </w14:solidFill>
          </w14:textFill>
        </w:rPr>
        <w:t>给予每个活动最高不超过200万元资助；对于南山区文化广电旅游体育局指导或支持的特色电竞产业活动，给予每个活动最高不超过100万元资助。上述活动，</w:t>
      </w:r>
      <w:r>
        <w:rPr>
          <w:rFonts w:hint="eastAsia" w:ascii="仿宋_GB2312" w:hAnsi="仿宋" w:eastAsia="仿宋_GB2312" w:cs="仿宋"/>
          <w:color w:val="000000" w:themeColor="text1"/>
          <w:sz w:val="32"/>
          <w:szCs w:val="32"/>
          <w:highlight w:val="none"/>
          <w14:textFill>
            <w14:solidFill>
              <w14:schemeClr w14:val="tx1"/>
            </w14:solidFill>
          </w14:textFill>
        </w:rPr>
        <w:t>按照不超过实际发生费用50%的比例给予事后资助，每家单位每年资助金额最高不超过200万元。</w:t>
      </w:r>
    </w:p>
    <w:p>
      <w:pPr>
        <w:pStyle w:val="15"/>
        <w:tabs>
          <w:tab w:val="left" w:pos="0"/>
        </w:tabs>
        <w:spacing w:line="560" w:lineRule="exact"/>
        <w:ind w:firstLine="640"/>
        <w:rPr>
          <w:rFonts w:hint="eastAsia" w:ascii="仿宋_GB2312" w:hAnsi="仿宋" w:eastAsia="仿宋_GB2312" w:cs="Times New Roman"/>
          <w:color w:val="000000"/>
          <w:sz w:val="32"/>
          <w:szCs w:val="32"/>
          <w:highlight w:val="none"/>
        </w:rPr>
      </w:pPr>
      <w:r>
        <w:rPr>
          <w:rFonts w:ascii="仿宋_GB2312" w:hAnsi="仿宋" w:eastAsia="仿宋_GB2312" w:cs="Times New Roman"/>
          <w:color w:val="000000"/>
          <w:sz w:val="32"/>
          <w:szCs w:val="32"/>
          <w:highlight w:val="none"/>
        </w:rPr>
        <w:t>3</w:t>
      </w:r>
      <w:r>
        <w:rPr>
          <w:rFonts w:hint="eastAsia" w:ascii="仿宋_GB2312" w:hAnsi="仿宋" w:eastAsia="仿宋_GB2312" w:cs="Times New Roman"/>
          <w:color w:val="000000"/>
          <w:sz w:val="32"/>
          <w:szCs w:val="32"/>
          <w:highlight w:val="none"/>
        </w:rPr>
        <w:t>）实际发生费用包括场地费、搭建费、</w:t>
      </w:r>
      <w:r>
        <w:rPr>
          <w:rFonts w:hint="eastAsia" w:ascii="仿宋_GB2312" w:hAnsi="仿宋" w:eastAsia="仿宋_GB2312" w:cs="Times New Roman"/>
          <w:color w:val="000000"/>
          <w:sz w:val="32"/>
          <w:szCs w:val="32"/>
          <w:highlight w:val="none"/>
          <w:lang w:val="en-US" w:eastAsia="zh-CN"/>
        </w:rPr>
        <w:t>策展费、</w:t>
      </w:r>
      <w:r>
        <w:rPr>
          <w:rFonts w:hint="eastAsia" w:ascii="仿宋_GB2312" w:hAnsi="仿宋" w:eastAsia="仿宋_GB2312" w:cs="Times New Roman"/>
          <w:color w:val="000000"/>
          <w:sz w:val="32"/>
          <w:szCs w:val="32"/>
          <w:highlight w:val="none"/>
        </w:rPr>
        <w:t>宣传推广费、安保费、其他临时人员劳务费等费用。场地费用限定在南山区。</w:t>
      </w:r>
    </w:p>
    <w:p>
      <w:pPr>
        <w:pStyle w:val="15"/>
        <w:tabs>
          <w:tab w:val="left" w:pos="0"/>
        </w:tabs>
        <w:spacing w:line="560" w:lineRule="exact"/>
        <w:ind w:firstLine="640"/>
        <w:rPr>
          <w:rFonts w:ascii="仿宋_GB2312" w:hAnsi="仿宋" w:eastAsia="仿宋_GB2312" w:cs="Times New Roman"/>
          <w:color w:val="000000"/>
          <w:sz w:val="32"/>
          <w:szCs w:val="32"/>
          <w:highlight w:val="none"/>
        </w:rPr>
      </w:pPr>
      <w:r>
        <w:rPr>
          <w:rFonts w:hint="eastAsia" w:ascii="仿宋_GB2312" w:hAnsi="仿宋" w:eastAsia="仿宋_GB2312" w:cs="Times New Roman"/>
          <w:color w:val="000000"/>
          <w:sz w:val="32"/>
          <w:szCs w:val="32"/>
          <w:highlight w:val="none"/>
          <w:lang w:val="en-US" w:eastAsia="zh-CN"/>
        </w:rPr>
        <w:t>4</w:t>
      </w:r>
      <w:r>
        <w:rPr>
          <w:rFonts w:hint="eastAsia" w:ascii="仿宋_GB2312" w:hAnsi="仿宋" w:eastAsia="仿宋_GB2312" w:cs="Times New Roman"/>
          <w:color w:val="000000"/>
          <w:sz w:val="32"/>
          <w:szCs w:val="32"/>
          <w:highlight w:val="none"/>
          <w:lang w:eastAsia="zh-CN"/>
        </w:rPr>
        <w:t>）</w:t>
      </w:r>
      <w:r>
        <w:rPr>
          <w:rFonts w:hint="eastAsia" w:ascii="仿宋_GB2312" w:hAnsi="仿宋" w:eastAsia="仿宋_GB2312" w:cs="Times New Roman"/>
          <w:color w:val="000000"/>
          <w:sz w:val="32"/>
          <w:szCs w:val="32"/>
          <w:highlight w:val="none"/>
          <w:lang w:val="en-US" w:eastAsia="zh-CN"/>
        </w:rPr>
        <w:t>资助范围为上两年度举办的特色电竞产业活动。</w:t>
      </w:r>
    </w:p>
    <w:p>
      <w:pPr>
        <w:widowControl/>
        <w:adjustRightInd w:val="0"/>
        <w:snapToGrid w:val="0"/>
        <w:spacing w:line="560" w:lineRule="exact"/>
        <w:ind w:firstLine="640" w:firstLineChars="200"/>
        <w:rPr>
          <w:rFonts w:hint="eastAsia" w:hAnsi="黑体" w:eastAsia="黑体"/>
          <w:color w:val="000000" w:themeColor="text1"/>
          <w:sz w:val="32"/>
          <w:szCs w:val="32"/>
          <w:highlight w:val="none"/>
          <w14:textFill>
            <w14:solidFill>
              <w14:schemeClr w14:val="tx1"/>
            </w14:solidFill>
          </w14:textFill>
        </w:rPr>
      </w:pPr>
      <w:r>
        <w:rPr>
          <w:rFonts w:hint="eastAsia" w:hAnsi="黑体" w:eastAsia="黑体"/>
          <w:color w:val="000000" w:themeColor="text1"/>
          <w:sz w:val="32"/>
          <w:szCs w:val="32"/>
          <w:highlight w:val="none"/>
          <w14:textFill>
            <w14:solidFill>
              <w14:schemeClr w14:val="tx1"/>
            </w14:solidFill>
          </w14:textFill>
        </w:rPr>
        <w:t>五、申报及审批流程</w:t>
      </w:r>
    </w:p>
    <w:p>
      <w:pPr>
        <w:pStyle w:val="5"/>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申报主体登陆“i南山企业服务综合平台”（https://www.inanshan.org.cn/），网上提交项目申报材料；</w:t>
      </w:r>
    </w:p>
    <w:p>
      <w:pPr>
        <w:pStyle w:val="5"/>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14:textFill>
            <w14:solidFill>
              <w14:schemeClr w14:val="tx1"/>
            </w14:solidFill>
          </w14:textFill>
        </w:rPr>
        <w:t xml:space="preserve">区企业发展服务中心受理申请，对申报材料进行形式性审核，区文化广电旅游体育局复审项目申报材料； </w:t>
      </w:r>
    </w:p>
    <w:p>
      <w:pPr>
        <w:pStyle w:val="5"/>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14:textFill>
            <w14:solidFill>
              <w14:schemeClr w14:val="tx1"/>
            </w14:solidFill>
          </w14:textFill>
        </w:rPr>
        <w:t>区文化广电旅游体育局拟定资助计划；</w:t>
      </w:r>
    </w:p>
    <w:p>
      <w:pPr>
        <w:pStyle w:val="5"/>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14:textFill>
            <w14:solidFill>
              <w14:schemeClr w14:val="tx1"/>
            </w14:solidFill>
          </w14:textFill>
        </w:rPr>
        <w:t>区统计局对申报主体在地统计开展情况进行核查，区企业发展服务中心组织对申报主体的注册情况、不良信用记录等情况进行核查；</w:t>
      </w:r>
    </w:p>
    <w:p>
      <w:pPr>
        <w:pStyle w:val="5"/>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14:textFill>
            <w14:solidFill>
              <w14:schemeClr w14:val="tx1"/>
            </w14:solidFill>
          </w14:textFill>
        </w:rPr>
        <w:t>区企业发展服务中心将拟资助项目向社会公示5个工作日，对公示期满，无有效投诉的项目资助计划，再</w:t>
      </w:r>
      <w:r>
        <w:rPr>
          <w:rFonts w:hint="eastAsia"/>
          <w:color w:val="000000" w:themeColor="text1"/>
          <w:highlight w:val="none"/>
          <w:lang w:eastAsia="zh-CN"/>
          <w14:textFill>
            <w14:solidFill>
              <w14:schemeClr w14:val="tx1"/>
            </w14:solidFill>
          </w14:textFill>
        </w:rPr>
        <w:t>按照相应审核程序</w:t>
      </w:r>
      <w:r>
        <w:rPr>
          <w:rFonts w:hint="eastAsia"/>
          <w:color w:val="000000" w:themeColor="text1"/>
          <w:highlight w:val="none"/>
          <w14:textFill>
            <w14:solidFill>
              <w14:schemeClr w14:val="tx1"/>
            </w14:solidFill>
          </w14:textFill>
        </w:rPr>
        <w:t>提交会议审议；</w:t>
      </w:r>
    </w:p>
    <w:p>
      <w:pPr>
        <w:pStyle w:val="5"/>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6.</w:t>
      </w:r>
      <w:r>
        <w:rPr>
          <w:rFonts w:hint="eastAsia"/>
          <w:color w:val="000000" w:themeColor="text1"/>
          <w:highlight w:val="none"/>
          <w14:textFill>
            <w14:solidFill>
              <w14:schemeClr w14:val="tx1"/>
            </w14:solidFill>
          </w14:textFill>
        </w:rPr>
        <w:t>经审议后，由区文化广电旅游体育局直接行文下达资金计划；</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color w:val="000000" w:themeColor="text1"/>
          <w:highlight w:val="none"/>
          <w14:textFill>
            <w14:solidFill>
              <w14:schemeClr w14:val="tx1"/>
            </w14:solidFill>
          </w14:textFill>
        </w:rPr>
      </w:pPr>
      <w:r>
        <w:rPr>
          <w:rFonts w:hint="eastAsia" w:ascii="仿宋_GB2312" w:eastAsia="仿宋_GB2312" w:cs="Times New Roman"/>
          <w:color w:val="000000" w:themeColor="text1"/>
          <w:kern w:val="2"/>
          <w:sz w:val="32"/>
          <w:szCs w:val="24"/>
          <w:highlight w:val="none"/>
          <w:lang w:val="en-US" w:eastAsia="zh-CN" w:bidi="ar-SA"/>
          <w14:textFill>
            <w14:solidFill>
              <w14:schemeClr w14:val="tx1"/>
            </w14:solidFill>
          </w14:textFill>
        </w:rPr>
        <w:t>7.</w:t>
      </w:r>
      <w:r>
        <w:rPr>
          <w:rFonts w:hint="eastAsia" w:ascii="仿宋_GB2312" w:hAnsi="Times New Roman" w:eastAsia="仿宋_GB2312" w:cs="Times New Roman"/>
          <w:color w:val="000000" w:themeColor="text1"/>
          <w:kern w:val="2"/>
          <w:sz w:val="32"/>
          <w:szCs w:val="24"/>
          <w:highlight w:val="none"/>
          <w:lang w:val="en-US" w:eastAsia="zh-CN" w:bidi="ar-SA"/>
          <w14:textFill>
            <w14:solidFill>
              <w14:schemeClr w14:val="tx1"/>
            </w14:solidFill>
          </w14:textFill>
        </w:rPr>
        <w:t>区财政部门及时安排资金，区文化广电旅游体育局办理资金拨付手续。</w:t>
      </w:r>
    </w:p>
    <w:p>
      <w:pPr>
        <w:widowControl/>
        <w:adjustRightInd w:val="0"/>
        <w:snapToGrid w:val="0"/>
        <w:spacing w:line="560" w:lineRule="exact"/>
        <w:ind w:firstLine="640" w:firstLineChars="200"/>
        <w:rPr>
          <w:rFonts w:hAnsi="黑体" w:eastAsia="黑体"/>
          <w:color w:val="000000" w:themeColor="text1"/>
          <w:sz w:val="32"/>
          <w:szCs w:val="32"/>
          <w:highlight w:val="none"/>
          <w14:textFill>
            <w14:solidFill>
              <w14:schemeClr w14:val="tx1"/>
            </w14:solidFill>
          </w14:textFill>
        </w:rPr>
      </w:pPr>
      <w:r>
        <w:rPr>
          <w:rFonts w:hint="eastAsia" w:hAnsi="黑体" w:eastAsia="黑体"/>
          <w:color w:val="000000" w:themeColor="text1"/>
          <w:sz w:val="32"/>
          <w:szCs w:val="32"/>
          <w:highlight w:val="none"/>
          <w14:textFill>
            <w14:solidFill>
              <w14:schemeClr w14:val="tx1"/>
            </w14:solidFill>
          </w14:textFill>
        </w:rPr>
        <w:t>六、所需材料</w:t>
      </w:r>
    </w:p>
    <w:p>
      <w:pPr>
        <w:adjustRightInd w:val="0"/>
        <w:snapToGrid w:val="0"/>
        <w:spacing w:line="560" w:lineRule="exact"/>
        <w:ind w:firstLine="656" w:firstLineChars="200"/>
        <w:rPr>
          <w:rFonts w:ascii="仿宋_GB2312" w:hAnsi="宋体" w:eastAsia="仿宋_GB2312" w:cs="宋体"/>
          <w:color w:val="000000" w:themeColor="text1"/>
          <w:spacing w:val="4"/>
          <w:kern w:val="0"/>
          <w:sz w:val="32"/>
          <w:szCs w:val="32"/>
          <w:highlight w:val="none"/>
          <w14:textFill>
            <w14:solidFill>
              <w14:schemeClr w14:val="tx1"/>
            </w14:solidFill>
          </w14:textFill>
        </w:rPr>
      </w:pP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①申请类别为</w:t>
      </w:r>
      <w:r>
        <w:rPr>
          <w:rFonts w:hint="eastAsia" w:ascii="仿宋_GB2312" w:hAnsi="仿宋" w:eastAsia="仿宋_GB2312" w:cs="仿宋"/>
          <w:color w:val="000000" w:themeColor="text1"/>
          <w:sz w:val="32"/>
          <w:szCs w:val="32"/>
          <w:highlight w:val="none"/>
          <w14:textFill>
            <w14:solidFill>
              <w14:schemeClr w14:val="tx1"/>
            </w14:solidFill>
          </w14:textFill>
        </w:rPr>
        <w:t>承办政府主办的重大电竞产业活动</w:t>
      </w:r>
      <w:r>
        <w:rPr>
          <w:rFonts w:hint="eastAsia" w:ascii="仿宋_GB2312" w:hAnsi="仿宋" w:eastAsia="仿宋_GB2312" w:cs="仿宋"/>
          <w:bCs/>
          <w:color w:val="000000" w:themeColor="text1"/>
          <w:sz w:val="32"/>
          <w:highlight w:val="none"/>
          <w14:textFill>
            <w14:solidFill>
              <w14:schemeClr w14:val="tx1"/>
            </w14:solidFill>
          </w14:textFill>
        </w:rPr>
        <w:t>，需</w:t>
      </w: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提供以下资料：</w:t>
      </w:r>
    </w:p>
    <w:p>
      <w:pPr>
        <w:adjustRightInd w:val="0"/>
        <w:snapToGrid w:val="0"/>
        <w:spacing w:line="560" w:lineRule="exact"/>
        <w:ind w:firstLine="656" w:firstLineChars="200"/>
        <w:rPr>
          <w:rFonts w:ascii="仿宋_GB2312" w:hAnsi="宋体" w:eastAsia="仿宋_GB2312" w:cs="宋体"/>
          <w:color w:val="000000" w:themeColor="text1"/>
          <w:spacing w:val="4"/>
          <w:kern w:val="0"/>
          <w:sz w:val="32"/>
          <w:szCs w:val="32"/>
          <w:highlight w:val="none"/>
          <w14:textFill>
            <w14:solidFill>
              <w14:schemeClr w14:val="tx1"/>
            </w14:solidFill>
          </w14:textFill>
        </w:rPr>
      </w:pP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登录“i南山企业服务综合平台”（https://www.inanshan.org.cn/）在线填写《</w:t>
      </w:r>
      <w:r>
        <w:rPr>
          <w:rFonts w:hint="eastAsia" w:ascii="仿宋_GB2312" w:hAnsi="仿宋" w:eastAsia="仿宋_GB2312" w:cs="仿宋"/>
          <w:bCs/>
          <w:color w:val="000000" w:themeColor="text1"/>
          <w:sz w:val="32"/>
          <w:highlight w:val="none"/>
          <w14:textFill>
            <w14:solidFill>
              <w14:schemeClr w14:val="tx1"/>
            </w14:solidFill>
          </w14:textFill>
        </w:rPr>
        <w:t>支持举办电竞</w:t>
      </w:r>
      <w:r>
        <w:rPr>
          <w:rFonts w:hint="eastAsia" w:ascii="仿宋_GB2312" w:hAnsi="仿宋" w:eastAsia="仿宋_GB2312" w:cs="仿宋"/>
          <w:bCs/>
          <w:color w:val="000000" w:themeColor="text1"/>
          <w:sz w:val="32"/>
          <w:highlight w:val="none"/>
          <w:lang w:val="en-US" w:eastAsia="zh-CN"/>
          <w14:textFill>
            <w14:solidFill>
              <w14:schemeClr w14:val="tx1"/>
            </w14:solidFill>
          </w14:textFill>
        </w:rPr>
        <w:t>产业活动</w:t>
      </w:r>
      <w:r>
        <w:rPr>
          <w:rFonts w:hint="eastAsia" w:ascii="仿宋_GB2312" w:hAnsi="仿宋" w:eastAsia="仿宋_GB2312" w:cs="仿宋"/>
          <w:bCs/>
          <w:color w:val="000000" w:themeColor="text1"/>
          <w:sz w:val="32"/>
          <w:highlight w:val="none"/>
          <w14:textFill>
            <w14:solidFill>
              <w14:schemeClr w14:val="tx1"/>
            </w14:solidFill>
          </w14:textFill>
        </w:rPr>
        <w:t>项目</w:t>
      </w: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》申请书</w:t>
      </w:r>
      <w:r>
        <w:rPr>
          <w:rFonts w:hint="eastAsia" w:ascii="仿宋_GB2312" w:hAnsi="宋体" w:eastAsia="仿宋_GB2312" w:cs="宋体"/>
          <w:color w:val="000000" w:themeColor="text1"/>
          <w:spacing w:val="4"/>
          <w:kern w:val="0"/>
          <w:sz w:val="32"/>
          <w:szCs w:val="32"/>
          <w:highlight w:val="none"/>
          <w:lang w:eastAsia="zh-CN"/>
          <w14:textFill>
            <w14:solidFill>
              <w14:schemeClr w14:val="tx1"/>
            </w14:solidFill>
          </w14:textFill>
        </w:rPr>
        <w:t>。</w:t>
      </w:r>
    </w:p>
    <w:tbl>
      <w:tblPr>
        <w:tblStyle w:val="10"/>
        <w:tblW w:w="9058" w:type="dxa"/>
        <w:tblInd w:w="-176"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722"/>
        <w:gridCol w:w="4405"/>
        <w:gridCol w:w="1595"/>
        <w:gridCol w:w="2336"/>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17" w:hRule="atLeast"/>
        </w:trPr>
        <w:tc>
          <w:tcPr>
            <w:tcW w:w="722" w:type="dxa"/>
            <w:vAlign w:val="center"/>
          </w:tcPr>
          <w:p>
            <w:pPr>
              <w:spacing w:line="276" w:lineRule="auto"/>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序号</w:t>
            </w:r>
          </w:p>
        </w:tc>
        <w:tc>
          <w:tcPr>
            <w:tcW w:w="4405" w:type="dxa"/>
            <w:vAlign w:val="center"/>
          </w:tcPr>
          <w:p>
            <w:pPr>
              <w:spacing w:line="276" w:lineRule="auto"/>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附件名称</w:t>
            </w:r>
          </w:p>
        </w:tc>
        <w:tc>
          <w:tcPr>
            <w:tcW w:w="1595" w:type="dxa"/>
            <w:vAlign w:val="center"/>
          </w:tcPr>
          <w:p>
            <w:pPr>
              <w:spacing w:line="276" w:lineRule="auto"/>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是否</w:t>
            </w:r>
          </w:p>
          <w:p>
            <w:pPr>
              <w:spacing w:line="276" w:lineRule="auto"/>
              <w:jc w:val="center"/>
              <w:rPr>
                <w:rFonts w:hint="eastAsia" w:ascii="楷体" w:hAnsi="楷体" w:eastAsia="楷体" w:cs="楷体"/>
                <w:b/>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必备材料</w:t>
            </w:r>
          </w:p>
        </w:tc>
        <w:tc>
          <w:tcPr>
            <w:tcW w:w="2336" w:type="dxa"/>
            <w:vAlign w:val="center"/>
          </w:tcPr>
          <w:p>
            <w:pPr>
              <w:spacing w:line="276" w:lineRule="auto"/>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网上提交资料要求</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55" w:hRule="atLeast"/>
        </w:trPr>
        <w:tc>
          <w:tcPr>
            <w:tcW w:w="722" w:type="dxa"/>
            <w:vAlign w:val="center"/>
          </w:tcPr>
          <w:p>
            <w:pPr>
              <w:spacing w:line="276" w:lineRule="auto"/>
              <w:jc w:val="center"/>
              <w:rPr>
                <w:rFonts w:hint="eastAsia" w:ascii="楷体" w:hAnsi="楷体" w:eastAsia="楷体" w:cs="楷体"/>
                <w:color w:val="000000" w:themeColor="text1"/>
                <w:sz w:val="24"/>
                <w:szCs w:val="24"/>
                <w:highlight w:val="none"/>
                <w14:textFill>
                  <w14:solidFill>
                    <w14:schemeClr w14:val="tx1"/>
                  </w14:solidFill>
                </w14:textFill>
              </w:rPr>
            </w:pPr>
            <w:bookmarkStart w:id="1" w:name="OLE_LINK85" w:colFirst="2" w:colLast="2"/>
            <w:bookmarkStart w:id="2" w:name="OLE_LINK86" w:colFirst="4" w:colLast="4"/>
            <w:r>
              <w:rPr>
                <w:rFonts w:hint="eastAsia" w:ascii="楷体" w:hAnsi="楷体" w:eastAsia="楷体" w:cs="楷体"/>
                <w:color w:val="000000" w:themeColor="text1"/>
                <w:sz w:val="24"/>
                <w:szCs w:val="24"/>
                <w:highlight w:val="none"/>
                <w14:textFill>
                  <w14:solidFill>
                    <w14:schemeClr w14:val="tx1"/>
                  </w14:solidFill>
                </w14:textFill>
              </w:rPr>
              <w:t>1</w:t>
            </w:r>
          </w:p>
        </w:tc>
        <w:tc>
          <w:tcPr>
            <w:tcW w:w="4405" w:type="dxa"/>
            <w:vAlign w:val="center"/>
          </w:tcPr>
          <w:p>
            <w:pPr>
              <w:spacing w:line="240" w:lineRule="atLeast"/>
              <w:ind w:left="-5" w:leftChars="0" w:right="42" w:rightChars="20"/>
              <w:jc w:val="center"/>
              <w:rPr>
                <w:rFonts w:hint="eastAsia" w:ascii="楷体" w:hAnsi="楷体" w:eastAsia="楷体" w:cs="楷体"/>
                <w:bCs/>
                <w:color w:val="000000" w:themeColor="text1"/>
                <w:sz w:val="24"/>
                <w:szCs w:val="24"/>
                <w:highlight w:val="none"/>
                <w14:textFill>
                  <w14:solidFill>
                    <w14:schemeClr w14:val="tx1"/>
                  </w14:solidFill>
                </w14:textFill>
              </w:rPr>
            </w:pPr>
            <w:r>
              <w:rPr>
                <w:rFonts w:hint="eastAsia" w:ascii="楷体" w:hAnsi="楷体" w:eastAsia="楷体" w:cs="楷体"/>
                <w:bCs/>
                <w:color w:val="000000"/>
                <w:sz w:val="24"/>
                <w:szCs w:val="24"/>
                <w:highlight w:val="none"/>
              </w:rPr>
              <w:t>统一社会信用代码证书（新版“三证合一”营业执照、事业单位提交新版“三证合一”法人证书；未换领“三证合一”新版营业执照的，提交原旧版营业执照、组织机构代码证书、税务登记证书）</w:t>
            </w:r>
          </w:p>
        </w:tc>
        <w:tc>
          <w:tcPr>
            <w:tcW w:w="1595" w:type="dxa"/>
            <w:vAlign w:val="center"/>
          </w:tcPr>
          <w:p>
            <w:pPr>
              <w:spacing w:line="276" w:lineRule="auto"/>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Align w:val="center"/>
          </w:tcPr>
          <w:p>
            <w:pPr>
              <w:spacing w:line="276" w:lineRule="auto"/>
              <w:jc w:val="left"/>
              <w:rPr>
                <w:rFonts w:hint="eastAsia" w:ascii="楷体" w:hAnsi="楷体" w:eastAsia="楷体" w:cs="楷体"/>
                <w:bCs/>
                <w:color w:val="000000" w:themeColor="text1"/>
                <w:sz w:val="24"/>
                <w:szCs w:val="24"/>
                <w:highlight w:val="none"/>
                <w14:textFill>
                  <w14:solidFill>
                    <w14:schemeClr w14:val="tx1"/>
                  </w14:solidFill>
                </w14:textFill>
              </w:rPr>
            </w:pPr>
            <w:r>
              <w:rPr>
                <w:rFonts w:hint="eastAsia" w:ascii="楷体" w:hAnsi="楷体" w:eastAsia="楷体" w:cs="楷体"/>
                <w:bCs/>
                <w:color w:val="000000" w:themeColor="text1"/>
                <w:sz w:val="24"/>
                <w:szCs w:val="24"/>
                <w:highlight w:val="none"/>
                <w14:textFill>
                  <w14:solidFill>
                    <w14:schemeClr w14:val="tx1"/>
                  </w14:solidFill>
                </w14:textFill>
              </w:rPr>
              <w:t>原件彩色扫描</w:t>
            </w:r>
            <w:r>
              <w:rPr>
                <w:rFonts w:hint="eastAsia" w:ascii="楷体" w:hAnsi="楷体" w:eastAsia="楷体" w:cs="楷体"/>
                <w:bCs/>
                <w:color w:val="000000" w:themeColor="text1"/>
                <w:sz w:val="24"/>
                <w:szCs w:val="24"/>
                <w:highlight w:val="none"/>
                <w:lang w:eastAsia="zh-CN"/>
                <w14:textFill>
                  <w14:solidFill>
                    <w14:schemeClr w14:val="tx1"/>
                  </w14:solidFill>
                </w14:textFill>
              </w:rPr>
              <w:t>成</w:t>
            </w:r>
          </w:p>
          <w:p>
            <w:pPr>
              <w:spacing w:line="276" w:lineRule="auto"/>
              <w:jc w:val="left"/>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PDF</w:t>
            </w:r>
            <w:r>
              <w:rPr>
                <w:rFonts w:hint="eastAsia" w:ascii="楷体" w:hAnsi="楷体" w:eastAsia="楷体" w:cs="楷体"/>
                <w:color w:val="000000" w:themeColor="text1"/>
                <w:sz w:val="24"/>
                <w:szCs w:val="24"/>
                <w:highlight w:val="none"/>
                <w:lang w:val="en-US" w:eastAsia="zh-CN"/>
                <w14:textFill>
                  <w14:solidFill>
                    <w14:schemeClr w14:val="tx1"/>
                  </w14:solidFill>
                </w14:textFill>
              </w:rPr>
              <w:t>文件</w:t>
            </w:r>
            <w:r>
              <w:rPr>
                <w:rFonts w:hint="eastAsia" w:ascii="楷体" w:hAnsi="楷体" w:eastAsia="楷体" w:cs="楷体"/>
                <w:bCs/>
                <w:color w:val="000000" w:themeColor="text1"/>
                <w:sz w:val="24"/>
                <w:szCs w:val="24"/>
                <w:highlight w:val="none"/>
                <w14:textFill>
                  <w14:solidFill>
                    <w14:schemeClr w14:val="tx1"/>
                  </w14:solidFill>
                </w14:textFill>
              </w:rPr>
              <w:t>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2</w:t>
            </w:r>
          </w:p>
        </w:tc>
        <w:tc>
          <w:tcPr>
            <w:tcW w:w="4405"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bCs/>
                <w:color w:val="000000" w:themeColor="text1"/>
                <w:sz w:val="24"/>
                <w:szCs w:val="24"/>
                <w:highlight w:val="none"/>
                <w14:textFill>
                  <w14:solidFill>
                    <w14:schemeClr w14:val="tx1"/>
                  </w14:solidFill>
                </w14:textFill>
              </w:rPr>
              <w:t>法定代表人身份证</w:t>
            </w:r>
          </w:p>
        </w:tc>
        <w:tc>
          <w:tcPr>
            <w:tcW w:w="1595"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Times New Roman"/>
                <w:sz w:val="24"/>
                <w:highlight w:val="none"/>
              </w:rPr>
              <w:t>原件</w:t>
            </w:r>
            <w:r>
              <w:rPr>
                <w:rFonts w:hint="eastAsia" w:ascii="楷体" w:hAnsi="楷体" w:eastAsia="楷体" w:cs="Times New Roman"/>
                <w:sz w:val="24"/>
                <w:highlight w:val="none"/>
                <w:lang w:eastAsia="zh-CN"/>
              </w:rPr>
              <w:t>（</w:t>
            </w:r>
            <w:r>
              <w:rPr>
                <w:rFonts w:hint="eastAsia" w:ascii="楷体" w:hAnsi="楷体" w:eastAsia="楷体" w:cs="Times New Roman"/>
                <w:sz w:val="24"/>
                <w:highlight w:val="none"/>
              </w:rPr>
              <w:t>或复印件加盖单位公章</w:t>
            </w:r>
            <w:r>
              <w:rPr>
                <w:rFonts w:hint="eastAsia" w:ascii="楷体" w:hAnsi="楷体" w:eastAsia="楷体" w:cs="Times New Roman"/>
                <w:sz w:val="24"/>
                <w:highlight w:val="none"/>
                <w:lang w:eastAsia="zh-CN"/>
              </w:rPr>
              <w:t>）</w:t>
            </w:r>
            <w:r>
              <w:rPr>
                <w:rFonts w:hint="eastAsia" w:ascii="楷体" w:hAnsi="楷体" w:eastAsia="楷体" w:cs="Times New Roman"/>
                <w:sz w:val="24"/>
                <w:highlight w:val="none"/>
              </w:rPr>
              <w:t>彩色扫描</w:t>
            </w:r>
            <w:r>
              <w:rPr>
                <w:rFonts w:hint="eastAsia" w:ascii="楷体" w:hAnsi="楷体" w:eastAsia="楷体" w:cs="Times New Roman"/>
                <w:sz w:val="24"/>
                <w:highlight w:val="none"/>
                <w:lang w:eastAsia="zh-CN"/>
              </w:rPr>
              <w:t>成</w:t>
            </w:r>
            <w:r>
              <w:rPr>
                <w:rFonts w:hint="eastAsia" w:ascii="楷体" w:hAnsi="楷体" w:eastAsia="楷体" w:cs="Times New Roman"/>
                <w:sz w:val="24"/>
                <w:highlight w:val="none"/>
              </w:rPr>
              <w:t>PDF文件上传</w:t>
            </w:r>
          </w:p>
        </w:tc>
      </w:tr>
      <w:bookmarkEnd w:id="1"/>
      <w:bookmarkEnd w:id="2"/>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3</w:t>
            </w:r>
          </w:p>
        </w:tc>
        <w:tc>
          <w:tcPr>
            <w:tcW w:w="4405" w:type="dxa"/>
            <w:vAlign w:val="center"/>
          </w:tcPr>
          <w:p>
            <w:pPr>
              <w:spacing w:line="240" w:lineRule="atLeast"/>
              <w:ind w:left="-5" w:leftChars="0" w:right="42" w:rightChars="20"/>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sz w:val="24"/>
                <w:highlight w:val="none"/>
              </w:rPr>
              <w:t>税务部门提供的单位上一年度的纳税证明</w:t>
            </w:r>
          </w:p>
        </w:tc>
        <w:tc>
          <w:tcPr>
            <w:tcW w:w="1595" w:type="dxa"/>
            <w:vAlign w:val="center"/>
          </w:tcPr>
          <w:p>
            <w:pPr>
              <w:spacing w:line="240" w:lineRule="atLeast"/>
              <w:jc w:val="center"/>
              <w:rPr>
                <w:rFonts w:hint="eastAsia" w:ascii="楷体" w:hAnsi="楷体" w:eastAsia="楷体" w:cs="楷体"/>
                <w:color w:val="000000" w:themeColor="text1"/>
                <w:sz w:val="24"/>
                <w:szCs w:val="24"/>
                <w:highlight w:val="none"/>
                <w:lang w:eastAsia="zh-CN"/>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否</w:t>
            </w:r>
          </w:p>
        </w:tc>
        <w:tc>
          <w:tcPr>
            <w:tcW w:w="2336" w:type="dxa"/>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sz w:val="24"/>
                <w:szCs w:val="24"/>
                <w:highlight w:val="none"/>
                <w:lang w:eastAsia="zh-CN"/>
              </w:rPr>
              <w:t>上传税务系统下载带有税务机关红色印章的电子版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4</w:t>
            </w:r>
          </w:p>
        </w:tc>
        <w:tc>
          <w:tcPr>
            <w:tcW w:w="4405" w:type="dxa"/>
            <w:vAlign w:val="center"/>
          </w:tcPr>
          <w:p>
            <w:pPr>
              <w:spacing w:line="240" w:lineRule="atLeast"/>
              <w:ind w:left="-5" w:right="42" w:rightChars="20"/>
              <w:jc w:val="center"/>
              <w:rPr>
                <w:rFonts w:hint="eastAsia" w:ascii="楷体" w:hAnsi="楷体" w:eastAsia="楷体" w:cs="楷体"/>
                <w:color w:val="000000" w:themeColor="text1"/>
                <w:sz w:val="24"/>
                <w:szCs w:val="24"/>
                <w:highlight w:val="none"/>
                <w:lang w:eastAsia="zh-CN"/>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南山区委托行业协会</w:t>
            </w:r>
            <w:r>
              <w:rPr>
                <w:rFonts w:hint="eastAsia" w:ascii="楷体" w:hAnsi="楷体" w:eastAsia="楷体" w:cs="楷体"/>
                <w:color w:val="000000" w:themeColor="text1"/>
                <w:sz w:val="24"/>
                <w:szCs w:val="24"/>
                <w:highlight w:val="none"/>
                <w:lang w:val="en-US" w:eastAsia="zh-CN"/>
                <w14:textFill>
                  <w14:solidFill>
                    <w14:schemeClr w14:val="tx1"/>
                  </w14:solidFill>
                </w14:textFill>
              </w:rPr>
              <w:t>/</w:t>
            </w:r>
            <w:r>
              <w:rPr>
                <w:rFonts w:hint="eastAsia" w:ascii="楷体" w:hAnsi="楷体" w:eastAsia="楷体" w:cs="楷体"/>
                <w:color w:val="000000" w:themeColor="text1"/>
                <w:sz w:val="24"/>
                <w:szCs w:val="24"/>
                <w:highlight w:val="none"/>
                <w14:textFill>
                  <w14:solidFill>
                    <w14:schemeClr w14:val="tx1"/>
                  </w14:solidFill>
                </w14:textFill>
              </w:rPr>
              <w:t>专业机构</w:t>
            </w:r>
            <w:r>
              <w:rPr>
                <w:rFonts w:hint="eastAsia" w:ascii="楷体" w:hAnsi="楷体" w:eastAsia="楷体" w:cs="楷体"/>
                <w:color w:val="000000" w:themeColor="text1"/>
                <w:sz w:val="24"/>
                <w:szCs w:val="24"/>
                <w:highlight w:val="none"/>
                <w:lang w:val="en-US" w:eastAsia="zh-CN"/>
                <w14:textFill>
                  <w14:solidFill>
                    <w14:schemeClr w14:val="tx1"/>
                  </w14:solidFill>
                </w14:textFill>
              </w:rPr>
              <w:t>/</w:t>
            </w:r>
            <w:r>
              <w:rPr>
                <w:rFonts w:hint="eastAsia" w:ascii="楷体" w:hAnsi="楷体" w:eastAsia="楷体" w:cs="楷体"/>
                <w:color w:val="000000" w:themeColor="text1"/>
                <w:sz w:val="24"/>
                <w:szCs w:val="24"/>
                <w:highlight w:val="none"/>
                <w14:textFill>
                  <w14:solidFill>
                    <w14:schemeClr w14:val="tx1"/>
                  </w14:solidFill>
                </w14:textFill>
              </w:rPr>
              <w:t>企业承办重大电竞产业活动的证明材料</w:t>
            </w:r>
            <w:r>
              <w:rPr>
                <w:rFonts w:hint="eastAsia" w:ascii="楷体" w:hAnsi="楷体" w:eastAsia="楷体" w:cs="楷体"/>
                <w:color w:val="000000" w:themeColor="text1"/>
                <w:sz w:val="24"/>
                <w:szCs w:val="24"/>
                <w:highlight w:val="none"/>
                <w:lang w:eastAsia="zh-CN"/>
                <w14:textFill>
                  <w14:solidFill>
                    <w14:schemeClr w14:val="tx1"/>
                  </w14:solidFill>
                </w14:textFill>
              </w:rPr>
              <w:t>。</w:t>
            </w:r>
            <w:r>
              <w:rPr>
                <w:rFonts w:hint="eastAsia" w:ascii="楷体" w:hAnsi="楷体" w:eastAsia="楷体" w:cs="楷体"/>
                <w:color w:val="000000" w:themeColor="text1"/>
                <w:sz w:val="24"/>
                <w:szCs w:val="24"/>
                <w:highlight w:val="none"/>
                <w:lang w:val="en-US" w:eastAsia="zh-CN"/>
                <w14:textFill>
                  <w14:solidFill>
                    <w14:schemeClr w14:val="tx1"/>
                  </w14:solidFill>
                </w14:textFill>
              </w:rPr>
              <w:t>包括委托合同等</w:t>
            </w:r>
          </w:p>
        </w:tc>
        <w:tc>
          <w:tcPr>
            <w:tcW w:w="1595"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Merge w:val="restart"/>
            <w:vAlign w:val="center"/>
          </w:tcPr>
          <w:p>
            <w:pPr>
              <w:spacing w:line="276" w:lineRule="auto"/>
              <w:jc w:val="left"/>
              <w:rPr>
                <w:rFonts w:hint="eastAsia" w:ascii="楷体" w:hAnsi="楷体" w:eastAsia="楷体" w:cs="楷体"/>
                <w:bCs/>
                <w:color w:val="000000" w:themeColor="text1"/>
                <w:sz w:val="24"/>
                <w:szCs w:val="24"/>
                <w:highlight w:val="none"/>
                <w14:textFill>
                  <w14:solidFill>
                    <w14:schemeClr w14:val="tx1"/>
                  </w14:solidFill>
                </w14:textFill>
              </w:rPr>
            </w:pPr>
            <w:r>
              <w:rPr>
                <w:rFonts w:hint="eastAsia" w:ascii="楷体" w:hAnsi="楷体" w:eastAsia="楷体" w:cs="楷体"/>
                <w:bCs/>
                <w:color w:val="000000" w:themeColor="text1"/>
                <w:sz w:val="24"/>
                <w:szCs w:val="24"/>
                <w:highlight w:val="none"/>
                <w14:textFill>
                  <w14:solidFill>
                    <w14:schemeClr w14:val="tx1"/>
                  </w14:solidFill>
                </w14:textFill>
              </w:rPr>
              <w:t>原件彩色扫描</w:t>
            </w:r>
            <w:r>
              <w:rPr>
                <w:rFonts w:hint="eastAsia" w:ascii="楷体" w:hAnsi="楷体" w:eastAsia="楷体" w:cs="楷体"/>
                <w:bCs/>
                <w:color w:val="000000" w:themeColor="text1"/>
                <w:sz w:val="24"/>
                <w:szCs w:val="24"/>
                <w:highlight w:val="none"/>
                <w:lang w:eastAsia="zh-CN"/>
                <w14:textFill>
                  <w14:solidFill>
                    <w14:schemeClr w14:val="tx1"/>
                  </w14:solidFill>
                </w14:textFill>
              </w:rPr>
              <w:t>成</w:t>
            </w:r>
          </w:p>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PDF</w:t>
            </w:r>
            <w:r>
              <w:rPr>
                <w:rFonts w:hint="eastAsia" w:ascii="楷体" w:hAnsi="楷体" w:eastAsia="楷体" w:cs="楷体"/>
                <w:color w:val="000000" w:themeColor="text1"/>
                <w:sz w:val="24"/>
                <w:szCs w:val="24"/>
                <w:highlight w:val="none"/>
                <w:lang w:val="en-US" w:eastAsia="zh-CN"/>
                <w14:textFill>
                  <w14:solidFill>
                    <w14:schemeClr w14:val="tx1"/>
                  </w14:solidFill>
                </w14:textFill>
              </w:rPr>
              <w:t>文件</w:t>
            </w:r>
            <w:r>
              <w:rPr>
                <w:rFonts w:hint="eastAsia" w:ascii="楷体" w:hAnsi="楷体" w:eastAsia="楷体" w:cs="楷体"/>
                <w:bCs/>
                <w:color w:val="000000" w:themeColor="text1"/>
                <w:sz w:val="24"/>
                <w:szCs w:val="24"/>
                <w:highlight w:val="none"/>
                <w14:textFill>
                  <w14:solidFill>
                    <w14:schemeClr w14:val="tx1"/>
                  </w14:solidFill>
                </w14:textFill>
              </w:rPr>
              <w:t>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5</w:t>
            </w:r>
          </w:p>
        </w:tc>
        <w:tc>
          <w:tcPr>
            <w:tcW w:w="4405" w:type="dxa"/>
            <w:vAlign w:val="center"/>
          </w:tcPr>
          <w:p>
            <w:pPr>
              <w:spacing w:line="240" w:lineRule="atLeast"/>
              <w:ind w:left="-5" w:right="42" w:rightChars="20"/>
              <w:jc w:val="center"/>
              <w:rPr>
                <w:rFonts w:hint="default"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申请书签字盖章版</w:t>
            </w:r>
          </w:p>
        </w:tc>
        <w:tc>
          <w:tcPr>
            <w:tcW w:w="1595" w:type="dxa"/>
            <w:vAlign w:val="center"/>
          </w:tcPr>
          <w:p>
            <w:pPr>
              <w:spacing w:line="240" w:lineRule="atLeast"/>
              <w:jc w:val="center"/>
              <w:rPr>
                <w:rFonts w:hint="eastAsia"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是</w:t>
            </w:r>
          </w:p>
        </w:tc>
        <w:tc>
          <w:tcPr>
            <w:tcW w:w="2336" w:type="dxa"/>
            <w:vMerge w:val="continue"/>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color w:val="000000" w:themeColor="text1"/>
                <w:sz w:val="24"/>
                <w:szCs w:val="24"/>
                <w:highlight w:val="none"/>
                <w:lang w:eastAsia="zh-CN"/>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6</w:t>
            </w:r>
          </w:p>
        </w:tc>
        <w:tc>
          <w:tcPr>
            <w:tcW w:w="4405" w:type="dxa"/>
            <w:vAlign w:val="center"/>
          </w:tcPr>
          <w:p>
            <w:pPr>
              <w:spacing w:line="240" w:lineRule="atLeast"/>
              <w:ind w:right="42" w:rightChars="20"/>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bCs/>
                <w:iCs/>
                <w:color w:val="000000" w:themeColor="text1"/>
                <w:sz w:val="24"/>
                <w:szCs w:val="24"/>
                <w:highlight w:val="none"/>
                <w14:textFill>
                  <w14:solidFill>
                    <w14:schemeClr w14:val="tx1"/>
                  </w14:solidFill>
                </w14:textFill>
              </w:rPr>
              <w:t>其它附件</w:t>
            </w:r>
          </w:p>
        </w:tc>
        <w:tc>
          <w:tcPr>
            <w:tcW w:w="1595"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否</w:t>
            </w:r>
          </w:p>
        </w:tc>
        <w:tc>
          <w:tcPr>
            <w:tcW w:w="2336" w:type="dxa"/>
            <w:vMerge w:val="continue"/>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p>
        </w:tc>
      </w:tr>
    </w:tbl>
    <w:p>
      <w:pPr>
        <w:adjustRightInd w:val="0"/>
        <w:snapToGrid w:val="0"/>
        <w:spacing w:line="560" w:lineRule="exact"/>
        <w:ind w:firstLine="656" w:firstLineChars="200"/>
        <w:rPr>
          <w:rFonts w:hint="eastAsia" w:ascii="仿宋_GB2312" w:hAnsi="宋体" w:eastAsia="仿宋_GB2312" w:cs="宋体"/>
          <w:color w:val="000000" w:themeColor="text1"/>
          <w:spacing w:val="4"/>
          <w:kern w:val="0"/>
          <w:sz w:val="32"/>
          <w:szCs w:val="32"/>
          <w:highlight w:val="none"/>
          <w14:textFill>
            <w14:solidFill>
              <w14:schemeClr w14:val="tx1"/>
            </w14:solidFill>
          </w14:textFill>
        </w:rPr>
      </w:pPr>
    </w:p>
    <w:p>
      <w:pPr>
        <w:adjustRightInd w:val="0"/>
        <w:snapToGrid w:val="0"/>
        <w:spacing w:line="560" w:lineRule="exact"/>
        <w:ind w:firstLine="656" w:firstLineChars="200"/>
        <w:rPr>
          <w:rFonts w:hint="eastAsia" w:ascii="仿宋_GB2312" w:hAnsi="宋体" w:eastAsia="仿宋_GB2312" w:cs="宋体"/>
          <w:color w:val="000000" w:themeColor="text1"/>
          <w:spacing w:val="4"/>
          <w:kern w:val="0"/>
          <w:sz w:val="32"/>
          <w:szCs w:val="32"/>
          <w:highlight w:val="none"/>
          <w14:textFill>
            <w14:solidFill>
              <w14:schemeClr w14:val="tx1"/>
            </w14:solidFill>
          </w14:textFill>
        </w:rPr>
      </w:pP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②申请类别为</w:t>
      </w:r>
      <w:r>
        <w:rPr>
          <w:rFonts w:hint="eastAsia" w:ascii="仿宋_GB2312" w:hAnsi="仿宋" w:eastAsia="仿宋_GB2312" w:cs="仿宋"/>
          <w:color w:val="000000" w:themeColor="text1"/>
          <w:sz w:val="32"/>
          <w:szCs w:val="32"/>
          <w:highlight w:val="none"/>
          <w14:textFill>
            <w14:solidFill>
              <w14:schemeClr w14:val="tx1"/>
            </w14:solidFill>
          </w14:textFill>
        </w:rPr>
        <w:t>举办特色电竞产业活动</w:t>
      </w:r>
      <w:r>
        <w:rPr>
          <w:rFonts w:hint="eastAsia" w:ascii="仿宋_GB2312" w:hAnsi="仿宋" w:eastAsia="仿宋_GB2312" w:cs="仿宋"/>
          <w:bCs/>
          <w:color w:val="000000" w:themeColor="text1"/>
          <w:sz w:val="32"/>
          <w:highlight w:val="none"/>
          <w14:textFill>
            <w14:solidFill>
              <w14:schemeClr w14:val="tx1"/>
            </w14:solidFill>
          </w14:textFill>
        </w:rPr>
        <w:t>，需</w:t>
      </w: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提供以下资料：</w:t>
      </w:r>
    </w:p>
    <w:p>
      <w:pPr>
        <w:pStyle w:val="2"/>
        <w:keepNext/>
        <w:keepLines/>
        <w:pageBreakBefore w:val="0"/>
        <w:widowControl w:val="0"/>
        <w:kinsoku/>
        <w:wordWrap/>
        <w:overflowPunct/>
        <w:topLinePunct w:val="0"/>
        <w:autoSpaceDE/>
        <w:autoSpaceDN/>
        <w:bidi w:val="0"/>
        <w:adjustRightInd/>
        <w:snapToGrid/>
        <w:ind w:firstLine="656" w:firstLineChars="200"/>
        <w:jc w:val="both"/>
        <w:textAlignment w:val="auto"/>
        <w:rPr>
          <w:highlight w:val="none"/>
        </w:rPr>
      </w:pPr>
      <w:r>
        <w:rPr>
          <w:rFonts w:hint="eastAsia" w:ascii="仿宋_GB2312" w:hAnsi="宋体" w:eastAsia="仿宋_GB2312" w:cs="宋体"/>
          <w:bCs w:val="0"/>
          <w:color w:val="000000" w:themeColor="text1"/>
          <w:spacing w:val="4"/>
          <w:kern w:val="0"/>
          <w:sz w:val="32"/>
          <w:szCs w:val="32"/>
          <w:highlight w:val="none"/>
          <w:lang w:val="en-US" w:eastAsia="zh-CN" w:bidi="ar-SA"/>
          <w14:textFill>
            <w14:solidFill>
              <w14:schemeClr w14:val="tx1"/>
            </w14:solidFill>
          </w14:textFill>
        </w:rPr>
        <w:t>登录“i南山企业服务综合平台”（https://www.inanshan.org.cn/）在线填写《支持举办电竞产业活动项目》申请书。</w:t>
      </w:r>
    </w:p>
    <w:tbl>
      <w:tblPr>
        <w:tblStyle w:val="10"/>
        <w:tblW w:w="9058" w:type="dxa"/>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722"/>
        <w:gridCol w:w="4405"/>
        <w:gridCol w:w="1595"/>
        <w:gridCol w:w="2336"/>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17" w:hRule="atLeast"/>
        </w:trPr>
        <w:tc>
          <w:tcPr>
            <w:tcW w:w="722" w:type="dxa"/>
            <w:vAlign w:val="center"/>
          </w:tcPr>
          <w:p>
            <w:pPr>
              <w:spacing w:line="276" w:lineRule="auto"/>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序号</w:t>
            </w:r>
          </w:p>
        </w:tc>
        <w:tc>
          <w:tcPr>
            <w:tcW w:w="4405" w:type="dxa"/>
            <w:vAlign w:val="center"/>
          </w:tcPr>
          <w:p>
            <w:pPr>
              <w:spacing w:line="276" w:lineRule="auto"/>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附件名称</w:t>
            </w:r>
          </w:p>
        </w:tc>
        <w:tc>
          <w:tcPr>
            <w:tcW w:w="1595" w:type="dxa"/>
            <w:vAlign w:val="center"/>
          </w:tcPr>
          <w:p>
            <w:pPr>
              <w:spacing w:line="276" w:lineRule="auto"/>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是否</w:t>
            </w:r>
          </w:p>
          <w:p>
            <w:pPr>
              <w:spacing w:line="276" w:lineRule="auto"/>
              <w:jc w:val="center"/>
              <w:rPr>
                <w:rFonts w:hint="eastAsia" w:ascii="楷体" w:hAnsi="楷体" w:eastAsia="楷体" w:cs="楷体"/>
                <w:b/>
                <w:sz w:val="24"/>
                <w:szCs w:val="24"/>
                <w:highlight w:val="none"/>
              </w:rPr>
            </w:pPr>
            <w:r>
              <w:rPr>
                <w:rFonts w:hint="eastAsia" w:ascii="楷体" w:hAnsi="楷体" w:eastAsia="楷体" w:cs="楷体"/>
                <w:sz w:val="24"/>
                <w:szCs w:val="24"/>
                <w:highlight w:val="none"/>
              </w:rPr>
              <w:t>必备材料</w:t>
            </w:r>
          </w:p>
        </w:tc>
        <w:tc>
          <w:tcPr>
            <w:tcW w:w="2336" w:type="dxa"/>
            <w:vAlign w:val="center"/>
          </w:tcPr>
          <w:p>
            <w:pPr>
              <w:spacing w:line="276" w:lineRule="auto"/>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网上提交资料要求</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55" w:hRule="atLeast"/>
        </w:trPr>
        <w:tc>
          <w:tcPr>
            <w:tcW w:w="722" w:type="dxa"/>
            <w:vAlign w:val="center"/>
          </w:tcPr>
          <w:p>
            <w:pPr>
              <w:spacing w:line="276" w:lineRule="auto"/>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1</w:t>
            </w:r>
          </w:p>
        </w:tc>
        <w:tc>
          <w:tcPr>
            <w:tcW w:w="4405" w:type="dxa"/>
            <w:vAlign w:val="center"/>
          </w:tcPr>
          <w:p>
            <w:pPr>
              <w:spacing w:line="240" w:lineRule="atLeast"/>
              <w:ind w:left="-5" w:leftChars="0" w:right="42" w:rightChars="20"/>
              <w:jc w:val="center"/>
              <w:rPr>
                <w:rFonts w:hint="eastAsia" w:ascii="楷体" w:hAnsi="楷体" w:eastAsia="楷体" w:cs="楷体"/>
                <w:bCs/>
                <w:sz w:val="24"/>
                <w:szCs w:val="24"/>
                <w:highlight w:val="none"/>
              </w:rPr>
            </w:pPr>
            <w:r>
              <w:rPr>
                <w:rFonts w:hint="eastAsia" w:ascii="楷体" w:hAnsi="楷体" w:eastAsia="楷体" w:cs="楷体"/>
                <w:bCs/>
                <w:color w:val="000000"/>
                <w:sz w:val="24"/>
                <w:szCs w:val="24"/>
                <w:highlight w:val="none"/>
              </w:rPr>
              <w:t>统一社会信用代码证书（新版“三证合一”营业执照、事业单位提交新版“三证合一”法人证书；未换领“三证合一”新版营业执照的，提交原旧版营业执照、组织机构代码证书、税务登记证书）</w:t>
            </w:r>
          </w:p>
        </w:tc>
        <w:tc>
          <w:tcPr>
            <w:tcW w:w="1595" w:type="dxa"/>
            <w:vAlign w:val="center"/>
          </w:tcPr>
          <w:p>
            <w:pPr>
              <w:spacing w:line="276" w:lineRule="auto"/>
              <w:jc w:val="center"/>
              <w:rPr>
                <w:rFonts w:hint="eastAsia" w:ascii="楷体" w:hAnsi="楷体" w:eastAsia="楷体" w:cs="楷体"/>
                <w:sz w:val="24"/>
                <w:szCs w:val="24"/>
                <w:highlight w:val="none"/>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Align w:val="center"/>
          </w:tcPr>
          <w:p>
            <w:pPr>
              <w:spacing w:line="276" w:lineRule="auto"/>
              <w:jc w:val="left"/>
              <w:rPr>
                <w:rFonts w:hint="eastAsia" w:ascii="楷体" w:hAnsi="楷体" w:eastAsia="楷体" w:cs="楷体"/>
                <w:bCs/>
                <w:color w:val="000000" w:themeColor="text1"/>
                <w:sz w:val="24"/>
                <w:szCs w:val="24"/>
                <w:highlight w:val="none"/>
                <w14:textFill>
                  <w14:solidFill>
                    <w14:schemeClr w14:val="tx1"/>
                  </w14:solidFill>
                </w14:textFill>
              </w:rPr>
            </w:pPr>
            <w:r>
              <w:rPr>
                <w:rFonts w:hint="eastAsia" w:ascii="楷体" w:hAnsi="楷体" w:eastAsia="楷体" w:cs="楷体"/>
                <w:bCs/>
                <w:color w:val="000000" w:themeColor="text1"/>
                <w:sz w:val="24"/>
                <w:szCs w:val="24"/>
                <w:highlight w:val="none"/>
                <w14:textFill>
                  <w14:solidFill>
                    <w14:schemeClr w14:val="tx1"/>
                  </w14:solidFill>
                </w14:textFill>
              </w:rPr>
              <w:t>原件彩色扫描</w:t>
            </w:r>
            <w:r>
              <w:rPr>
                <w:rFonts w:hint="eastAsia" w:ascii="楷体" w:hAnsi="楷体" w:eastAsia="楷体" w:cs="楷体"/>
                <w:bCs/>
                <w:color w:val="000000" w:themeColor="text1"/>
                <w:sz w:val="24"/>
                <w:szCs w:val="24"/>
                <w:highlight w:val="none"/>
                <w:lang w:eastAsia="zh-CN"/>
                <w14:textFill>
                  <w14:solidFill>
                    <w14:schemeClr w14:val="tx1"/>
                  </w14:solidFill>
                </w14:textFill>
              </w:rPr>
              <w:t>成</w:t>
            </w:r>
          </w:p>
          <w:p>
            <w:pPr>
              <w:spacing w:line="276" w:lineRule="auto"/>
              <w:jc w:val="left"/>
              <w:rPr>
                <w:rFonts w:hint="eastAsia" w:ascii="楷体" w:hAnsi="楷体" w:eastAsia="楷体" w:cs="楷体"/>
                <w:sz w:val="24"/>
                <w:szCs w:val="24"/>
                <w:highlight w:val="none"/>
              </w:rPr>
            </w:pPr>
            <w:r>
              <w:rPr>
                <w:rFonts w:hint="eastAsia" w:ascii="楷体" w:hAnsi="楷体" w:eastAsia="楷体" w:cs="楷体"/>
                <w:color w:val="000000" w:themeColor="text1"/>
                <w:sz w:val="24"/>
                <w:szCs w:val="24"/>
                <w:highlight w:val="none"/>
                <w14:textFill>
                  <w14:solidFill>
                    <w14:schemeClr w14:val="tx1"/>
                  </w14:solidFill>
                </w14:textFill>
              </w:rPr>
              <w:t>PDF</w:t>
            </w:r>
            <w:r>
              <w:rPr>
                <w:rFonts w:hint="eastAsia" w:ascii="楷体" w:hAnsi="楷体" w:eastAsia="楷体" w:cs="楷体"/>
                <w:color w:val="000000" w:themeColor="text1"/>
                <w:sz w:val="24"/>
                <w:szCs w:val="24"/>
                <w:highlight w:val="none"/>
                <w:lang w:val="en-US" w:eastAsia="zh-CN"/>
                <w14:textFill>
                  <w14:solidFill>
                    <w14:schemeClr w14:val="tx1"/>
                  </w14:solidFill>
                </w14:textFill>
              </w:rPr>
              <w:t>文件</w:t>
            </w:r>
            <w:r>
              <w:rPr>
                <w:rFonts w:hint="eastAsia" w:ascii="楷体" w:hAnsi="楷体" w:eastAsia="楷体" w:cs="楷体"/>
                <w:bCs/>
                <w:color w:val="000000" w:themeColor="text1"/>
                <w:sz w:val="24"/>
                <w:szCs w:val="24"/>
                <w:highlight w:val="none"/>
                <w14:textFill>
                  <w14:solidFill>
                    <w14:schemeClr w14:val="tx1"/>
                  </w14:solidFill>
                </w14:textFill>
              </w:rPr>
              <w:t>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2</w:t>
            </w:r>
          </w:p>
        </w:tc>
        <w:tc>
          <w:tcPr>
            <w:tcW w:w="4405"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bCs/>
                <w:color w:val="000000" w:themeColor="text1"/>
                <w:sz w:val="24"/>
                <w:szCs w:val="24"/>
                <w:highlight w:val="none"/>
                <w14:textFill>
                  <w14:solidFill>
                    <w14:schemeClr w14:val="tx1"/>
                  </w14:solidFill>
                </w14:textFill>
              </w:rPr>
              <w:t>法定代表人身份证</w:t>
            </w:r>
          </w:p>
        </w:tc>
        <w:tc>
          <w:tcPr>
            <w:tcW w:w="1595"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Align w:val="center"/>
          </w:tcPr>
          <w:p>
            <w:pPr>
              <w:spacing w:line="240" w:lineRule="atLeast"/>
              <w:jc w:val="left"/>
              <w:rPr>
                <w:rFonts w:hint="eastAsia" w:ascii="楷体" w:hAnsi="楷体" w:eastAsia="楷体" w:cs="楷体"/>
                <w:sz w:val="24"/>
                <w:szCs w:val="24"/>
                <w:highlight w:val="none"/>
              </w:rPr>
            </w:pPr>
            <w:r>
              <w:rPr>
                <w:rFonts w:hint="eastAsia" w:ascii="楷体" w:hAnsi="楷体" w:eastAsia="楷体" w:cs="Times New Roman"/>
                <w:sz w:val="24"/>
                <w:highlight w:val="none"/>
              </w:rPr>
              <w:t>原件</w:t>
            </w:r>
            <w:r>
              <w:rPr>
                <w:rFonts w:hint="eastAsia" w:ascii="楷体" w:hAnsi="楷体" w:eastAsia="楷体" w:cs="Times New Roman"/>
                <w:sz w:val="24"/>
                <w:highlight w:val="none"/>
                <w:lang w:eastAsia="zh-CN"/>
              </w:rPr>
              <w:t>（</w:t>
            </w:r>
            <w:r>
              <w:rPr>
                <w:rFonts w:hint="eastAsia" w:ascii="楷体" w:hAnsi="楷体" w:eastAsia="楷体" w:cs="Times New Roman"/>
                <w:sz w:val="24"/>
                <w:highlight w:val="none"/>
              </w:rPr>
              <w:t>或复印件加盖单位公章</w:t>
            </w:r>
            <w:r>
              <w:rPr>
                <w:rFonts w:hint="eastAsia" w:ascii="楷体" w:hAnsi="楷体" w:eastAsia="楷体" w:cs="Times New Roman"/>
                <w:sz w:val="24"/>
                <w:highlight w:val="none"/>
                <w:lang w:eastAsia="zh-CN"/>
              </w:rPr>
              <w:t>）</w:t>
            </w:r>
            <w:r>
              <w:rPr>
                <w:rFonts w:hint="eastAsia" w:ascii="楷体" w:hAnsi="楷体" w:eastAsia="楷体" w:cs="Times New Roman"/>
                <w:sz w:val="24"/>
                <w:highlight w:val="none"/>
              </w:rPr>
              <w:t>彩色扫描</w:t>
            </w:r>
            <w:r>
              <w:rPr>
                <w:rFonts w:hint="eastAsia" w:ascii="楷体" w:hAnsi="楷体" w:eastAsia="楷体" w:cs="Times New Roman"/>
                <w:sz w:val="24"/>
                <w:highlight w:val="none"/>
                <w:lang w:eastAsia="zh-CN"/>
              </w:rPr>
              <w:t>成</w:t>
            </w:r>
            <w:r>
              <w:rPr>
                <w:rFonts w:hint="eastAsia" w:ascii="楷体" w:hAnsi="楷体" w:eastAsia="楷体" w:cs="Times New Roman"/>
                <w:sz w:val="24"/>
                <w:highlight w:val="none"/>
              </w:rPr>
              <w:t>PDF文件上传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3</w:t>
            </w:r>
          </w:p>
        </w:tc>
        <w:tc>
          <w:tcPr>
            <w:tcW w:w="4405" w:type="dxa"/>
            <w:vAlign w:val="center"/>
          </w:tcPr>
          <w:p>
            <w:pPr>
              <w:spacing w:line="240" w:lineRule="atLeast"/>
              <w:ind w:left="-5" w:leftChars="0" w:right="42" w:rightChars="20"/>
              <w:jc w:val="center"/>
              <w:rPr>
                <w:rFonts w:hint="eastAsia" w:ascii="楷体" w:hAnsi="楷体" w:eastAsia="楷体" w:cs="楷体"/>
                <w:sz w:val="24"/>
                <w:szCs w:val="24"/>
                <w:highlight w:val="none"/>
              </w:rPr>
            </w:pPr>
            <w:r>
              <w:rPr>
                <w:rFonts w:hint="eastAsia" w:ascii="楷体" w:hAnsi="楷体" w:eastAsia="楷体"/>
                <w:sz w:val="24"/>
                <w:highlight w:val="none"/>
              </w:rPr>
              <w:t>税务部门提供的单位上一年度的纳税证明</w:t>
            </w:r>
          </w:p>
        </w:tc>
        <w:tc>
          <w:tcPr>
            <w:tcW w:w="1595"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Align w:val="center"/>
          </w:tcPr>
          <w:p>
            <w:pPr>
              <w:spacing w:line="240" w:lineRule="atLeast"/>
              <w:jc w:val="left"/>
              <w:rPr>
                <w:rFonts w:hint="eastAsia" w:ascii="楷体" w:hAnsi="楷体" w:eastAsia="楷体" w:cs="楷体"/>
                <w:sz w:val="24"/>
                <w:szCs w:val="24"/>
                <w:highlight w:val="none"/>
              </w:rPr>
            </w:pPr>
            <w:r>
              <w:rPr>
                <w:rFonts w:hint="eastAsia" w:ascii="楷体" w:hAnsi="楷体" w:eastAsia="楷体"/>
                <w:sz w:val="24"/>
                <w:szCs w:val="24"/>
                <w:highlight w:val="none"/>
                <w:lang w:eastAsia="zh-CN"/>
              </w:rPr>
              <w:t>上传税务系统下载带有税务机关红色印章的电子版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4</w:t>
            </w:r>
          </w:p>
        </w:tc>
        <w:tc>
          <w:tcPr>
            <w:tcW w:w="4405" w:type="dxa"/>
            <w:vAlign w:val="center"/>
          </w:tcPr>
          <w:p>
            <w:pPr>
              <w:spacing w:line="240" w:lineRule="atLeast"/>
              <w:ind w:left="-5" w:right="42" w:rightChars="20"/>
              <w:jc w:val="center"/>
              <w:rPr>
                <w:rFonts w:hint="eastAsia" w:ascii="楷体" w:hAnsi="楷体" w:eastAsia="楷体" w:cs="楷体"/>
                <w:sz w:val="24"/>
                <w:szCs w:val="24"/>
                <w:highlight w:val="none"/>
              </w:rPr>
            </w:pPr>
            <w:r>
              <w:rPr>
                <w:rFonts w:hint="eastAsia" w:ascii="楷体" w:hAnsi="楷体" w:eastAsia="楷体" w:cs="楷体"/>
                <w:sz w:val="24"/>
                <w:szCs w:val="24"/>
                <w:highlight w:val="none"/>
                <w:lang w:val="en-US" w:eastAsia="zh-CN"/>
              </w:rPr>
              <w:t>活动与电竞</w:t>
            </w:r>
            <w:r>
              <w:rPr>
                <w:rFonts w:hint="eastAsia" w:ascii="楷体" w:hAnsi="楷体" w:eastAsia="楷体" w:cs="楷体"/>
                <w:sz w:val="24"/>
                <w:szCs w:val="24"/>
                <w:highlight w:val="none"/>
              </w:rPr>
              <w:t>产业直接相关的证明材料；</w:t>
            </w:r>
          </w:p>
        </w:tc>
        <w:tc>
          <w:tcPr>
            <w:tcW w:w="1595" w:type="dxa"/>
            <w:vAlign w:val="center"/>
          </w:tcPr>
          <w:p>
            <w:pPr>
              <w:spacing w:line="240" w:lineRule="atLeast"/>
              <w:jc w:val="center"/>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是</w:t>
            </w:r>
          </w:p>
        </w:tc>
        <w:tc>
          <w:tcPr>
            <w:tcW w:w="2336" w:type="dxa"/>
            <w:vMerge w:val="restart"/>
            <w:vAlign w:val="center"/>
          </w:tcPr>
          <w:p>
            <w:pPr>
              <w:spacing w:line="276" w:lineRule="auto"/>
              <w:jc w:val="left"/>
              <w:rPr>
                <w:rFonts w:hint="eastAsia" w:ascii="楷体" w:hAnsi="楷体" w:eastAsia="楷体" w:cs="楷体"/>
                <w:bCs/>
                <w:color w:val="000000" w:themeColor="text1"/>
                <w:sz w:val="24"/>
                <w:szCs w:val="24"/>
                <w:highlight w:val="none"/>
                <w14:textFill>
                  <w14:solidFill>
                    <w14:schemeClr w14:val="tx1"/>
                  </w14:solidFill>
                </w14:textFill>
              </w:rPr>
            </w:pPr>
          </w:p>
          <w:p>
            <w:pPr>
              <w:spacing w:line="276" w:lineRule="auto"/>
              <w:jc w:val="left"/>
              <w:rPr>
                <w:rFonts w:hint="eastAsia" w:ascii="楷体" w:hAnsi="楷体" w:eastAsia="楷体" w:cs="楷体"/>
                <w:bCs/>
                <w:color w:val="000000" w:themeColor="text1"/>
                <w:sz w:val="24"/>
                <w:szCs w:val="24"/>
                <w:highlight w:val="none"/>
                <w14:textFill>
                  <w14:solidFill>
                    <w14:schemeClr w14:val="tx1"/>
                  </w14:solidFill>
                </w14:textFill>
              </w:rPr>
            </w:pPr>
          </w:p>
          <w:p>
            <w:pPr>
              <w:spacing w:line="276" w:lineRule="auto"/>
              <w:jc w:val="left"/>
              <w:rPr>
                <w:rFonts w:hint="eastAsia" w:ascii="楷体" w:hAnsi="楷体" w:eastAsia="楷体" w:cs="楷体"/>
                <w:bCs/>
                <w:color w:val="000000" w:themeColor="text1"/>
                <w:sz w:val="24"/>
                <w:szCs w:val="24"/>
                <w:highlight w:val="none"/>
                <w14:textFill>
                  <w14:solidFill>
                    <w14:schemeClr w14:val="tx1"/>
                  </w14:solidFill>
                </w14:textFill>
              </w:rPr>
            </w:pPr>
          </w:p>
          <w:p>
            <w:pPr>
              <w:spacing w:line="276" w:lineRule="auto"/>
              <w:jc w:val="left"/>
              <w:rPr>
                <w:rFonts w:hint="eastAsia" w:ascii="楷体" w:hAnsi="楷体" w:eastAsia="楷体" w:cs="楷体"/>
                <w:bCs/>
                <w:color w:val="000000" w:themeColor="text1"/>
                <w:sz w:val="24"/>
                <w:szCs w:val="24"/>
                <w:highlight w:val="none"/>
                <w14:textFill>
                  <w14:solidFill>
                    <w14:schemeClr w14:val="tx1"/>
                  </w14:solidFill>
                </w14:textFill>
              </w:rPr>
            </w:pPr>
            <w:r>
              <w:rPr>
                <w:rFonts w:hint="eastAsia" w:ascii="楷体" w:hAnsi="楷体" w:eastAsia="楷体" w:cs="楷体"/>
                <w:bCs/>
                <w:color w:val="000000" w:themeColor="text1"/>
                <w:sz w:val="24"/>
                <w:szCs w:val="24"/>
                <w:highlight w:val="none"/>
                <w14:textFill>
                  <w14:solidFill>
                    <w14:schemeClr w14:val="tx1"/>
                  </w14:solidFill>
                </w14:textFill>
              </w:rPr>
              <w:t>原件彩色扫描</w:t>
            </w:r>
            <w:r>
              <w:rPr>
                <w:rFonts w:hint="eastAsia" w:ascii="楷体" w:hAnsi="楷体" w:eastAsia="楷体" w:cs="楷体"/>
                <w:bCs/>
                <w:color w:val="000000" w:themeColor="text1"/>
                <w:sz w:val="24"/>
                <w:szCs w:val="24"/>
                <w:highlight w:val="none"/>
                <w:lang w:eastAsia="zh-CN"/>
                <w14:textFill>
                  <w14:solidFill>
                    <w14:schemeClr w14:val="tx1"/>
                  </w14:solidFill>
                </w14:textFill>
              </w:rPr>
              <w:t>成</w:t>
            </w:r>
          </w:p>
          <w:p>
            <w:pPr>
              <w:spacing w:line="240" w:lineRule="atLeast"/>
              <w:jc w:val="left"/>
              <w:rPr>
                <w:rFonts w:hint="eastAsia" w:ascii="楷体" w:hAnsi="楷体" w:eastAsia="楷体" w:cs="楷体"/>
                <w:sz w:val="24"/>
                <w:szCs w:val="24"/>
                <w:highlight w:val="none"/>
              </w:rPr>
            </w:pPr>
            <w:r>
              <w:rPr>
                <w:rFonts w:hint="eastAsia" w:ascii="楷体" w:hAnsi="楷体" w:eastAsia="楷体" w:cs="楷体"/>
                <w:color w:val="000000" w:themeColor="text1"/>
                <w:sz w:val="24"/>
                <w:szCs w:val="24"/>
                <w:highlight w:val="none"/>
                <w14:textFill>
                  <w14:solidFill>
                    <w14:schemeClr w14:val="tx1"/>
                  </w14:solidFill>
                </w14:textFill>
              </w:rPr>
              <w:t>PDF</w:t>
            </w:r>
            <w:r>
              <w:rPr>
                <w:rFonts w:hint="eastAsia" w:ascii="楷体" w:hAnsi="楷体" w:eastAsia="楷体" w:cs="楷体"/>
                <w:color w:val="000000" w:themeColor="text1"/>
                <w:sz w:val="24"/>
                <w:szCs w:val="24"/>
                <w:highlight w:val="none"/>
                <w:lang w:val="en-US" w:eastAsia="zh-CN"/>
                <w14:textFill>
                  <w14:solidFill>
                    <w14:schemeClr w14:val="tx1"/>
                  </w14:solidFill>
                </w14:textFill>
              </w:rPr>
              <w:t>文件</w:t>
            </w:r>
            <w:r>
              <w:rPr>
                <w:rFonts w:hint="eastAsia" w:ascii="楷体" w:hAnsi="楷体" w:eastAsia="楷体" w:cs="楷体"/>
                <w:bCs/>
                <w:color w:val="000000" w:themeColor="text1"/>
                <w:sz w:val="24"/>
                <w:szCs w:val="24"/>
                <w:highlight w:val="none"/>
                <w14:textFill>
                  <w14:solidFill>
                    <w14:schemeClr w14:val="tx1"/>
                  </w14:solidFill>
                </w14:textFill>
              </w:rPr>
              <w:t>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lang w:val="en-US" w:eastAsia="zh-CN"/>
              </w:rPr>
              <w:t>5</w:t>
            </w:r>
          </w:p>
        </w:tc>
        <w:tc>
          <w:tcPr>
            <w:tcW w:w="4405" w:type="dxa"/>
            <w:vAlign w:val="center"/>
          </w:tcPr>
          <w:p>
            <w:pPr>
              <w:spacing w:line="240" w:lineRule="atLeast"/>
              <w:ind w:left="-5" w:right="42" w:rightChars="20"/>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sz w:val="24"/>
                <w:szCs w:val="24"/>
                <w:highlight w:val="none"/>
              </w:rPr>
              <w:t>参加</w:t>
            </w:r>
            <w:r>
              <w:rPr>
                <w:rFonts w:hint="eastAsia" w:ascii="楷体" w:hAnsi="楷体" w:eastAsia="楷体" w:cs="楷体"/>
                <w:sz w:val="24"/>
                <w:szCs w:val="24"/>
                <w:highlight w:val="none"/>
                <w:lang w:val="en-US" w:eastAsia="zh-CN"/>
              </w:rPr>
              <w:t>活动</w:t>
            </w:r>
            <w:r>
              <w:rPr>
                <w:rFonts w:hint="eastAsia" w:ascii="楷体" w:hAnsi="楷体" w:eastAsia="楷体" w:cs="楷体"/>
                <w:sz w:val="24"/>
                <w:szCs w:val="24"/>
                <w:highlight w:val="none"/>
              </w:rPr>
              <w:t>的企事业单位不少于50家的证明材料</w:t>
            </w:r>
            <w:r>
              <w:rPr>
                <w:rFonts w:hint="eastAsia" w:ascii="楷体" w:hAnsi="楷体" w:eastAsia="楷体" w:cs="楷体"/>
                <w:sz w:val="24"/>
                <w:szCs w:val="24"/>
                <w:highlight w:val="none"/>
                <w:lang w:val="en-US" w:eastAsia="zh-CN"/>
              </w:rPr>
              <w:t>和</w:t>
            </w:r>
            <w:r>
              <w:rPr>
                <w:rFonts w:hint="eastAsia" w:ascii="楷体" w:hAnsi="楷体" w:eastAsia="楷体" w:cs="楷体"/>
                <w:sz w:val="24"/>
                <w:szCs w:val="24"/>
                <w:highlight w:val="none"/>
              </w:rPr>
              <w:t>参加论坛的线上线下嘉宾总数不低于100人的证明材料</w:t>
            </w:r>
          </w:p>
        </w:tc>
        <w:tc>
          <w:tcPr>
            <w:tcW w:w="1595" w:type="dxa"/>
            <w:vAlign w:val="center"/>
          </w:tcPr>
          <w:p>
            <w:pPr>
              <w:spacing w:line="276" w:lineRule="auto"/>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是</w:t>
            </w:r>
          </w:p>
        </w:tc>
        <w:tc>
          <w:tcPr>
            <w:tcW w:w="2336" w:type="dxa"/>
            <w:vMerge w:val="continue"/>
            <w:vAlign w:val="center"/>
          </w:tcPr>
          <w:p>
            <w:pPr>
              <w:spacing w:line="276" w:lineRule="auto"/>
              <w:jc w:val="left"/>
              <w:rPr>
                <w:rFonts w:hint="eastAsia" w:ascii="楷体" w:hAnsi="楷体" w:eastAsia="楷体" w:cs="楷体"/>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lang w:val="en-US" w:eastAsia="zh-CN"/>
              </w:rPr>
              <w:t>6</w:t>
            </w:r>
          </w:p>
        </w:tc>
        <w:tc>
          <w:tcPr>
            <w:tcW w:w="4405" w:type="dxa"/>
            <w:vAlign w:val="center"/>
          </w:tcPr>
          <w:p>
            <w:pPr>
              <w:spacing w:line="240" w:lineRule="atLeast"/>
              <w:ind w:left="-5" w:right="42" w:rightChars="20"/>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实际发生费用相关合同及发票、付款凭证</w:t>
            </w:r>
          </w:p>
        </w:tc>
        <w:tc>
          <w:tcPr>
            <w:tcW w:w="1595"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是</w:t>
            </w:r>
          </w:p>
        </w:tc>
        <w:tc>
          <w:tcPr>
            <w:tcW w:w="2336" w:type="dxa"/>
            <w:vMerge w:val="continue"/>
            <w:vAlign w:val="center"/>
          </w:tcPr>
          <w:p>
            <w:pPr>
              <w:spacing w:line="240" w:lineRule="atLeast"/>
              <w:jc w:val="left"/>
              <w:rPr>
                <w:rFonts w:hint="eastAsia" w:ascii="楷体" w:hAnsi="楷体" w:eastAsia="楷体" w:cs="楷体"/>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7</w:t>
            </w:r>
          </w:p>
        </w:tc>
        <w:tc>
          <w:tcPr>
            <w:tcW w:w="4405" w:type="dxa"/>
            <w:vAlign w:val="center"/>
          </w:tcPr>
          <w:p>
            <w:pPr>
              <w:spacing w:line="240" w:lineRule="atLeast"/>
              <w:ind w:left="-5" w:right="42" w:rightChars="20"/>
              <w:rPr>
                <w:rFonts w:hint="default"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举办场地照片</w:t>
            </w:r>
            <w:r>
              <w:rPr>
                <w:rFonts w:hint="eastAsia" w:ascii="楷体" w:hAnsi="楷体" w:eastAsia="楷体" w:cs="楷体"/>
                <w:color w:val="000000" w:themeColor="text1"/>
                <w:sz w:val="24"/>
                <w:szCs w:val="24"/>
                <w:highlight w:val="none"/>
                <w:lang w:val="en-US" w:eastAsia="zh-CN"/>
                <w14:textFill>
                  <w14:solidFill>
                    <w14:schemeClr w14:val="tx1"/>
                  </w14:solidFill>
                </w14:textFill>
              </w:rPr>
              <w:t>或线上参会截图</w:t>
            </w:r>
          </w:p>
        </w:tc>
        <w:tc>
          <w:tcPr>
            <w:tcW w:w="1595" w:type="dxa"/>
            <w:vAlign w:val="center"/>
          </w:tcPr>
          <w:p>
            <w:pPr>
              <w:spacing w:line="240" w:lineRule="atLeast"/>
              <w:jc w:val="center"/>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是</w:t>
            </w:r>
          </w:p>
        </w:tc>
        <w:tc>
          <w:tcPr>
            <w:tcW w:w="2336" w:type="dxa"/>
            <w:vMerge w:val="continue"/>
            <w:vAlign w:val="center"/>
          </w:tcPr>
          <w:p>
            <w:pPr>
              <w:spacing w:line="240" w:lineRule="atLeast"/>
              <w:jc w:val="left"/>
              <w:rPr>
                <w:rFonts w:hint="eastAsia" w:ascii="楷体" w:hAnsi="楷体" w:eastAsia="楷体" w:cs="楷体"/>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lang w:val="en-US" w:eastAsia="zh-CN"/>
              </w:rPr>
              <w:t>8</w:t>
            </w:r>
          </w:p>
        </w:tc>
        <w:tc>
          <w:tcPr>
            <w:tcW w:w="4405" w:type="dxa"/>
            <w:vAlign w:val="center"/>
          </w:tcPr>
          <w:p>
            <w:pPr>
              <w:spacing w:line="240" w:lineRule="atLeast"/>
              <w:ind w:left="-5" w:right="42" w:rightChars="20"/>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南山区政府或者</w:t>
            </w:r>
            <w:r>
              <w:rPr>
                <w:rFonts w:hint="eastAsia" w:ascii="楷体" w:hAnsi="楷体" w:eastAsia="楷体" w:cs="楷体"/>
                <w:color w:val="000000" w:themeColor="text1"/>
                <w:sz w:val="24"/>
                <w:szCs w:val="24"/>
                <w:highlight w:val="none"/>
                <w14:textFill>
                  <w14:solidFill>
                    <w14:schemeClr w14:val="tx1"/>
                  </w14:solidFill>
                </w14:textFill>
              </w:rPr>
              <w:t>南山区文化广电旅游体育局</w:t>
            </w:r>
            <w:r>
              <w:rPr>
                <w:rFonts w:hint="eastAsia" w:ascii="楷体" w:hAnsi="楷体" w:eastAsia="楷体" w:cs="楷体"/>
                <w:color w:val="000000" w:themeColor="text1"/>
                <w:sz w:val="24"/>
                <w:szCs w:val="24"/>
                <w:highlight w:val="none"/>
                <w:lang w:val="en-US" w:eastAsia="zh-CN"/>
                <w14:textFill>
                  <w14:solidFill>
                    <w14:schemeClr w14:val="tx1"/>
                  </w14:solidFill>
                </w14:textFill>
              </w:rPr>
              <w:t>同意支持或指导活动举办</w:t>
            </w:r>
            <w:r>
              <w:rPr>
                <w:rFonts w:hint="eastAsia" w:ascii="楷体" w:hAnsi="楷体" w:eastAsia="楷体" w:cs="楷体"/>
                <w:color w:val="000000" w:themeColor="text1"/>
                <w:sz w:val="24"/>
                <w:szCs w:val="24"/>
                <w:highlight w:val="none"/>
                <w14:textFill>
                  <w14:solidFill>
                    <w14:schemeClr w14:val="tx1"/>
                  </w14:solidFill>
                </w14:textFill>
              </w:rPr>
              <w:t>的证明材料</w:t>
            </w:r>
          </w:p>
        </w:tc>
        <w:tc>
          <w:tcPr>
            <w:tcW w:w="1595"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是</w:t>
            </w:r>
          </w:p>
        </w:tc>
        <w:tc>
          <w:tcPr>
            <w:tcW w:w="2336" w:type="dxa"/>
            <w:vMerge w:val="continue"/>
            <w:vAlign w:val="center"/>
          </w:tcPr>
          <w:p>
            <w:pPr>
              <w:spacing w:line="240" w:lineRule="atLeast"/>
              <w:jc w:val="left"/>
              <w:rPr>
                <w:rFonts w:hint="eastAsia" w:ascii="楷体" w:hAnsi="楷体" w:eastAsia="楷体" w:cs="楷体"/>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color w:val="000000" w:themeColor="text1"/>
                <w:kern w:val="2"/>
                <w:sz w:val="24"/>
                <w:szCs w:val="24"/>
                <w:highlight w:val="none"/>
                <w:lang w:val="en-US" w:eastAsia="zh-CN" w:bidi="ar-SA"/>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9</w:t>
            </w:r>
          </w:p>
        </w:tc>
        <w:tc>
          <w:tcPr>
            <w:tcW w:w="4405" w:type="dxa"/>
            <w:vAlign w:val="center"/>
          </w:tcPr>
          <w:p>
            <w:pPr>
              <w:spacing w:line="240" w:lineRule="atLeast"/>
              <w:ind w:left="-5" w:leftChars="0" w:right="42" w:rightChars="20"/>
              <w:jc w:val="center"/>
              <w:rPr>
                <w:rFonts w:hint="eastAsia" w:ascii="楷体" w:hAnsi="楷体" w:eastAsia="楷体" w:cs="楷体"/>
                <w:color w:val="000000" w:themeColor="text1"/>
                <w:kern w:val="2"/>
                <w:sz w:val="24"/>
                <w:szCs w:val="24"/>
                <w:highlight w:val="none"/>
                <w:lang w:val="en-US" w:eastAsia="zh-CN" w:bidi="ar-SA"/>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申请书签字盖章版</w:t>
            </w:r>
          </w:p>
        </w:tc>
        <w:tc>
          <w:tcPr>
            <w:tcW w:w="1595" w:type="dxa"/>
            <w:vAlign w:val="center"/>
          </w:tcPr>
          <w:p>
            <w:pPr>
              <w:spacing w:line="240" w:lineRule="atLeast"/>
              <w:jc w:val="center"/>
              <w:rPr>
                <w:rFonts w:hint="eastAsia" w:ascii="楷体" w:hAnsi="楷体" w:eastAsia="楷体" w:cs="楷体"/>
                <w:color w:val="000000" w:themeColor="text1"/>
                <w:kern w:val="2"/>
                <w:sz w:val="24"/>
                <w:szCs w:val="24"/>
                <w:highlight w:val="none"/>
                <w:lang w:val="en-US" w:eastAsia="zh-CN" w:bidi="ar-SA"/>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是</w:t>
            </w:r>
          </w:p>
        </w:tc>
        <w:tc>
          <w:tcPr>
            <w:tcW w:w="2336" w:type="dxa"/>
            <w:vMerge w:val="continue"/>
            <w:vAlign w:val="center"/>
          </w:tcPr>
          <w:p>
            <w:pPr>
              <w:spacing w:line="240" w:lineRule="atLeast"/>
              <w:jc w:val="left"/>
              <w:rPr>
                <w:rFonts w:hint="eastAsia" w:ascii="楷体" w:hAnsi="楷体" w:eastAsia="楷体" w:cs="楷体"/>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default"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10</w:t>
            </w:r>
          </w:p>
        </w:tc>
        <w:tc>
          <w:tcPr>
            <w:tcW w:w="4405" w:type="dxa"/>
            <w:vAlign w:val="center"/>
          </w:tcPr>
          <w:p>
            <w:pPr>
              <w:spacing w:line="240" w:lineRule="atLeast"/>
              <w:ind w:right="42" w:rightChars="20"/>
              <w:jc w:val="center"/>
              <w:rPr>
                <w:rFonts w:hint="eastAsia" w:ascii="楷体" w:hAnsi="楷体" w:eastAsia="楷体" w:cs="楷体"/>
                <w:sz w:val="24"/>
                <w:szCs w:val="24"/>
                <w:highlight w:val="none"/>
              </w:rPr>
            </w:pPr>
            <w:r>
              <w:rPr>
                <w:rFonts w:hint="eastAsia" w:ascii="楷体" w:hAnsi="楷体" w:eastAsia="楷体" w:cs="楷体"/>
                <w:bCs/>
                <w:iCs/>
                <w:sz w:val="24"/>
                <w:szCs w:val="24"/>
                <w:highlight w:val="none"/>
              </w:rPr>
              <w:t>其它附件</w:t>
            </w:r>
          </w:p>
        </w:tc>
        <w:tc>
          <w:tcPr>
            <w:tcW w:w="1595"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否</w:t>
            </w:r>
          </w:p>
        </w:tc>
        <w:tc>
          <w:tcPr>
            <w:tcW w:w="2336" w:type="dxa"/>
            <w:vMerge w:val="continue"/>
            <w:vAlign w:val="center"/>
          </w:tcPr>
          <w:p>
            <w:pPr>
              <w:spacing w:line="240" w:lineRule="atLeast"/>
              <w:jc w:val="left"/>
              <w:rPr>
                <w:rFonts w:hint="eastAsia" w:ascii="楷体" w:hAnsi="楷体" w:eastAsia="楷体" w:cs="楷体"/>
                <w:sz w:val="24"/>
                <w:szCs w:val="24"/>
                <w:highlight w:val="none"/>
              </w:rPr>
            </w:pPr>
          </w:p>
        </w:tc>
      </w:tr>
    </w:tbl>
    <w:p>
      <w:pPr>
        <w:pStyle w:val="8"/>
        <w:shd w:val="clear" w:color="auto" w:fill="FFFFFF"/>
        <w:adjustRightInd w:val="0"/>
        <w:snapToGrid w:val="0"/>
        <w:spacing w:before="0" w:beforeAutospacing="0" w:after="0" w:afterAutospacing="0" w:line="560" w:lineRule="exact"/>
        <w:ind w:firstLine="645"/>
        <w:jc w:val="both"/>
        <w:rPr>
          <w:rFonts w:ascii="Times New Roman" w:hAnsi="Times New Roman" w:eastAsia="黑体" w:cs="Times New Roman"/>
          <w:color w:val="000000" w:themeColor="text1"/>
          <w:kern w:val="2"/>
          <w:sz w:val="32"/>
          <w:szCs w:val="32"/>
          <w:highlight w:val="none"/>
          <w14:textFill>
            <w14:solidFill>
              <w14:schemeClr w14:val="tx1"/>
            </w14:solidFill>
          </w14:textFill>
        </w:rPr>
      </w:pPr>
      <w:r>
        <w:rPr>
          <w:rFonts w:hint="eastAsia" w:ascii="Times New Roman" w:hAnsi="黑体" w:eastAsia="黑体" w:cs="Times New Roman"/>
          <w:color w:val="000000" w:themeColor="text1"/>
          <w:kern w:val="2"/>
          <w:sz w:val="32"/>
          <w:szCs w:val="32"/>
          <w:highlight w:val="none"/>
          <w14:textFill>
            <w14:solidFill>
              <w14:schemeClr w14:val="tx1"/>
            </w14:solidFill>
          </w14:textFill>
        </w:rPr>
        <w:t>七、其他事项</w:t>
      </w:r>
    </w:p>
    <w:p>
      <w:pPr>
        <w:pStyle w:val="8"/>
        <w:shd w:val="clear" w:color="auto" w:fill="FFFFFF"/>
        <w:adjustRightInd w:val="0"/>
        <w:snapToGrid w:val="0"/>
        <w:spacing w:before="0" w:beforeAutospacing="0" w:after="0" w:afterAutospacing="0" w:line="560" w:lineRule="exact"/>
        <w:ind w:firstLine="645"/>
        <w:jc w:val="both"/>
        <w:rPr>
          <w:rFonts w:ascii="仿宋_GB2312" w:hAnsi="仿宋" w:eastAsia="仿宋_GB2312" w:cs="Times New Roman"/>
          <w:color w:val="000000" w:themeColor="text1"/>
          <w:sz w:val="32"/>
          <w:szCs w:val="32"/>
          <w:highlight w:val="none"/>
          <w14:textFill>
            <w14:solidFill>
              <w14:schemeClr w14:val="tx1"/>
            </w14:solidFill>
          </w14:textFill>
        </w:rPr>
      </w:pPr>
      <w:r>
        <w:rPr>
          <w:rFonts w:hint="eastAsia" w:ascii="仿宋_GB2312" w:hAnsi="仿宋" w:eastAsia="仿宋_GB2312" w:cs="Times New Roman"/>
          <w:color w:val="000000" w:themeColor="text1"/>
          <w:kern w:val="2"/>
          <w:sz w:val="32"/>
          <w:szCs w:val="32"/>
          <w:highlight w:val="none"/>
          <w14:textFill>
            <w14:solidFill>
              <w14:schemeClr w14:val="tx1"/>
            </w14:solidFill>
          </w14:textFill>
        </w:rPr>
        <w:t>申请本项目资助的企业应保证其申报材料的完整性、</w:t>
      </w:r>
      <w:r>
        <w:rPr>
          <w:rFonts w:hint="eastAsia" w:ascii="仿宋_GB2312" w:hAnsi="仿宋" w:eastAsia="仿宋_GB2312" w:cs="Times New Roman"/>
          <w:color w:val="000000" w:themeColor="text1"/>
          <w:sz w:val="32"/>
          <w:szCs w:val="32"/>
          <w:highlight w:val="none"/>
          <w14:textFill>
            <w14:solidFill>
              <w14:schemeClr w14:val="tx1"/>
            </w14:solidFill>
          </w14:textFill>
        </w:rPr>
        <w:t>真实性、</w:t>
      </w:r>
      <w:r>
        <w:rPr>
          <w:rFonts w:hint="eastAsia" w:ascii="仿宋_GB2312" w:hAnsi="仿宋" w:eastAsia="仿宋_GB2312" w:cs="Times New Roman"/>
          <w:color w:val="000000" w:themeColor="text1"/>
          <w:kern w:val="2"/>
          <w:sz w:val="32"/>
          <w:szCs w:val="32"/>
          <w:highlight w:val="none"/>
          <w14:textFill>
            <w14:solidFill>
              <w14:schemeClr w14:val="tx1"/>
            </w14:solidFill>
          </w14:textFill>
        </w:rPr>
        <w:t>准确性</w:t>
      </w:r>
      <w:r>
        <w:rPr>
          <w:rFonts w:hint="eastAsia" w:ascii="仿宋_GB2312" w:hAnsi="仿宋" w:eastAsia="仿宋_GB2312" w:cs="Times New Roman"/>
          <w:color w:val="000000" w:themeColor="text1"/>
          <w:sz w:val="32"/>
          <w:szCs w:val="32"/>
          <w:highlight w:val="none"/>
          <w14:textFill>
            <w14:solidFill>
              <w14:schemeClr w14:val="tx1"/>
            </w14:solidFill>
          </w14:textFill>
        </w:rPr>
        <w:t>及合法性</w:t>
      </w:r>
      <w:r>
        <w:rPr>
          <w:rFonts w:hint="eastAsia" w:ascii="仿宋_GB2312" w:hAnsi="仿宋" w:eastAsia="仿宋_GB2312" w:cs="Times New Roman"/>
          <w:color w:val="000000" w:themeColor="text1"/>
          <w:kern w:val="2"/>
          <w:sz w:val="32"/>
          <w:szCs w:val="32"/>
          <w:highlight w:val="none"/>
          <w14:textFill>
            <w14:solidFill>
              <w14:schemeClr w14:val="tx1"/>
            </w14:solidFill>
          </w14:textFill>
        </w:rPr>
        <w:t>，</w:t>
      </w:r>
      <w:r>
        <w:rPr>
          <w:rFonts w:hint="eastAsia" w:ascii="仿宋_GB2312" w:hAnsi="仿宋" w:eastAsia="仿宋_GB2312" w:cs="Times New Roman"/>
          <w:color w:val="000000" w:themeColor="text1"/>
          <w:sz w:val="32"/>
          <w:szCs w:val="32"/>
          <w:highlight w:val="none"/>
          <w14:textFill>
            <w14:solidFill>
              <w14:schemeClr w14:val="tx1"/>
            </w14:solidFill>
          </w14:textFill>
        </w:rPr>
        <w:t>并承担所提交的项目申报材料的相关法律责任，如有虚假或侵权等行为，该项目申请无效，如事后发现存在以上行为，本资金主管部门将保留依法追究其法律责任的权利。</w:t>
      </w:r>
    </w:p>
    <w:p>
      <w:pPr>
        <w:pStyle w:val="8"/>
        <w:shd w:val="clear" w:color="auto" w:fill="FFFFFF"/>
        <w:adjustRightInd w:val="0"/>
        <w:snapToGrid w:val="0"/>
        <w:spacing w:before="0" w:beforeAutospacing="0" w:after="0" w:afterAutospacing="0" w:line="560" w:lineRule="exact"/>
        <w:ind w:firstLine="640" w:firstLineChars="200"/>
        <w:jc w:val="both"/>
        <w:rPr>
          <w:rFonts w:ascii="Times New Roman" w:hAnsi="Times New Roman" w:eastAsia="黑体" w:cs="Times New Roman"/>
          <w:color w:val="000000" w:themeColor="text1"/>
          <w:kern w:val="2"/>
          <w:sz w:val="32"/>
          <w:szCs w:val="32"/>
          <w:highlight w:val="none"/>
          <w14:textFill>
            <w14:solidFill>
              <w14:schemeClr w14:val="tx1"/>
            </w14:solidFill>
          </w14:textFill>
        </w:rPr>
      </w:pPr>
      <w:r>
        <w:rPr>
          <w:rFonts w:hint="eastAsia" w:ascii="Times New Roman" w:hAnsi="黑体" w:eastAsia="黑体" w:cs="Times New Roman"/>
          <w:color w:val="000000" w:themeColor="text1"/>
          <w:kern w:val="2"/>
          <w:sz w:val="32"/>
          <w:szCs w:val="32"/>
          <w:highlight w:val="none"/>
          <w14:textFill>
            <w14:solidFill>
              <w14:schemeClr w14:val="tx1"/>
            </w14:solidFill>
          </w14:textFill>
        </w:rPr>
        <w:t>八、附则</w:t>
      </w:r>
    </w:p>
    <w:p>
      <w:pPr>
        <w:pStyle w:val="8"/>
        <w:shd w:val="clear" w:color="auto" w:fill="FFFFFF"/>
        <w:adjustRightInd w:val="0"/>
        <w:snapToGrid w:val="0"/>
        <w:spacing w:before="0" w:beforeAutospacing="0" w:after="0" w:afterAutospacing="0" w:line="560" w:lineRule="exact"/>
        <w:ind w:firstLine="640" w:firstLineChars="200"/>
        <w:jc w:val="both"/>
        <w:rPr>
          <w:rFonts w:ascii="仿宋_GB2312" w:eastAsia="仿宋_GB2312"/>
          <w:color w:val="000000" w:themeColor="text1"/>
          <w:highlight w:val="none"/>
          <w14:textFill>
            <w14:solidFill>
              <w14:schemeClr w14:val="tx1"/>
            </w14:solidFill>
          </w14:textFill>
        </w:rPr>
      </w:pPr>
      <w:r>
        <w:rPr>
          <w:rFonts w:hint="eastAsia" w:ascii="仿宋_GB2312" w:hAnsi="仿宋" w:eastAsia="仿宋_GB2312" w:cs="Times New Roman"/>
          <w:color w:val="000000" w:themeColor="text1"/>
          <w:kern w:val="2"/>
          <w:sz w:val="32"/>
          <w:szCs w:val="32"/>
          <w:highlight w:val="none"/>
          <w14:textFill>
            <w14:solidFill>
              <w14:schemeClr w14:val="tx1"/>
            </w14:solidFill>
          </w14:textFill>
        </w:rPr>
        <w:t>本规程由南山区文化广电旅游体育局负责解释，自发布之日起施行。</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69097515"/>
      <w:docPartObj>
        <w:docPartGallery w:val="autotext"/>
      </w:docPartObj>
    </w:sdtPr>
    <w:sdtContent>
      <w:p>
        <w:pPr>
          <w:pStyle w:val="6"/>
          <w:jc w:val="center"/>
        </w:pPr>
        <w:r>
          <w:fldChar w:fldCharType="begin"/>
        </w:r>
        <w:r>
          <w:instrText xml:space="preserve">PAGE   \* MERGEFORMAT</w:instrText>
        </w:r>
        <w:r>
          <w:fldChar w:fldCharType="separate"/>
        </w:r>
        <w:r>
          <w:rPr>
            <w:lang w:val="zh-CN"/>
          </w:rPr>
          <w:t>2</w:t>
        </w:r>
        <w:r>
          <w:fldChar w:fldCharType="end"/>
        </w:r>
      </w:p>
    </w:sdtContent>
  </w:sdt>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Q3NmZlZGU2MTUxNzU1NDM0ZTgzOGI1YzBkOTcxZTMifQ=="/>
  </w:docVars>
  <w:rsids>
    <w:rsidRoot w:val="1E9B000F"/>
    <w:rsid w:val="00007F6F"/>
    <w:rsid w:val="00024D3C"/>
    <w:rsid w:val="00031E90"/>
    <w:rsid w:val="00074783"/>
    <w:rsid w:val="000965F4"/>
    <w:rsid w:val="000B0273"/>
    <w:rsid w:val="000D3AF5"/>
    <w:rsid w:val="00115BCC"/>
    <w:rsid w:val="001421E0"/>
    <w:rsid w:val="00143A36"/>
    <w:rsid w:val="0015404E"/>
    <w:rsid w:val="00171A39"/>
    <w:rsid w:val="001B0C22"/>
    <w:rsid w:val="0020003E"/>
    <w:rsid w:val="0026218E"/>
    <w:rsid w:val="00275C4B"/>
    <w:rsid w:val="002E7D20"/>
    <w:rsid w:val="00396D2A"/>
    <w:rsid w:val="003F33E9"/>
    <w:rsid w:val="0040362C"/>
    <w:rsid w:val="004329C4"/>
    <w:rsid w:val="00456C09"/>
    <w:rsid w:val="00475747"/>
    <w:rsid w:val="00484F4E"/>
    <w:rsid w:val="005956B2"/>
    <w:rsid w:val="00595A1F"/>
    <w:rsid w:val="005C1AD0"/>
    <w:rsid w:val="005D048F"/>
    <w:rsid w:val="005D529D"/>
    <w:rsid w:val="006255F8"/>
    <w:rsid w:val="00651611"/>
    <w:rsid w:val="006A2E3D"/>
    <w:rsid w:val="0070304A"/>
    <w:rsid w:val="00705AFF"/>
    <w:rsid w:val="00765457"/>
    <w:rsid w:val="00772729"/>
    <w:rsid w:val="007A67CC"/>
    <w:rsid w:val="007C0661"/>
    <w:rsid w:val="007D0365"/>
    <w:rsid w:val="007E2AAA"/>
    <w:rsid w:val="007E59AE"/>
    <w:rsid w:val="008058F8"/>
    <w:rsid w:val="00886129"/>
    <w:rsid w:val="00890D62"/>
    <w:rsid w:val="00896F3C"/>
    <w:rsid w:val="008A06B8"/>
    <w:rsid w:val="008B0EB5"/>
    <w:rsid w:val="008C5A2F"/>
    <w:rsid w:val="008C75B3"/>
    <w:rsid w:val="008D3C58"/>
    <w:rsid w:val="008E0CC2"/>
    <w:rsid w:val="00904B58"/>
    <w:rsid w:val="00920AE3"/>
    <w:rsid w:val="00977354"/>
    <w:rsid w:val="009944AF"/>
    <w:rsid w:val="00995D7C"/>
    <w:rsid w:val="009A0E64"/>
    <w:rsid w:val="009B0D2F"/>
    <w:rsid w:val="009B3AE0"/>
    <w:rsid w:val="009E2DAA"/>
    <w:rsid w:val="009F4297"/>
    <w:rsid w:val="00A82793"/>
    <w:rsid w:val="00AA3ECD"/>
    <w:rsid w:val="00AD6040"/>
    <w:rsid w:val="00AE260C"/>
    <w:rsid w:val="00B101C1"/>
    <w:rsid w:val="00B17BF3"/>
    <w:rsid w:val="00B77C53"/>
    <w:rsid w:val="00B803E6"/>
    <w:rsid w:val="00B91CA9"/>
    <w:rsid w:val="00BA5F30"/>
    <w:rsid w:val="00BC06DD"/>
    <w:rsid w:val="00BD6E4F"/>
    <w:rsid w:val="00BE7C30"/>
    <w:rsid w:val="00CA4770"/>
    <w:rsid w:val="00CD6F9A"/>
    <w:rsid w:val="00CE00CC"/>
    <w:rsid w:val="00CE1FF7"/>
    <w:rsid w:val="00CE6F5B"/>
    <w:rsid w:val="00CE7E06"/>
    <w:rsid w:val="00D13618"/>
    <w:rsid w:val="00D818FD"/>
    <w:rsid w:val="00DF10BB"/>
    <w:rsid w:val="00E040F9"/>
    <w:rsid w:val="00E102DA"/>
    <w:rsid w:val="00E1265B"/>
    <w:rsid w:val="00E23039"/>
    <w:rsid w:val="00E4544B"/>
    <w:rsid w:val="00EA5699"/>
    <w:rsid w:val="00EC4977"/>
    <w:rsid w:val="00ED5415"/>
    <w:rsid w:val="00F0380B"/>
    <w:rsid w:val="00F07B9B"/>
    <w:rsid w:val="00F07CA9"/>
    <w:rsid w:val="00F2135A"/>
    <w:rsid w:val="00F254EF"/>
    <w:rsid w:val="00F2602B"/>
    <w:rsid w:val="00F3450B"/>
    <w:rsid w:val="00F85813"/>
    <w:rsid w:val="00F95C5E"/>
    <w:rsid w:val="00FB46B8"/>
    <w:rsid w:val="00FB6C39"/>
    <w:rsid w:val="00FD76D6"/>
    <w:rsid w:val="01F937A1"/>
    <w:rsid w:val="02D70D58"/>
    <w:rsid w:val="0381433E"/>
    <w:rsid w:val="059F65CB"/>
    <w:rsid w:val="07240354"/>
    <w:rsid w:val="095C7285"/>
    <w:rsid w:val="0981582C"/>
    <w:rsid w:val="0BAA78FF"/>
    <w:rsid w:val="0ECA6C10"/>
    <w:rsid w:val="0FC13339"/>
    <w:rsid w:val="104D08F5"/>
    <w:rsid w:val="10FF6A2B"/>
    <w:rsid w:val="113044C3"/>
    <w:rsid w:val="119C505E"/>
    <w:rsid w:val="14EE3129"/>
    <w:rsid w:val="168B0344"/>
    <w:rsid w:val="187529D9"/>
    <w:rsid w:val="1A8A32C3"/>
    <w:rsid w:val="1E395720"/>
    <w:rsid w:val="1E9B000F"/>
    <w:rsid w:val="1FAD4DE8"/>
    <w:rsid w:val="23761A36"/>
    <w:rsid w:val="26F31699"/>
    <w:rsid w:val="2A0E4549"/>
    <w:rsid w:val="2B8E3272"/>
    <w:rsid w:val="2CBE495E"/>
    <w:rsid w:val="2D443D65"/>
    <w:rsid w:val="2D6D37E9"/>
    <w:rsid w:val="34504791"/>
    <w:rsid w:val="365F39E8"/>
    <w:rsid w:val="37B104F6"/>
    <w:rsid w:val="38D940A3"/>
    <w:rsid w:val="38FE4DBC"/>
    <w:rsid w:val="39007C46"/>
    <w:rsid w:val="3B20637D"/>
    <w:rsid w:val="411A2707"/>
    <w:rsid w:val="42D91274"/>
    <w:rsid w:val="431D4C7D"/>
    <w:rsid w:val="432C2634"/>
    <w:rsid w:val="45F96148"/>
    <w:rsid w:val="46685A57"/>
    <w:rsid w:val="47163EF8"/>
    <w:rsid w:val="496F6C88"/>
    <w:rsid w:val="4A6807A1"/>
    <w:rsid w:val="4B6B62D5"/>
    <w:rsid w:val="4C4150D2"/>
    <w:rsid w:val="4E92280E"/>
    <w:rsid w:val="4E9675F7"/>
    <w:rsid w:val="51510BE7"/>
    <w:rsid w:val="556B528D"/>
    <w:rsid w:val="55B44271"/>
    <w:rsid w:val="61DE7C55"/>
    <w:rsid w:val="64561B9C"/>
    <w:rsid w:val="6C4B29AA"/>
    <w:rsid w:val="6D3414FD"/>
    <w:rsid w:val="6D342975"/>
    <w:rsid w:val="70E419D2"/>
    <w:rsid w:val="76DF266D"/>
    <w:rsid w:val="77660698"/>
    <w:rsid w:val="7AC350A9"/>
    <w:rsid w:val="7C4464D1"/>
    <w:rsid w:val="7D63567A"/>
    <w:rsid w:val="7D9C7CC2"/>
    <w:rsid w:val="7DF32EA2"/>
    <w:rsid w:val="7E6B1D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jc w:val="center"/>
      <w:outlineLvl w:val="0"/>
    </w:pPr>
    <w:rPr>
      <w:rFonts w:eastAsia="黑体"/>
      <w:bCs/>
      <w:kern w:val="44"/>
      <w:szCs w:val="44"/>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6"/>
    <w:qFormat/>
    <w:uiPriority w:val="0"/>
    <w:pPr>
      <w:jc w:val="left"/>
    </w:pPr>
  </w:style>
  <w:style w:type="paragraph" w:styleId="4">
    <w:name w:val="Body Text"/>
    <w:basedOn w:val="1"/>
    <w:qFormat/>
    <w:uiPriority w:val="0"/>
    <w:pPr>
      <w:jc w:val="center"/>
    </w:pPr>
    <w:rPr>
      <w:rFonts w:eastAsia="华文中宋"/>
      <w:sz w:val="44"/>
    </w:rPr>
  </w:style>
  <w:style w:type="paragraph" w:styleId="5">
    <w:name w:val="Body Text Indent"/>
    <w:basedOn w:val="1"/>
    <w:qFormat/>
    <w:uiPriority w:val="0"/>
    <w:pPr>
      <w:adjustRightInd w:val="0"/>
      <w:snapToGrid w:val="0"/>
      <w:spacing w:line="300" w:lineRule="auto"/>
      <w:ind w:firstLine="720" w:firstLineChars="225"/>
    </w:pPr>
    <w:rPr>
      <w:rFonts w:ascii="仿宋_GB2312" w:eastAsia="仿宋_GB2312"/>
      <w:color w:val="000000"/>
      <w:sz w:val="32"/>
    </w:rPr>
  </w:style>
  <w:style w:type="paragraph" w:styleId="6">
    <w:name w:val="footer"/>
    <w:basedOn w:val="1"/>
    <w:link w:val="18"/>
    <w:qFormat/>
    <w:uiPriority w:val="99"/>
    <w:pPr>
      <w:tabs>
        <w:tab w:val="center" w:pos="4153"/>
        <w:tab w:val="right" w:pos="8306"/>
      </w:tabs>
      <w:snapToGrid w:val="0"/>
      <w:jc w:val="left"/>
    </w:pPr>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9">
    <w:name w:val="annotation subject"/>
    <w:basedOn w:val="3"/>
    <w:next w:val="3"/>
    <w:link w:val="17"/>
    <w:qFormat/>
    <w:uiPriority w:val="0"/>
    <w:rPr>
      <w:b/>
      <w:bCs/>
    </w:rPr>
  </w:style>
  <w:style w:type="character" w:styleId="12">
    <w:name w:val="annotation reference"/>
    <w:basedOn w:val="11"/>
    <w:qFormat/>
    <w:uiPriority w:val="0"/>
    <w:rPr>
      <w:sz w:val="21"/>
      <w:szCs w:val="21"/>
    </w:rPr>
  </w:style>
  <w:style w:type="character" w:customStyle="1" w:styleId="13">
    <w:name w:val="font51"/>
    <w:basedOn w:val="11"/>
    <w:qFormat/>
    <w:uiPriority w:val="0"/>
    <w:rPr>
      <w:rFonts w:hint="eastAsia" w:ascii="宋体" w:hAnsi="宋体" w:eastAsia="宋体" w:cs="宋体"/>
      <w:color w:val="000000"/>
      <w:sz w:val="24"/>
      <w:szCs w:val="24"/>
      <w:u w:val="none"/>
    </w:rPr>
  </w:style>
  <w:style w:type="character" w:customStyle="1" w:styleId="14">
    <w:name w:val="页眉 字符"/>
    <w:basedOn w:val="11"/>
    <w:link w:val="7"/>
    <w:qFormat/>
    <w:uiPriority w:val="0"/>
    <w:rPr>
      <w:kern w:val="2"/>
      <w:sz w:val="18"/>
      <w:szCs w:val="18"/>
    </w:rPr>
  </w:style>
  <w:style w:type="paragraph" w:customStyle="1" w:styleId="15">
    <w:name w:val="列出段落1"/>
    <w:basedOn w:val="1"/>
    <w:qFormat/>
    <w:uiPriority w:val="34"/>
    <w:pPr>
      <w:ind w:firstLine="420" w:firstLineChars="200"/>
    </w:pPr>
    <w:rPr>
      <w:rFonts w:ascii="Calibri" w:hAnsi="Calibri" w:cs="宋体"/>
    </w:rPr>
  </w:style>
  <w:style w:type="character" w:customStyle="1" w:styleId="16">
    <w:name w:val="批注文字 字符"/>
    <w:basedOn w:val="11"/>
    <w:link w:val="3"/>
    <w:qFormat/>
    <w:uiPriority w:val="0"/>
    <w:rPr>
      <w:kern w:val="2"/>
      <w:sz w:val="21"/>
      <w:szCs w:val="24"/>
    </w:rPr>
  </w:style>
  <w:style w:type="character" w:customStyle="1" w:styleId="17">
    <w:name w:val="批注主题 字符"/>
    <w:basedOn w:val="16"/>
    <w:link w:val="9"/>
    <w:qFormat/>
    <w:uiPriority w:val="0"/>
    <w:rPr>
      <w:b/>
      <w:bCs/>
      <w:kern w:val="2"/>
      <w:sz w:val="21"/>
      <w:szCs w:val="24"/>
    </w:rPr>
  </w:style>
  <w:style w:type="character" w:customStyle="1" w:styleId="18">
    <w:name w:val="页脚 字符"/>
    <w:basedOn w:val="11"/>
    <w:link w:val="6"/>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2691</Words>
  <Characters>2825</Characters>
  <Lines>17</Lines>
  <Paragraphs>5</Paragraphs>
  <TotalTime>0</TotalTime>
  <ScaleCrop>false</ScaleCrop>
  <LinksUpToDate>false</LinksUpToDate>
  <CharactersWithSpaces>2826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2022-07-23T03:33:00Z</dcterms:created>
  <dc:creator>王榕</dc:creator>
  <cp:lastModifiedBy>hjx</cp:lastModifiedBy>
  <cp:lastPrinted>2021-06-04T03:18:00Z</cp:lastPrinted>
  <dcterms:modified xsi:type="dcterms:W3CDTF">2023-04-04T01:31:17Z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F23C9BEC00974BE2B0D56CC035589C07</vt:lpwstr>
  </property>
</Properties>
</file>