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南山区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关于促进经济稳定增长努力实现2020年目标的若干措施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聘请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法律顾问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资助项目操作规程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为深入贯彻落实习近平总书记关于统筹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推进疫情防控和经济社会发展工作的重要指示精神，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力争把疫情造成的损失降到最低限度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根据《南山区关于促进经济稳定增长努力实现2020年目标的若干措施》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制定本操作规程。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黑体"/>
          <w:b w:val="0"/>
          <w:bCs w:val="0"/>
          <w:color w:val="auto"/>
          <w:sz w:val="32"/>
          <w:szCs w:val="32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</w:rPr>
        <w:t>一、政策内容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促进辖区律师事务所与企业之间的法律服务供需对接，助力辖区企业抵御疫情风险，合法复产复工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  <w:highlight w:val="none"/>
        </w:rPr>
        <w:t>二、资助方式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</w:rPr>
        <w:t>本项资助属于核准类项目，资助资金的安排使用坚持公平、公开、公正的原则，实行自愿申报、科学决策和绩效评估的管理制度，采取无偿资助方式和事后补贴制，受资助项目无需验收。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黑体"/>
          <w:b w:val="0"/>
          <w:bCs w:val="0"/>
          <w:color w:val="auto"/>
          <w:sz w:val="32"/>
          <w:szCs w:val="32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</w:rPr>
        <w:t>三、资助标准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对与辖区律师事务所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2020年1-7月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期间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签订“法律顾问合同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（限常年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法律顾问合同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”的辖区“四上”企业，按照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实际支付的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合同费用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0%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，给予最高不超过8万元的补贴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；对与辖区内律师事务所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2020年1-7月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期间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签订“法律顾问合同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（限常年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法律顾问合同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”的辖区非“四上”企业，按照实际支付的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合同费用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0%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，给予最高不超过3万元的补贴。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黑体"/>
          <w:b w:val="0"/>
          <w:bCs w:val="0"/>
          <w:color w:val="auto"/>
          <w:sz w:val="32"/>
          <w:szCs w:val="32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</w:rPr>
        <w:t>四、申请条件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ascii="楷体_GB2312" w:hAnsi="仿宋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（一）申请本项资金资助的企业应符合以下基本条件：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1、在南山辖区内注册，具有独立法人资格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“四上”企业名单以区统计局提供名单为准；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2、申报企业应是与辖区律师事务所签订的常年法律顾问合同，辖区律师事务所名单以区司法局提供名单为准；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履行统计数据申报义务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（不含非“四上”企业）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、守法经营、诚实守信、有规范的财务管理制度。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ascii="楷体_GB2312" w:hAnsi="仿宋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仿宋" w:eastAsia="楷体_GB2312"/>
          <w:b w:val="0"/>
          <w:bCs w:val="0"/>
          <w:color w:val="auto"/>
          <w:sz w:val="32"/>
          <w:szCs w:val="32"/>
        </w:rPr>
        <w:t>（二）有下列情况之一的，专项资金不予资助：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1、近三年内在税收、安全生产、环保、劳动等方面存在重大违法行为，受到有关部门行政处罚的；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2、申报材料有弄虚作假情况的；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3、近三年内申请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单位以及单位法人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存在违规申报使用政府资金、商业贿赂、不良信用记录等情况的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4、提出资助申请后，将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企业注册地搬离南山和未按规定提交统计报表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（不含非“四上”企业）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、在产业发展综合服务平台填报相关数据的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hint="eastAsia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</w:rPr>
        <w:t>五、办理流程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 xml:space="preserve">    （一）申请单位按照操作规程的要求备齐资料，通过南山区产业发展综合服务平台提出资助申请，并按要求将有关材料递交区企业服务中心窗口；</w:t>
      </w:r>
    </w:p>
    <w:p>
      <w:pPr>
        <w:pStyle w:val="8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　　（二）区企业服务中心统一受理单位申请，对申请单位的资质和申报材料进行核查，不符合受理条件的，不予受理；资料不全的，一次性告知对方需补齐的资料；符合受理条件且资料齐备的，将企业申请材料分送资金主管部门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（三）资金主管部门进行核准（需要第三方机构进行专项审计）；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区司法、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区统计部门核查有关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）资金主管部门编制项目资助计划；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）区财政部门、区统计部门、</w:t>
      </w:r>
      <w:r>
        <w:rPr>
          <w:rFonts w:eastAsia="仿宋_GB2312"/>
          <w:b w:val="0"/>
          <w:bCs w:val="0"/>
          <w:color w:val="auto"/>
          <w:sz w:val="32"/>
          <w:szCs w:val="32"/>
        </w:rPr>
        <w:t>市市场监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督管理局</w:t>
      </w:r>
      <w:r>
        <w:rPr>
          <w:rFonts w:eastAsia="仿宋_GB2312"/>
          <w:b w:val="0"/>
          <w:bCs w:val="0"/>
          <w:color w:val="auto"/>
          <w:sz w:val="32"/>
          <w:szCs w:val="32"/>
        </w:rPr>
        <w:t>南山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分</w:t>
      </w:r>
      <w:r>
        <w:rPr>
          <w:rFonts w:eastAsia="仿宋_GB2312"/>
          <w:b w:val="0"/>
          <w:bCs w:val="0"/>
          <w:color w:val="auto"/>
          <w:sz w:val="32"/>
          <w:szCs w:val="32"/>
        </w:rPr>
        <w:t>局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分别对企业的地方财力贡献、在地统计开展情况和注册情况等进行核查；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）拟资助项目向社会公示5个工作日；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）区专项资金领导小组审定；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）资金主管部门会同区财政部门联合行文下达资金计划；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）资金主管部门办理资金拨付手续。</w:t>
      </w:r>
    </w:p>
    <w:p>
      <w:pPr>
        <w:pStyle w:val="8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eastAsia="黑体"/>
          <w:b w:val="0"/>
          <w:bCs w:val="0"/>
          <w:color w:val="auto"/>
          <w:sz w:val="32"/>
          <w:szCs w:val="32"/>
        </w:rPr>
      </w:pPr>
      <w:r>
        <w:rPr>
          <w:rFonts w:hint="eastAsia" w:hAnsi="黑体" w:eastAsia="黑体"/>
          <w:b w:val="0"/>
          <w:bCs w:val="0"/>
          <w:color w:val="auto"/>
          <w:sz w:val="32"/>
          <w:szCs w:val="32"/>
        </w:rPr>
        <w:t xml:space="preserve">     六、所需材料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《项目申请书》（登录南山区产业发展综合服务平台http://sfms.szns.gov.cn/在线填写，待审核通过后从系统打印申请表纸质文件原件）；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营业执照（三证合一新版，未换领三证合一新版营业执照的，提交原旧版营业执照、组织机构代码证书、税务登记证书）（网上提交资料要求：原件彩色扫描上传；纸质材料要求：验原件，复印件加盖公章）；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（三）法定代表人身份证（网上提交资料要求：原件（复印件加盖公章）彩色扫描上传；纸质材料要求：复印件加盖公章）；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税务部门开具的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年度纳税证明（网上提交资料要求：扫描上传税务申报系统下载的电子版；纸质材料要求：税务申报系统下载电子版打印并加盖公章）；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（五）常年法律顾问合同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（网上提交资料要求：扫描上传；纸质材料要求：验原件，复印件加盖公章）；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银行转账凭证及对应发票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（网上提交资料要求：扫描上传；纸质材料要求：复印件加盖公章）；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（七）其他与项目有关的说明材料。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接到递交纸质材料通知后，将上述材料A4纸正反面打印/复印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一式一份，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材料清单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顺序装订，非空白页（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含封面）需连续编写页码，装订成册（胶装），加盖骑缝章提交。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color w:val="auto"/>
          <w:kern w:val="2"/>
          <w:sz w:val="32"/>
          <w:szCs w:val="32"/>
        </w:rPr>
        <w:t>七、时限要求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安排1-2次集中受理企业申请（具体时间以发布的申报通知为准），资助计划下达1个月内受资助单位须办理资金拨付手续，逾期不办理者视为自动放弃。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color w:val="auto"/>
          <w:kern w:val="2"/>
          <w:sz w:val="32"/>
          <w:szCs w:val="32"/>
        </w:rPr>
        <w:t>八、其他事项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申请本项目资助的企业应保证其申报材料的完整性、真实性、准确性及合法性，并承担所提交的项目申报材料的相关法律责任，如有虚假或侵权等行为，该项目申请无效。如事后发现存在以上行为，本资金主管部门将保留依法追究其与相关单位法律责任的权利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b w:val="0"/>
          <w:bCs w:val="0"/>
          <w:color w:val="auto"/>
          <w:kern w:val="2"/>
          <w:sz w:val="32"/>
          <w:szCs w:val="32"/>
        </w:rPr>
        <w:t>九、附则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本规程由南山区工业和信息化局负责解释，自发布之日起施行。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仿宋" w:eastAsia="仿宋" w:cs="Times New Roman"/>
          <w:b w:val="0"/>
          <w:bCs w:val="0"/>
          <w:color w:val="auto"/>
          <w:kern w:val="2"/>
          <w:sz w:val="32"/>
          <w:szCs w:val="32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仿宋" w:eastAsia="仿宋" w:cs="Times New Roman"/>
          <w:b w:val="0"/>
          <w:bCs w:val="0"/>
          <w:color w:val="auto"/>
          <w:kern w:val="2"/>
          <w:sz w:val="32"/>
          <w:szCs w:val="32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仿宋" w:eastAsia="仿宋" w:cs="Times New Roman"/>
          <w:b w:val="0"/>
          <w:bCs w:val="0"/>
          <w:color w:val="auto"/>
          <w:kern w:val="2"/>
          <w:sz w:val="32"/>
          <w:szCs w:val="32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仿宋" w:eastAsia="仿宋" w:cs="Times New Roman"/>
          <w:b w:val="0"/>
          <w:bCs w:val="0"/>
          <w:color w:val="auto"/>
          <w:kern w:val="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 w:val="0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5A25"/>
    <w:rsid w:val="01690B18"/>
    <w:rsid w:val="02D85A25"/>
    <w:rsid w:val="15DE57A2"/>
    <w:rsid w:val="2B612462"/>
    <w:rsid w:val="32BD16BA"/>
    <w:rsid w:val="3EB149AE"/>
    <w:rsid w:val="412F2CE1"/>
    <w:rsid w:val="43156795"/>
    <w:rsid w:val="4B0776FA"/>
    <w:rsid w:val="567539AB"/>
    <w:rsid w:val="6D476AB2"/>
    <w:rsid w:val="6D844E9B"/>
    <w:rsid w:val="6DE50F01"/>
    <w:rsid w:val="777D3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2020-05-14T09:35:00Z</dcterms:created>
  <dc:creator>Menchures</dc:creator>
  <cp:lastModifiedBy>Menchures</cp:lastModifiedBy>
  <cp:lastPrinted>2020-05-15T09:47:00Z</cp:lastPrinted>
  <dcterms:modified xsi:type="dcterms:W3CDTF">2020-05-20T09:28:03Z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