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63"/>
        </w:tabs>
        <w:snapToGrid w:val="0"/>
        <w:spacing w:line="500" w:lineRule="exact"/>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 xml:space="preserve">《南山区自主创新产业发展专项资金节能分项资金实施细则（征求意见稿）》征求社会公众意见及采纳情况一览表 </w:t>
      </w:r>
    </w:p>
    <w:tbl>
      <w:tblPr>
        <w:tblStyle w:val="4"/>
        <w:tblW w:w="1516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02"/>
        <w:gridCol w:w="5103"/>
        <w:gridCol w:w="113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13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单位名称</w:t>
            </w:r>
          </w:p>
        </w:tc>
        <w:tc>
          <w:tcPr>
            <w:tcW w:w="51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szCs w:val="24"/>
              </w:rPr>
            </w:pPr>
            <w:r>
              <w:rPr>
                <w:rFonts w:ascii="仿宋" w:hAnsi="仿宋" w:eastAsia="仿宋"/>
                <w:b/>
                <w:sz w:val="24"/>
                <w:szCs w:val="24"/>
              </w:rPr>
              <w:t>意见内容</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是否</w:t>
            </w:r>
          </w:p>
          <w:p>
            <w:pPr>
              <w:jc w:val="center"/>
              <w:rPr>
                <w:rFonts w:ascii="仿宋" w:hAnsi="仿宋" w:eastAsia="仿宋"/>
                <w:b/>
                <w:sz w:val="24"/>
                <w:szCs w:val="24"/>
              </w:rPr>
            </w:pPr>
            <w:r>
              <w:rPr>
                <w:rFonts w:hint="eastAsia" w:ascii="仿宋" w:hAnsi="仿宋" w:eastAsia="仿宋"/>
                <w:b/>
                <w:sz w:val="24"/>
                <w:szCs w:val="24"/>
              </w:rPr>
              <w:t>采纳</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3" w:hRule="atLeast"/>
        </w:trPr>
        <w:tc>
          <w:tcPr>
            <w:tcW w:w="825" w:type="dxa"/>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w:t>
            </w:r>
          </w:p>
        </w:tc>
        <w:tc>
          <w:tcPr>
            <w:tcW w:w="1302" w:type="dxa"/>
            <w:tcBorders>
              <w:top w:val="single" w:color="auto" w:sz="4" w:space="0"/>
              <w:left w:val="single" w:color="auto" w:sz="4" w:space="0"/>
              <w:right w:val="single" w:color="auto" w:sz="4" w:space="0"/>
            </w:tcBorders>
            <w:vAlign w:val="center"/>
          </w:tcPr>
          <w:p>
            <w:pPr>
              <w:jc w:val="center"/>
            </w:pPr>
            <w:r>
              <w:rPr>
                <w:rFonts w:hint="eastAsia" w:ascii="宋体" w:hAnsi="宋体" w:cs="宋体"/>
                <w:kern w:val="0"/>
                <w:sz w:val="24"/>
                <w:szCs w:val="24"/>
              </w:rPr>
              <w:t>市民：李鹏</w:t>
            </w:r>
            <w:r>
              <w:rPr>
                <w:rFonts w:ascii="宋体" w:hAnsi="宋体" w:cs="宋体"/>
                <w:kern w:val="0"/>
                <w:sz w:val="24"/>
                <w:szCs w:val="24"/>
              </w:rPr>
              <w:t xml:space="preserve"> </w:t>
            </w:r>
            <w:r>
              <w:rPr>
                <w:rFonts w:hint="eastAsia"/>
              </w:rPr>
              <w:t xml:space="preserve"> </w:t>
            </w:r>
          </w:p>
        </w:tc>
        <w:tc>
          <w:tcPr>
            <w:tcW w:w="5103" w:type="dxa"/>
            <w:tcBorders>
              <w:top w:val="single" w:color="auto" w:sz="4" w:space="0"/>
              <w:left w:val="single" w:color="auto" w:sz="4" w:space="0"/>
              <w:right w:val="single" w:color="auto" w:sz="4" w:space="0"/>
            </w:tcBorders>
            <w:vAlign w:val="center"/>
          </w:tcPr>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1、新实施细则无异议。</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2、经了解，关于节能减排技改项目补助合并至</w:t>
            </w:r>
            <w:bookmarkStart w:id="0" w:name="_GoBack"/>
            <w:bookmarkEnd w:id="0"/>
            <w:r>
              <w:rPr>
                <w:rFonts w:hint="eastAsia" w:ascii="仿宋_GB2312" w:hAnsi="仿宋_GB2312" w:eastAsia="仿宋_GB2312" w:cs="仿宋_GB2312"/>
                <w:kern w:val="0"/>
                <w:sz w:val="32"/>
                <w:szCs w:val="32"/>
              </w:rPr>
              <w:t>工信局技术改造补贴，工信局对于技改项目申报采用备案制，并且对投资金额有500万要求，门槛偏高，为加强节能技改项目的推广和发展，建议对节能减排技改项目下调投资金额要求。</w:t>
            </w:r>
          </w:p>
        </w:tc>
        <w:tc>
          <w:tcPr>
            <w:tcW w:w="1134" w:type="dxa"/>
            <w:tcBorders>
              <w:top w:val="single" w:color="auto" w:sz="4" w:space="0"/>
              <w:left w:val="single" w:color="auto" w:sz="4" w:space="0"/>
              <w:right w:val="single" w:color="auto" w:sz="4" w:space="0"/>
            </w:tcBorders>
            <w:vAlign w:val="center"/>
          </w:tcPr>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区工信局已采纳</w:t>
            </w:r>
          </w:p>
          <w:p>
            <w:pPr>
              <w:adjustRightInd w:val="0"/>
              <w:snapToGrid w:val="0"/>
              <w:spacing w:line="480" w:lineRule="exact"/>
              <w:jc w:val="center"/>
              <w:rPr>
                <w:rFonts w:ascii="仿宋_GB2312" w:hAnsi="仿宋" w:eastAsia="仿宋_GB2312"/>
                <w:sz w:val="24"/>
                <w:szCs w:val="24"/>
              </w:rPr>
            </w:pPr>
            <w:r>
              <w:rPr>
                <w:rFonts w:hint="eastAsia" w:ascii="仿宋_GB2312" w:hAnsi="仿宋" w:eastAsia="仿宋_GB2312"/>
                <w:sz w:val="24"/>
                <w:szCs w:val="24"/>
              </w:rPr>
              <w:t xml:space="preserve"> </w:t>
            </w:r>
          </w:p>
        </w:tc>
        <w:tc>
          <w:tcPr>
            <w:tcW w:w="6804" w:type="dxa"/>
            <w:tcBorders>
              <w:top w:val="single" w:color="auto" w:sz="4" w:space="0"/>
              <w:left w:val="single" w:color="auto" w:sz="4" w:space="0"/>
              <w:right w:val="single" w:color="auto" w:sz="4" w:space="0"/>
            </w:tcBorders>
            <w:vAlign w:val="center"/>
          </w:tcPr>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工信局正在对相关条款进行修订，已公示的《南山区自主创新产业发展专项资金经济发展分项资金实施细则》（征求意见稿）第二十一条：对技术改造投资纳入南山区统计或产值纳入南山区统计或在南山区纳税的企业，按照其上年度在深圳市内实施工业技术改造投资额的一定比例，结合技改投资金额、产值贡献、税收贡献等因素，给予资助，每家企业每年资助额最高1000万元。</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44F3"/>
    <w:rsid w:val="001744F3"/>
    <w:rsid w:val="0021318E"/>
    <w:rsid w:val="002C59F5"/>
    <w:rsid w:val="00394E11"/>
    <w:rsid w:val="003B39F2"/>
    <w:rsid w:val="003F05A1"/>
    <w:rsid w:val="006C4DD8"/>
    <w:rsid w:val="006D466C"/>
    <w:rsid w:val="00724A03"/>
    <w:rsid w:val="007E754F"/>
    <w:rsid w:val="00A90050"/>
    <w:rsid w:val="00A96257"/>
    <w:rsid w:val="00BB5B76"/>
    <w:rsid w:val="00E41EF0"/>
    <w:rsid w:val="00F90F9A"/>
    <w:rsid w:val="45F30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1"/>
    <w:basedOn w:val="1"/>
    <w:qFormat/>
    <w:uiPriority w:val="0"/>
    <w:pPr>
      <w:ind w:firstLine="420" w:firstLineChars="200"/>
    </w:pPr>
    <w:rPr>
      <w:rFonts w:ascii="Calibri" w:hAnsi="Calibri"/>
      <w:sz w:val="32"/>
      <w:szCs w:val="32"/>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328</Characters>
  <Lines>2</Lines>
  <Paragraphs>1</Paragraphs>
  <TotalTime>14</TotalTime>
  <ScaleCrop>false</ScaleCrop>
  <LinksUpToDate>false</LinksUpToDate>
  <CharactersWithSpaces>384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2020-08-20T03:01:00Z</dcterms:created>
  <dc:creator>发改局林静</dc:creator>
  <cp:lastModifiedBy>发改局帐户</cp:lastModifiedBy>
  <dcterms:modified xsi:type="dcterms:W3CDTF">2020-08-20T03:57:22Z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