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w:t>
      </w:r>
      <w:r>
        <w:rPr>
          <w:rFonts w:hint="eastAsia" w:eastAsia="黑体"/>
          <w:color w:val="000000" w:themeColor="text1"/>
          <w:spacing w:val="-14"/>
          <w:sz w:val="32"/>
          <w:szCs w:val="32"/>
          <w:highlight w:val="none"/>
          <w:lang w:val="en-US" w:eastAsia="zh-CN"/>
          <w14:textFill>
            <w14:solidFill>
              <w14:schemeClr w14:val="tx1"/>
            </w14:solidFill>
          </w14:textFill>
        </w:rPr>
        <w:t>促进电竞产业发展专项扶持措施</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支持研发电竞游戏及衍生内容</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3</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kern w:val="0"/>
          <w:sz w:val="32"/>
          <w:szCs w:val="32"/>
          <w:highlight w:val="none"/>
          <w14:textFill>
            <w14:solidFill>
              <w14:schemeClr w14:val="tx1"/>
            </w14:solidFill>
          </w14:textFill>
        </w:rPr>
        <w:t>为支持研发绿色健康、具有中国文化特色和南山元素的原创电竞游戏产品，鼓励电竞游戏衍生品开发，支持以电竞为主题的数字内容在电影院线、省级以上电视台和重点网络平台上播出，根据《南山区促进现代产业高质量发展专项资金管理办法》和《</w:t>
      </w:r>
      <w:r>
        <w:rPr>
          <w:rFonts w:hint="eastAsia" w:ascii="仿宋_GB2312" w:hAnsi="仿宋" w:eastAsia="仿宋_GB2312"/>
          <w:color w:val="000000" w:themeColor="text1"/>
          <w:sz w:val="32"/>
          <w:szCs w:val="32"/>
          <w:highlight w:val="none"/>
          <w14:textFill>
            <w14:solidFill>
              <w14:schemeClr w14:val="tx1"/>
            </w14:solidFill>
          </w14:textFill>
        </w:rPr>
        <w:t>南山区</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促进</w:t>
      </w:r>
      <w:r>
        <w:rPr>
          <w:rFonts w:hint="eastAsia" w:ascii="仿宋_GB2312" w:hAnsi="仿宋" w:eastAsia="仿宋_GB2312"/>
          <w:color w:val="000000" w:themeColor="text1"/>
          <w:sz w:val="32"/>
          <w:szCs w:val="32"/>
          <w:highlight w:val="none"/>
          <w14:textFill>
            <w14:solidFill>
              <w14:schemeClr w14:val="tx1"/>
            </w14:solidFill>
          </w14:textFill>
        </w:rPr>
        <w:t>电竞产业发展专项扶持措施</w:t>
      </w:r>
      <w:r>
        <w:rPr>
          <w:rFonts w:hint="eastAsia" w:ascii="仿宋_GB2312" w:hAnsi="仿宋" w:eastAsia="仿宋_GB2312"/>
          <w:color w:val="000000" w:themeColor="text1"/>
          <w:kern w:val="0"/>
          <w:sz w:val="32"/>
          <w:szCs w:val="32"/>
          <w:highlight w:val="none"/>
          <w14:textFill>
            <w14:solidFill>
              <w14:schemeClr w14:val="tx1"/>
            </w14:solidFill>
          </w14:textFill>
        </w:rPr>
        <w:t>》，</w:t>
      </w:r>
      <w:r>
        <w:rPr>
          <w:rFonts w:hint="eastAsia" w:ascii="仿宋_GB2312" w:hAnsi="仿宋" w:eastAsia="仿宋_GB2312"/>
          <w:color w:val="000000" w:themeColor="text1"/>
          <w:sz w:val="32"/>
          <w:szCs w:val="32"/>
          <w:highlight w:val="none"/>
          <w14:textFill>
            <w14:solidFill>
              <w14:schemeClr w14:val="tx1"/>
            </w14:solidFill>
          </w14:textFill>
        </w:rPr>
        <w:t>制定本操作规程。</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pStyle w:val="15"/>
        <w:tabs>
          <w:tab w:val="left" w:pos="0"/>
        </w:tabs>
        <w:spacing w:line="560" w:lineRule="exact"/>
        <w:ind w:firstLine="640"/>
        <w:rPr>
          <w:rFonts w:ascii="仿宋_GB2312" w:hAnsi="仿宋" w:eastAsia="仿宋_GB2312" w:cs="仿宋"/>
          <w:bCs/>
          <w:color w:val="000000" w:themeColor="text1"/>
          <w:sz w:val="32"/>
          <w:highlight w:val="none"/>
          <w14:textFill>
            <w14:solidFill>
              <w14:schemeClr w14:val="tx1"/>
            </w14:solidFill>
          </w14:textFill>
        </w:rPr>
      </w:pPr>
      <w:r>
        <w:rPr>
          <w:rFonts w:hint="eastAsia" w:ascii="仿宋_GB2312" w:hAnsi="仿宋" w:eastAsia="仿宋_GB2312" w:cs="仿宋"/>
          <w:bCs/>
          <w:color w:val="000000" w:themeColor="text1"/>
          <w:sz w:val="32"/>
          <w:highlight w:val="none"/>
          <w14:textFill>
            <w14:solidFill>
              <w14:schemeClr w14:val="tx1"/>
            </w14:solidFill>
          </w14:textFill>
        </w:rPr>
        <w:t>（一）电竞游戏产品开发。支持游戏企业开发绿色健康、具有中国文化特色和南山元素的原创电竞游戏产品，按照运营首年度营收的</w:t>
      </w:r>
      <w:r>
        <w:rPr>
          <w:rFonts w:ascii="仿宋_GB2312" w:hAnsi="仿宋" w:eastAsia="仿宋_GB2312" w:cs="仿宋"/>
          <w:bCs/>
          <w:color w:val="000000" w:themeColor="text1"/>
          <w:sz w:val="32"/>
          <w:highlight w:val="none"/>
          <w14:textFill>
            <w14:solidFill>
              <w14:schemeClr w14:val="tx1"/>
            </w14:solidFill>
          </w14:textFill>
        </w:rPr>
        <w:t>10%给予奖励，每家单位每年</w:t>
      </w:r>
      <w:r>
        <w:rPr>
          <w:rFonts w:hint="eastAsia" w:ascii="仿宋_GB2312" w:hAnsi="仿宋" w:eastAsia="仿宋_GB2312" w:cs="仿宋"/>
          <w:bCs/>
          <w:color w:val="000000" w:themeColor="text1"/>
          <w:sz w:val="32"/>
          <w:highlight w:val="none"/>
          <w14:textFill>
            <w14:solidFill>
              <w14:schemeClr w14:val="tx1"/>
            </w14:solidFill>
          </w14:textFill>
        </w:rPr>
        <w:t>奖励</w:t>
      </w:r>
      <w:r>
        <w:rPr>
          <w:rFonts w:ascii="仿宋_GB2312" w:hAnsi="仿宋" w:eastAsia="仿宋_GB2312" w:cs="仿宋"/>
          <w:bCs/>
          <w:color w:val="000000" w:themeColor="text1"/>
          <w:sz w:val="32"/>
          <w:highlight w:val="none"/>
          <w14:textFill>
            <w14:solidFill>
              <w14:schemeClr w14:val="tx1"/>
            </w14:solidFill>
          </w14:textFill>
        </w:rPr>
        <w:t>金额最高不超过100万元</w:t>
      </w:r>
      <w:r>
        <w:rPr>
          <w:rFonts w:hint="eastAsia" w:ascii="仿宋_GB2312" w:hAnsi="仿宋" w:eastAsia="仿宋_GB2312" w:cs="仿宋"/>
          <w:bCs/>
          <w:color w:val="000000" w:themeColor="text1"/>
          <w:sz w:val="32"/>
          <w:highlight w:val="none"/>
          <w14:textFill>
            <w14:solidFill>
              <w14:schemeClr w14:val="tx1"/>
            </w14:solidFill>
          </w14:textFill>
        </w:rPr>
        <w:t>。</w:t>
      </w:r>
    </w:p>
    <w:p>
      <w:pPr>
        <w:adjustRightInd w:val="0"/>
        <w:snapToGrid w:val="0"/>
        <w:spacing w:line="560" w:lineRule="exact"/>
        <w:ind w:firstLine="640" w:firstLineChars="200"/>
        <w:rPr>
          <w:rFonts w:hAnsi="仿宋" w:eastAsia="仿宋"/>
          <w:color w:val="000000" w:themeColor="text1"/>
          <w:kern w:val="0"/>
          <w:sz w:val="32"/>
          <w:szCs w:val="32"/>
          <w:highlight w:val="none"/>
          <w14:textFill>
            <w14:solidFill>
              <w14:schemeClr w14:val="tx1"/>
            </w14:solidFill>
          </w14:textFill>
        </w:rPr>
      </w:pPr>
      <w:r>
        <w:rPr>
          <w:rFonts w:hint="eastAsia" w:ascii="仿宋_GB2312" w:hAnsi="仿宋" w:eastAsia="仿宋_GB2312" w:cs="仿宋"/>
          <w:bCs/>
          <w:color w:val="000000" w:themeColor="text1"/>
          <w:sz w:val="32"/>
          <w:highlight w:val="none"/>
          <w14:textFill>
            <w14:solidFill>
              <w14:schemeClr w14:val="tx1"/>
            </w14:solidFill>
          </w14:textFill>
        </w:rPr>
        <w:t>（二）电竞衍生内容开发。支持动漫和影视企业创作以电竞为主题的动漫、电影、电视剧、网络剧等，在</w:t>
      </w:r>
      <w:r>
        <w:rPr>
          <w:rFonts w:hint="eastAsia" w:ascii="仿宋_GB2312" w:hAnsi="宋体" w:eastAsia="仿宋_GB2312" w:cs="仿宋"/>
          <w:color w:val="000000" w:themeColor="text1"/>
          <w:sz w:val="32"/>
          <w:szCs w:val="32"/>
          <w:highlight w:val="none"/>
          <w14:textFill>
            <w14:solidFill>
              <w14:schemeClr w14:val="tx1"/>
            </w14:solidFill>
          </w14:textFill>
        </w:rPr>
        <w:t>院线、省级以上电视台或重点网络视频平台播出的，</w:t>
      </w:r>
      <w:r>
        <w:rPr>
          <w:rFonts w:hint="eastAsia" w:ascii="仿宋_GB2312" w:hAnsi="宋体" w:eastAsia="仿宋_GB2312"/>
          <w:color w:val="000000" w:themeColor="text1"/>
          <w:sz w:val="32"/>
          <w:szCs w:val="32"/>
          <w:highlight w:val="none"/>
          <w14:textFill>
            <w14:solidFill>
              <w14:schemeClr w14:val="tx1"/>
            </w14:solidFill>
          </w14:textFill>
        </w:rPr>
        <w:t>按照播出首年度营收的15%给予奖励，</w:t>
      </w:r>
      <w:r>
        <w:rPr>
          <w:rFonts w:hint="eastAsia" w:ascii="仿宋_GB2312" w:hAnsi="宋体" w:eastAsia="仿宋_GB2312" w:cs="仿宋"/>
          <w:color w:val="000000" w:themeColor="text1"/>
          <w:sz w:val="32"/>
          <w:szCs w:val="32"/>
          <w:highlight w:val="none"/>
          <w14:textFill>
            <w14:solidFill>
              <w14:schemeClr w14:val="tx1"/>
            </w14:solidFill>
          </w14:textFill>
        </w:rPr>
        <w:t>每家单位每年不超过100万元。</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本项资金资助属于核准类项目，资助资金的安排使用坚持公平、公开、公正的原则，实行自愿申报、科学决策和绩效评估的管理制度，采取无偿资助方式和事后补贴制，受资助项目无需验收。</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本项资助申报主体年度获得的资助总额原则上不超过其上年度形成的南山区级地方财力贡献。申报单位上年度形成的南山区地方财力贡献以区财政局最后核算的数额为准。</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pStyle w:val="15"/>
        <w:tabs>
          <w:tab w:val="left" w:pos="0"/>
        </w:tabs>
        <w:spacing w:line="560" w:lineRule="exact"/>
        <w:ind w:firstLine="640"/>
        <w:rPr>
          <w:rFonts w:ascii="仿宋" w:hAnsi="仿宋" w:eastAsia="仿宋" w:cs="Times New Roman"/>
          <w:color w:val="000000" w:themeColor="text1"/>
          <w:sz w:val="32"/>
          <w:szCs w:val="32"/>
          <w:highlight w:val="none"/>
          <w14:textFill>
            <w14:solidFill>
              <w14:schemeClr w14:val="tx1"/>
            </w14:solidFill>
          </w14:textFill>
        </w:rPr>
      </w:pPr>
      <w:r>
        <w:rPr>
          <w:rFonts w:hint="eastAsia" w:ascii="仿宋_GB2312" w:hAnsi="仿宋" w:eastAsia="仿宋_GB2312" w:cs="仿宋"/>
          <w:b/>
          <w:bCs w:val="0"/>
          <w:color w:val="000000" w:themeColor="text1"/>
          <w:sz w:val="32"/>
          <w:highlight w:val="none"/>
          <w:lang w:val="en-US" w:eastAsia="zh-CN"/>
          <w14:textFill>
            <w14:solidFill>
              <w14:schemeClr w14:val="tx1"/>
            </w14:solidFill>
          </w14:textFill>
        </w:rPr>
        <w:t>1.</w:t>
      </w:r>
      <w:r>
        <w:rPr>
          <w:rFonts w:hint="eastAsia" w:ascii="仿宋_GB2312" w:hAnsi="仿宋" w:eastAsia="仿宋_GB2312" w:cs="仿宋"/>
          <w:b/>
          <w:bCs w:val="0"/>
          <w:color w:val="000000" w:themeColor="text1"/>
          <w:sz w:val="32"/>
          <w:highlight w:val="none"/>
          <w14:textFill>
            <w14:solidFill>
              <w14:schemeClr w14:val="tx1"/>
            </w14:solidFill>
          </w14:textFill>
        </w:rPr>
        <w:t>电竞游戏产品开发。</w:t>
      </w:r>
      <w:r>
        <w:rPr>
          <w:rFonts w:hint="eastAsia" w:ascii="仿宋_GB2312" w:hAnsi="仿宋" w:eastAsia="仿宋_GB2312" w:cs="仿宋"/>
          <w:bCs/>
          <w:color w:val="000000" w:themeColor="text1"/>
          <w:sz w:val="32"/>
          <w:highlight w:val="none"/>
          <w14:textFill>
            <w14:solidFill>
              <w14:schemeClr w14:val="tx1"/>
            </w14:solidFill>
          </w14:textFill>
        </w:rPr>
        <w:t>支持游戏企业开发绿色健康、具有中国文化特色和南山元素的原创电竞游戏产品，按照运营首年度营收的</w:t>
      </w:r>
      <w:r>
        <w:rPr>
          <w:rFonts w:ascii="仿宋_GB2312" w:hAnsi="仿宋" w:eastAsia="仿宋_GB2312" w:cs="仿宋"/>
          <w:bCs/>
          <w:color w:val="000000" w:themeColor="text1"/>
          <w:sz w:val="32"/>
          <w:highlight w:val="none"/>
          <w14:textFill>
            <w14:solidFill>
              <w14:schemeClr w14:val="tx1"/>
            </w14:solidFill>
          </w14:textFill>
        </w:rPr>
        <w:t>10%给予奖励，每家单位每年</w:t>
      </w:r>
      <w:r>
        <w:rPr>
          <w:rFonts w:hint="eastAsia" w:ascii="仿宋_GB2312" w:hAnsi="仿宋" w:eastAsia="仿宋_GB2312" w:cs="仿宋"/>
          <w:bCs/>
          <w:color w:val="000000" w:themeColor="text1"/>
          <w:sz w:val="32"/>
          <w:highlight w:val="none"/>
          <w14:textFill>
            <w14:solidFill>
              <w14:schemeClr w14:val="tx1"/>
            </w14:solidFill>
          </w14:textFill>
        </w:rPr>
        <w:t>奖励</w:t>
      </w:r>
      <w:r>
        <w:rPr>
          <w:rFonts w:ascii="仿宋_GB2312" w:hAnsi="仿宋" w:eastAsia="仿宋_GB2312" w:cs="仿宋"/>
          <w:bCs/>
          <w:color w:val="000000" w:themeColor="text1"/>
          <w:sz w:val="32"/>
          <w:highlight w:val="none"/>
          <w14:textFill>
            <w14:solidFill>
              <w14:schemeClr w14:val="tx1"/>
            </w14:solidFill>
          </w14:textFill>
        </w:rPr>
        <w:t>金额最高不超过100万元</w:t>
      </w:r>
      <w:r>
        <w:rPr>
          <w:rFonts w:hint="eastAsia" w:ascii="仿宋_GB2312" w:hAnsi="仿宋" w:eastAsia="仿宋_GB2312" w:cs="仿宋"/>
          <w:bCs/>
          <w:color w:val="000000" w:themeColor="text1"/>
          <w:sz w:val="32"/>
          <w:highlight w:val="none"/>
          <w14:textFill>
            <w14:solidFill>
              <w14:schemeClr w14:val="tx1"/>
            </w14:solidFill>
          </w14:textFill>
        </w:rPr>
        <w:t>。</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5"/>
        <w:tabs>
          <w:tab w:val="left" w:pos="0"/>
        </w:tabs>
        <w:spacing w:line="560" w:lineRule="exact"/>
        <w:ind w:firstLine="640"/>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sz w:val="32"/>
          <w:szCs w:val="32"/>
          <w:highlight w:val="none"/>
          <w14:textFill>
            <w14:solidFill>
              <w14:schemeClr w14:val="tx1"/>
            </w14:solidFill>
          </w14:textFill>
        </w:rPr>
        <w:t>1）原创电竞游戏，须符合社会主义核心价值观，且须具有中国文化特色和南山元素，需提供相关证明材料。</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rPr>
        <w:t>2）奖励范围为原创</w:t>
      </w:r>
      <w:r>
        <w:rPr>
          <w:rFonts w:hint="eastAsia" w:ascii="仿宋_GB2312" w:hAnsi="黑体" w:eastAsia="仿宋_GB2312"/>
          <w:spacing w:val="4"/>
          <w:sz w:val="32"/>
          <w:highlight w:val="none"/>
          <w:lang w:val="en-US" w:eastAsia="zh-CN"/>
        </w:rPr>
        <w:t>电竞</w:t>
      </w:r>
      <w:r>
        <w:rPr>
          <w:rFonts w:hint="eastAsia" w:ascii="仿宋_GB2312" w:hAnsi="黑体" w:eastAsia="仿宋_GB2312"/>
          <w:spacing w:val="4"/>
          <w:sz w:val="32"/>
          <w:highlight w:val="none"/>
        </w:rPr>
        <w:t>游戏产品上两个年度内首次公开发售或投入运营之后12个月内所产生的全部收入；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仿宋_GB2312" w:hAnsi="宋体" w:eastAsia="仿宋_GB2312" w:cs="宋体"/>
          <w:spacing w:val="4"/>
          <w:kern w:val="0"/>
          <w:sz w:val="32"/>
          <w:szCs w:val="32"/>
          <w:highlight w:val="none"/>
        </w:rPr>
        <w:t>3）收入为不含税。产生收入时间在上两个年度内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p>
    <w:p>
      <w:pPr>
        <w:pStyle w:val="15"/>
        <w:tabs>
          <w:tab w:val="left" w:pos="0"/>
        </w:tabs>
        <w:spacing w:line="560" w:lineRule="exact"/>
        <w:ind w:firstLine="640"/>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仿宋"/>
          <w:b/>
          <w:bCs w:val="0"/>
          <w:color w:val="000000" w:themeColor="text1"/>
          <w:sz w:val="32"/>
          <w:highlight w:val="none"/>
          <w:lang w:val="en-US" w:eastAsia="zh-CN"/>
          <w14:textFill>
            <w14:solidFill>
              <w14:schemeClr w14:val="tx1"/>
            </w14:solidFill>
          </w14:textFill>
        </w:rPr>
        <w:t>2.</w:t>
      </w:r>
      <w:r>
        <w:rPr>
          <w:rFonts w:hint="eastAsia" w:ascii="仿宋_GB2312" w:hAnsi="仿宋" w:eastAsia="仿宋_GB2312" w:cs="仿宋"/>
          <w:b/>
          <w:bCs w:val="0"/>
          <w:color w:val="000000" w:themeColor="text1"/>
          <w:sz w:val="32"/>
          <w:highlight w:val="none"/>
          <w14:textFill>
            <w14:solidFill>
              <w14:schemeClr w14:val="tx1"/>
            </w14:solidFill>
          </w14:textFill>
        </w:rPr>
        <w:t>电竞衍生内容开发。</w:t>
      </w:r>
      <w:r>
        <w:rPr>
          <w:rFonts w:hint="eastAsia" w:ascii="仿宋_GB2312" w:hAnsi="仿宋" w:eastAsia="仿宋_GB2312" w:cs="仿宋"/>
          <w:bCs/>
          <w:color w:val="000000" w:themeColor="text1"/>
          <w:sz w:val="32"/>
          <w:highlight w:val="none"/>
          <w14:textFill>
            <w14:solidFill>
              <w14:schemeClr w14:val="tx1"/>
            </w14:solidFill>
          </w14:textFill>
        </w:rPr>
        <w:t>支持动漫和影视企业创作以电竞为主题的动漫、电影、电视剧、网络剧等，在电影院线、或省级以上电视台、或重点网络视频平台播出的，</w:t>
      </w:r>
      <w:r>
        <w:rPr>
          <w:rFonts w:hint="eastAsia" w:ascii="仿宋_GB2312" w:hAnsi="仿宋_GB2312" w:eastAsia="仿宋_GB2312"/>
          <w:color w:val="000000" w:themeColor="text1"/>
          <w:sz w:val="32"/>
          <w:szCs w:val="32"/>
          <w:highlight w:val="none"/>
          <w14:textFill>
            <w14:solidFill>
              <w14:schemeClr w14:val="tx1"/>
            </w14:solidFill>
          </w14:textFill>
        </w:rPr>
        <w:t>按照播出首年度总营收的15%给予奖励，</w:t>
      </w:r>
      <w:r>
        <w:rPr>
          <w:rFonts w:hint="eastAsia" w:ascii="仿宋_GB2312" w:hAnsi="仿宋" w:eastAsia="仿宋_GB2312" w:cs="仿宋"/>
          <w:color w:val="000000" w:themeColor="text1"/>
          <w:sz w:val="32"/>
          <w:szCs w:val="32"/>
          <w:highlight w:val="none"/>
          <w14:textFill>
            <w14:solidFill>
              <w14:schemeClr w14:val="tx1"/>
            </w14:solidFill>
          </w14:textFill>
        </w:rPr>
        <w:t>每家单位每年奖励金额最高不超过100万元。</w:t>
      </w:r>
    </w:p>
    <w:p>
      <w:pPr>
        <w:pStyle w:val="15"/>
        <w:tabs>
          <w:tab w:val="left" w:pos="0"/>
        </w:tabs>
        <w:spacing w:line="560" w:lineRule="exact"/>
        <w:ind w:firstLine="64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sz w:val="32"/>
          <w:szCs w:val="32"/>
          <w:highlight w:val="none"/>
          <w14:textFill>
            <w14:solidFill>
              <w14:schemeClr w14:val="tx1"/>
            </w14:solidFill>
          </w14:textFill>
        </w:rPr>
        <w:t>1）电竞衍生内容，必须是以电竞为主题的</w:t>
      </w:r>
      <w:r>
        <w:rPr>
          <w:rFonts w:hint="eastAsia" w:ascii="仿宋_GB2312" w:hAnsi="仿宋" w:eastAsia="仿宋_GB2312" w:cs="仿宋"/>
          <w:bCs/>
          <w:color w:val="000000" w:themeColor="text1"/>
          <w:sz w:val="32"/>
          <w:highlight w:val="none"/>
          <w14:textFill>
            <w14:solidFill>
              <w14:schemeClr w14:val="tx1"/>
            </w14:solidFill>
          </w14:textFill>
        </w:rPr>
        <w:t>动漫、电影、电视剧、网络剧等作品</w:t>
      </w:r>
      <w:r>
        <w:rPr>
          <w:rFonts w:hint="eastAsia" w:ascii="仿宋_GB2312" w:hAnsi="仿宋" w:eastAsia="仿宋_GB2312" w:cs="Times New Roman"/>
          <w:color w:val="000000" w:themeColor="text1"/>
          <w:sz w:val="32"/>
          <w:szCs w:val="32"/>
          <w:highlight w:val="none"/>
          <w14:textFill>
            <w14:solidFill>
              <w14:schemeClr w14:val="tx1"/>
            </w14:solidFill>
          </w14:textFill>
        </w:rPr>
        <w:t>，且</w:t>
      </w:r>
      <w:r>
        <w:rPr>
          <w:rFonts w:hint="eastAsia" w:ascii="仿宋_GB2312" w:hAnsi="宋体" w:eastAsia="仿宋_GB2312" w:cs="宋体"/>
          <w:spacing w:val="4"/>
          <w:kern w:val="0"/>
          <w:sz w:val="32"/>
          <w:szCs w:val="32"/>
          <w:highlight w:val="none"/>
        </w:rPr>
        <w:t>申报主体</w:t>
      </w:r>
      <w:r>
        <w:rPr>
          <w:rFonts w:hint="eastAsia" w:ascii="仿宋_GB2312" w:hAnsi="宋体" w:eastAsia="仿宋_GB2312" w:cs="宋体"/>
          <w:spacing w:val="4"/>
          <w:kern w:val="0"/>
          <w:sz w:val="32"/>
          <w:szCs w:val="32"/>
          <w:highlight w:val="none"/>
          <w:lang w:val="en-US" w:eastAsia="zh-CN"/>
        </w:rPr>
        <w:t>须</w:t>
      </w:r>
      <w:r>
        <w:rPr>
          <w:rFonts w:hint="eastAsia" w:ascii="仿宋_GB2312" w:hAnsi="宋体" w:eastAsia="仿宋_GB2312" w:cs="宋体"/>
          <w:spacing w:val="4"/>
          <w:kern w:val="0"/>
          <w:sz w:val="32"/>
          <w:szCs w:val="32"/>
          <w:highlight w:val="none"/>
        </w:rPr>
        <w:t>为</w:t>
      </w:r>
      <w:r>
        <w:rPr>
          <w:rFonts w:hint="eastAsia" w:ascii="仿宋_GB2312" w:hAnsi="仿宋" w:eastAsia="仿宋_GB2312" w:cs="Times New Roman"/>
          <w:color w:val="000000" w:themeColor="text1"/>
          <w:sz w:val="32"/>
          <w:szCs w:val="32"/>
          <w:highlight w:val="none"/>
          <w14:textFill>
            <w14:solidFill>
              <w14:schemeClr w14:val="tx1"/>
            </w14:solidFill>
          </w14:textFill>
        </w:rPr>
        <w:t>电竞衍生内容</w:t>
      </w:r>
      <w:r>
        <w:rPr>
          <w:rFonts w:hint="eastAsia" w:ascii="仿宋_GB2312" w:eastAsia="仿宋_GB2312"/>
          <w:spacing w:val="4"/>
          <w:sz w:val="32"/>
          <w:szCs w:val="32"/>
          <w:highlight w:val="none"/>
          <w:lang w:eastAsia="zh-CN"/>
        </w:rPr>
        <w:t>开发商，</w:t>
      </w:r>
      <w:r>
        <w:rPr>
          <w:rFonts w:hint="eastAsia" w:ascii="仿宋_GB2312" w:eastAsia="仿宋_GB2312"/>
          <w:spacing w:val="4"/>
          <w:sz w:val="32"/>
          <w:szCs w:val="32"/>
          <w:highlight w:val="none"/>
          <w:lang w:val="en-US" w:eastAsia="zh-CN"/>
        </w:rPr>
        <w:t>如</w:t>
      </w:r>
      <w:r>
        <w:rPr>
          <w:rFonts w:hint="eastAsia" w:ascii="仿宋_GB2312" w:hAnsi="宋体" w:eastAsia="仿宋_GB2312" w:cs="宋体"/>
          <w:spacing w:val="4"/>
          <w:kern w:val="0"/>
          <w:sz w:val="32"/>
          <w:szCs w:val="32"/>
          <w:highlight w:val="none"/>
          <w:lang w:eastAsia="zh-CN"/>
        </w:rPr>
        <w:t>非第一出品方</w:t>
      </w:r>
      <w:r>
        <w:rPr>
          <w:rFonts w:hint="eastAsia" w:ascii="仿宋_GB2312" w:hAnsi="宋体" w:eastAsia="仿宋_GB2312" w:cs="宋体"/>
          <w:spacing w:val="4"/>
          <w:kern w:val="0"/>
          <w:sz w:val="32"/>
          <w:szCs w:val="32"/>
          <w:highlight w:val="none"/>
          <w:lang w:val="en-US" w:eastAsia="zh-CN"/>
        </w:rPr>
        <w:t>还</w:t>
      </w:r>
      <w:r>
        <w:rPr>
          <w:rFonts w:hint="eastAsia" w:ascii="仿宋_GB2312" w:hAnsi="宋体" w:eastAsia="仿宋_GB2312" w:cs="宋体"/>
          <w:spacing w:val="4"/>
          <w:kern w:val="0"/>
          <w:sz w:val="32"/>
          <w:szCs w:val="32"/>
          <w:highlight w:val="none"/>
          <w:lang w:eastAsia="zh-CN"/>
        </w:rPr>
        <w:t>需获得前位出品方的放弃申报声明</w:t>
      </w:r>
      <w:r>
        <w:rPr>
          <w:rFonts w:hint="eastAsia" w:ascii="仿宋_GB2312" w:hAnsi="宋体" w:eastAsia="仿宋_GB2312" w:cs="宋体"/>
          <w:spacing w:val="4"/>
          <w:kern w:val="0"/>
          <w:sz w:val="32"/>
          <w:szCs w:val="32"/>
          <w:highlight w:val="none"/>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rPr>
        <w:t>2）奖励范围为上</w:t>
      </w:r>
      <w:bookmarkStart w:id="0" w:name="OLE_LINK61"/>
      <w:r>
        <w:rPr>
          <w:rFonts w:hint="eastAsia" w:ascii="仿宋_GB2312" w:hAnsi="黑体" w:eastAsia="仿宋_GB2312"/>
          <w:spacing w:val="4"/>
          <w:sz w:val="32"/>
          <w:highlight w:val="none"/>
        </w:rPr>
        <w:t>两个年度内</w:t>
      </w:r>
      <w:bookmarkEnd w:id="0"/>
      <w:r>
        <w:rPr>
          <w:rFonts w:hint="eastAsia" w:ascii="仿宋_GB2312" w:hAnsi="黑体" w:eastAsia="仿宋_GB2312"/>
          <w:spacing w:val="4"/>
          <w:sz w:val="32"/>
          <w:highlight w:val="none"/>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仿宋_GB2312" w:hAnsi="宋体" w:eastAsia="仿宋_GB2312" w:cs="宋体"/>
          <w:spacing w:val="4"/>
          <w:kern w:val="0"/>
          <w:sz w:val="32"/>
          <w:szCs w:val="32"/>
          <w:highlight w:val="none"/>
        </w:rPr>
        <w:t>3）收入为不含税。产生收入时间在上两个年度内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申报主体登陆“i南山企业服务综合平台”（https://www.inanshan.org.cn/），网上提交项目申报材料；</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区企业发展服务中心将拟资助项目向社会公示5个工作日，对公示期满，无有效投诉的项目资助计划，再提交</w:t>
      </w:r>
      <w:r>
        <w:rPr>
          <w:rFonts w:hint="eastAsia"/>
          <w:color w:val="000000" w:themeColor="text1"/>
          <w:highlight w:val="none"/>
          <w:lang w:eastAsia="zh-CN"/>
          <w14:textFill>
            <w14:solidFill>
              <w14:schemeClr w14:val="tx1"/>
            </w14:solidFill>
          </w14:textFill>
        </w:rPr>
        <w:t>专责</w:t>
      </w:r>
      <w:r>
        <w:rPr>
          <w:rFonts w:hint="eastAsia"/>
          <w:color w:val="000000" w:themeColor="text1"/>
          <w:highlight w:val="none"/>
          <w14:textFill>
            <w14:solidFill>
              <w14:schemeClr w14:val="tx1"/>
            </w14:solidFill>
          </w14:textFill>
        </w:rPr>
        <w:t>小组会议进行审议；</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pPr>
      <w:r>
        <w:rPr>
          <w:rFonts w:hint="eastAsia" w:ascii="仿宋_GB2312" w:eastAsia="仿宋_GB2312" w:cs="Times New Roman"/>
          <w:color w:val="000000" w:themeColor="text1"/>
          <w:kern w:val="2"/>
          <w:sz w:val="32"/>
          <w:szCs w:val="24"/>
          <w:highlight w:val="none"/>
          <w:lang w:val="en-US" w:eastAsia="zh-CN" w:bidi="ar-SA"/>
          <w14:textFill>
            <w14:solidFill>
              <w14:schemeClr w14:val="tx1"/>
            </w14:solidFill>
          </w14:textFill>
        </w:rPr>
        <w:t>7.</w:t>
      </w:r>
      <w:r>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①申请类别为</w:t>
      </w:r>
      <w:r>
        <w:rPr>
          <w:rFonts w:hint="eastAsia" w:ascii="仿宋_GB2312" w:hAnsi="仿宋" w:eastAsia="仿宋_GB2312" w:cs="仿宋"/>
          <w:bCs/>
          <w:color w:val="000000" w:themeColor="text1"/>
          <w:sz w:val="32"/>
          <w:highlight w:val="none"/>
          <w14:textFill>
            <w14:solidFill>
              <w14:schemeClr w14:val="tx1"/>
            </w14:solidFill>
          </w14:textFill>
        </w:rPr>
        <w:t>电竞游戏产品开发，需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支持研发电竞游戏及衍生内容项目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9"/>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2" w:hRule="atLeast"/>
        </w:trPr>
        <w:tc>
          <w:tcPr>
            <w:tcW w:w="722"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序号</w:t>
            </w:r>
          </w:p>
        </w:tc>
        <w:tc>
          <w:tcPr>
            <w:tcW w:w="4405"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附件名称</w:t>
            </w:r>
          </w:p>
        </w:tc>
        <w:tc>
          <w:tcPr>
            <w:tcW w:w="1595" w:type="dxa"/>
            <w:vAlign w:val="center"/>
          </w:tcPr>
          <w:p>
            <w:pPr>
              <w:spacing w:line="240"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是否</w:t>
            </w:r>
          </w:p>
          <w:p>
            <w:pPr>
              <w:spacing w:line="240"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必备材料</w:t>
            </w:r>
          </w:p>
        </w:tc>
        <w:tc>
          <w:tcPr>
            <w:tcW w:w="2336"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bookmarkStart w:id="1" w:name="OLE_LINK86" w:colFirst="4" w:colLast="4"/>
            <w:bookmarkStart w:id="2" w:name="OLE_LINK85" w:colFirst="2" w:colLast="2"/>
            <w:r>
              <w:rPr>
                <w:rFonts w:hint="eastAsia" w:ascii="楷体" w:hAnsi="楷体" w:eastAsia="楷体" w:cs="楷体"/>
                <w:color w:val="000000" w:themeColor="text1"/>
                <w:sz w:val="24"/>
                <w:szCs w:val="24"/>
                <w:highlight w:val="none"/>
                <w14:textFill>
                  <w14:solidFill>
                    <w14:schemeClr w14:val="tx1"/>
                  </w14:solidFill>
                </w14:textFill>
              </w:rPr>
              <w:t>1</w:t>
            </w:r>
          </w:p>
        </w:tc>
        <w:tc>
          <w:tcPr>
            <w:tcW w:w="4405" w:type="dxa"/>
            <w:vAlign w:val="center"/>
          </w:tcPr>
          <w:p>
            <w:pPr>
              <w:spacing w:line="240" w:lineRule="atLeast"/>
              <w:ind w:left="-5"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0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bookmarkEnd w:id="1"/>
      <w:bookmarkEnd w:id="2"/>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7"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4</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首年度的实际</w:t>
            </w:r>
            <w:r>
              <w:rPr>
                <w:rFonts w:hint="eastAsia" w:ascii="楷体" w:hAnsi="楷体" w:eastAsia="楷体" w:cs="楷体"/>
                <w:color w:val="000000" w:themeColor="text1"/>
                <w:sz w:val="24"/>
                <w:szCs w:val="24"/>
                <w:highlight w:val="none"/>
                <w14:textFill>
                  <w14:solidFill>
                    <w14:schemeClr w14:val="tx1"/>
                  </w14:solidFill>
                </w14:textFill>
              </w:rPr>
              <w:t>收入</w:t>
            </w:r>
            <w:r>
              <w:rPr>
                <w:rFonts w:hint="eastAsia" w:ascii="楷体" w:hAnsi="楷体" w:eastAsia="楷体" w:cs="楷体"/>
                <w:color w:val="000000" w:themeColor="text1"/>
                <w:sz w:val="24"/>
                <w:szCs w:val="24"/>
                <w:highlight w:val="none"/>
                <w:lang w:val="en-US" w:eastAsia="zh-CN"/>
                <w14:textFill>
                  <w14:solidFill>
                    <w14:schemeClr w14:val="tx1"/>
                  </w14:solidFill>
                </w14:textFill>
              </w:rPr>
              <w:t>相关</w:t>
            </w:r>
            <w:r>
              <w:rPr>
                <w:rFonts w:hint="eastAsia" w:ascii="楷体" w:hAnsi="楷体" w:eastAsia="楷体" w:cs="楷体"/>
                <w:color w:val="000000" w:themeColor="text1"/>
                <w:sz w:val="24"/>
                <w:szCs w:val="24"/>
                <w:highlight w:val="none"/>
                <w14:textFill>
                  <w14:solidFill>
                    <w14:schemeClr w14:val="tx1"/>
                  </w14:solidFill>
                </w14:textFill>
              </w:rPr>
              <w:t>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sz w:val="24"/>
                <w:szCs w:val="24"/>
                <w:highlight w:val="none"/>
              </w:rPr>
              <w:t>收入发票、系统截图、银行往来凭证等</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5</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本作品知识产权证明材料（版权、著作权登记证书）</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运营该作品的</w:t>
            </w:r>
            <w:r>
              <w:rPr>
                <w:rFonts w:hint="eastAsia" w:ascii="楷体" w:hAnsi="楷体" w:eastAsia="楷体" w:cs="楷体"/>
                <w:sz w:val="24"/>
                <w:szCs w:val="24"/>
                <w:highlight w:val="none"/>
              </w:rPr>
              <w:t>政府相关部门批文</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2"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7</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运营该作品的合同（协议）</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tabs>
                <w:tab w:val="left" w:pos="219"/>
              </w:tabs>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8</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申请奖励项目收入到账明细表</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Excel表格上传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9</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遵循社会主义核心价值观的承诺函</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10</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具有中国文化特色和南山元素的证明材料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color w:val="000000" w:themeColor="text1"/>
                <w:sz w:val="24"/>
                <w:szCs w:val="24"/>
                <w:highlight w:val="none"/>
                <w:lang w:val="en-US" w:eastAsia="zh-CN"/>
                <w14:textFill>
                  <w14:solidFill>
                    <w14:schemeClr w14:val="tx1"/>
                  </w14:solidFill>
                </w14:textFill>
              </w:rPr>
              <w:t>包括但不限于设计灵感、设计小样、游戏截图等体现中国文化特色和南山元素的证明材料，文字和图片形式均可</w:t>
            </w:r>
            <w:r>
              <w:rPr>
                <w:rFonts w:hint="eastAsia" w:ascii="楷体" w:hAnsi="楷体" w:eastAsia="楷体" w:cs="楷体"/>
                <w:color w:val="000000" w:themeColor="text1"/>
                <w:sz w:val="24"/>
                <w:szCs w:val="24"/>
                <w:highlight w:val="none"/>
                <w:lang w:eastAsia="zh-CN"/>
                <w14:textFill>
                  <w14:solidFill>
                    <w14:schemeClr w14:val="tx1"/>
                  </w14:solidFill>
                </w14:textFill>
              </w:rPr>
              <w:t>）</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11</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作品样品（</w:t>
            </w:r>
            <w:r>
              <w:rPr>
                <w:rFonts w:hint="eastAsia" w:ascii="楷体" w:hAnsi="楷体" w:eastAsia="楷体" w:cs="楷体"/>
                <w:sz w:val="24"/>
                <w:szCs w:val="24"/>
                <w:highlight w:val="none"/>
                <w:lang w:val="en-US" w:eastAsia="zh-CN"/>
              </w:rPr>
              <w:t>包括但不限于</w:t>
            </w:r>
            <w:r>
              <w:rPr>
                <w:rFonts w:hint="eastAsia" w:ascii="楷体" w:hAnsi="楷体" w:eastAsia="楷体" w:cs="楷体"/>
                <w:sz w:val="24"/>
                <w:szCs w:val="24"/>
                <w:highlight w:val="none"/>
              </w:rPr>
              <w:t>截图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海报</w:t>
            </w:r>
            <w:r>
              <w:rPr>
                <w:rFonts w:hint="eastAsia" w:ascii="楷体" w:hAnsi="楷体" w:eastAsia="楷体" w:cs="楷体"/>
                <w:sz w:val="24"/>
                <w:szCs w:val="24"/>
                <w:highlight w:val="none"/>
              </w:rPr>
              <w:t>）</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12</w:t>
            </w:r>
          </w:p>
        </w:tc>
        <w:tc>
          <w:tcPr>
            <w:tcW w:w="4405" w:type="dxa"/>
            <w:vAlign w:val="center"/>
          </w:tcPr>
          <w:p>
            <w:pPr>
              <w:spacing w:line="240" w:lineRule="atLeast"/>
              <w:ind w:left="-5" w:right="42" w:rightChars="20"/>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作品属于电竞游戏产品的证明材料（包括但不限于举办电竞比赛的证明材料）</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lang w:val="en-US" w:eastAsia="zh-CN"/>
              </w:rPr>
              <w:t>13</w:t>
            </w:r>
          </w:p>
        </w:tc>
        <w:tc>
          <w:tcPr>
            <w:tcW w:w="4405" w:type="dxa"/>
            <w:vAlign w:val="center"/>
          </w:tcPr>
          <w:p>
            <w:pPr>
              <w:spacing w:line="240" w:lineRule="atLeast"/>
              <w:ind w:right="42" w:rightChars="20"/>
              <w:jc w:val="center"/>
              <w:rPr>
                <w:rFonts w:hint="eastAsia" w:ascii="楷体" w:hAnsi="楷体" w:eastAsia="楷体" w:cs="楷体"/>
                <w:sz w:val="24"/>
                <w:szCs w:val="24"/>
                <w:highlight w:val="none"/>
                <w:lang w:val="en-US" w:eastAsia="zh-CN"/>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14</w:t>
            </w:r>
          </w:p>
        </w:tc>
        <w:tc>
          <w:tcPr>
            <w:tcW w:w="4405" w:type="dxa"/>
            <w:vAlign w:val="center"/>
          </w:tcPr>
          <w:p>
            <w:pPr>
              <w:spacing w:line="240" w:lineRule="atLeast"/>
              <w:ind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bCs/>
                <w:iCs/>
                <w:color w:val="000000" w:themeColor="text1"/>
                <w:sz w:val="24"/>
                <w:szCs w:val="24"/>
                <w:highlight w:val="none"/>
                <w14:textFill>
                  <w14:solidFill>
                    <w14:schemeClr w14:val="tx1"/>
                  </w14:solidFill>
                </w14:textFill>
              </w:rPr>
              <w:t>其它附件</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②申请类别为</w:t>
      </w:r>
      <w:r>
        <w:rPr>
          <w:rFonts w:hint="eastAsia" w:ascii="仿宋_GB2312" w:hAnsi="仿宋" w:eastAsia="仿宋_GB2312" w:cs="仿宋"/>
          <w:bCs/>
          <w:color w:val="000000" w:themeColor="text1"/>
          <w:sz w:val="32"/>
          <w:highlight w:val="none"/>
          <w14:textFill>
            <w14:solidFill>
              <w14:schemeClr w14:val="tx1"/>
            </w14:solidFill>
          </w14:textFill>
        </w:rPr>
        <w:t>电竞衍生内容开发，需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支持研发电竞游戏及衍生内容项目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9"/>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序号</w:t>
            </w:r>
          </w:p>
        </w:tc>
        <w:tc>
          <w:tcPr>
            <w:tcW w:w="4405"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附件名称</w:t>
            </w:r>
          </w:p>
        </w:tc>
        <w:tc>
          <w:tcPr>
            <w:tcW w:w="1595"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是否</w:t>
            </w:r>
          </w:p>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必备材料</w:t>
            </w:r>
          </w:p>
        </w:tc>
        <w:tc>
          <w:tcPr>
            <w:tcW w:w="2336" w:type="dxa"/>
            <w:vAlign w:val="center"/>
          </w:tcPr>
          <w:p>
            <w:pPr>
              <w:spacing w:line="276" w:lineRule="auto"/>
              <w:jc w:val="center"/>
              <w:rPr>
                <w:rFonts w:hint="eastAsia" w:ascii="楷体" w:hAnsi="楷体" w:eastAsia="楷体" w:cs="楷体"/>
                <w:b/>
                <w:bCs/>
                <w:color w:val="000000" w:themeColor="text1"/>
                <w:sz w:val="24"/>
                <w:szCs w:val="24"/>
                <w:highlight w:val="none"/>
                <w14:textFill>
                  <w14:solidFill>
                    <w14:schemeClr w14:val="tx1"/>
                  </w14:solidFill>
                </w14:textFill>
              </w:rPr>
            </w:pPr>
            <w:r>
              <w:rPr>
                <w:rFonts w:hint="eastAsia" w:ascii="楷体" w:hAnsi="楷体" w:eastAsia="楷体" w:cs="楷体"/>
                <w:b/>
                <w:bCs/>
                <w:color w:val="000000" w:themeColor="text1"/>
                <w:sz w:val="24"/>
                <w:szCs w:val="24"/>
                <w:highlight w:val="none"/>
                <w14:textFill>
                  <w14:solidFill>
                    <w14:schemeClr w14:val="tx1"/>
                  </w14:solidFill>
                </w14:textFill>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1</w:t>
            </w:r>
          </w:p>
        </w:tc>
        <w:tc>
          <w:tcPr>
            <w:tcW w:w="4405" w:type="dxa"/>
            <w:vAlign w:val="center"/>
          </w:tcPr>
          <w:p>
            <w:pPr>
              <w:spacing w:line="240" w:lineRule="atLeast"/>
              <w:ind w:left="-5" w:leftChars="0" w:right="42" w:rightChars="20"/>
              <w:jc w:val="center"/>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2</w:t>
            </w:r>
          </w:p>
        </w:tc>
        <w:tc>
          <w:tcPr>
            <w:tcW w:w="440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3</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4</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首年度的实际运</w:t>
            </w:r>
            <w:r>
              <w:rPr>
                <w:rFonts w:hint="eastAsia" w:ascii="楷体" w:hAnsi="楷体" w:eastAsia="楷体" w:cs="楷体"/>
                <w:color w:val="000000" w:themeColor="text1"/>
                <w:sz w:val="24"/>
                <w:szCs w:val="24"/>
                <w:highlight w:val="none"/>
                <w14:textFill>
                  <w14:solidFill>
                    <w14:schemeClr w14:val="tx1"/>
                  </w14:solidFill>
                </w14:textFill>
              </w:rPr>
              <w:t>入</w:t>
            </w:r>
            <w:r>
              <w:rPr>
                <w:rFonts w:hint="eastAsia" w:ascii="楷体" w:hAnsi="楷体" w:eastAsia="楷体" w:cs="楷体"/>
                <w:color w:val="000000" w:themeColor="text1"/>
                <w:sz w:val="24"/>
                <w:szCs w:val="24"/>
                <w:highlight w:val="none"/>
                <w:lang w:val="en-US" w:eastAsia="zh-CN"/>
                <w14:textFill>
                  <w14:solidFill>
                    <w14:schemeClr w14:val="tx1"/>
                  </w14:solidFill>
                </w14:textFill>
              </w:rPr>
              <w:t>相关</w:t>
            </w:r>
            <w:r>
              <w:rPr>
                <w:rFonts w:hint="eastAsia" w:ascii="楷体" w:hAnsi="楷体" w:eastAsia="楷体" w:cs="楷体"/>
                <w:color w:val="000000" w:themeColor="text1"/>
                <w:sz w:val="24"/>
                <w:szCs w:val="24"/>
                <w:highlight w:val="none"/>
                <w14:textFill>
                  <w14:solidFill>
                    <w14:schemeClr w14:val="tx1"/>
                  </w14:solidFill>
                </w14:textFill>
              </w:rPr>
              <w:t>证明材料</w:t>
            </w:r>
            <w:r>
              <w:rPr>
                <w:rFonts w:hint="eastAsia" w:ascii="楷体" w:hAnsi="楷体" w:eastAsia="楷体" w:cs="楷体"/>
                <w:color w:val="000000" w:themeColor="text1"/>
                <w:sz w:val="24"/>
                <w:szCs w:val="24"/>
                <w:highlight w:val="none"/>
                <w:lang w:eastAsia="zh-CN"/>
                <w14:textFill>
                  <w14:solidFill>
                    <w14:schemeClr w14:val="tx1"/>
                  </w14:solidFill>
                </w14:textFill>
              </w:rPr>
              <w:t>、</w:t>
            </w:r>
            <w:r>
              <w:rPr>
                <w:rFonts w:hint="eastAsia" w:ascii="楷体" w:hAnsi="楷体" w:eastAsia="楷体" w:cs="楷体"/>
                <w:sz w:val="24"/>
                <w:szCs w:val="24"/>
                <w:highlight w:val="none"/>
              </w:rPr>
              <w:t>收入发票、系统截图、银行往来凭证等</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5</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本作品知识产权证明材料（版权、著作权登记证书）</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6</w:t>
            </w:r>
          </w:p>
        </w:tc>
        <w:tc>
          <w:tcPr>
            <w:tcW w:w="4405" w:type="dxa"/>
            <w:vAlign w:val="center"/>
          </w:tcPr>
          <w:p>
            <w:pPr>
              <w:spacing w:line="240" w:lineRule="atLeast"/>
              <w:ind w:left="-5" w:leftChars="0" w:right="42" w:rightChars="20"/>
              <w:jc w:val="center"/>
              <w:rPr>
                <w:rFonts w:hint="eastAsia" w:ascii="楷体" w:hAnsi="楷体" w:eastAsia="楷体" w:cs="楷体"/>
                <w:color w:val="000000" w:themeColor="text1"/>
                <w:sz w:val="24"/>
                <w:szCs w:val="24"/>
                <w:highlight w:val="none"/>
                <w:lang w:eastAsia="zh-CN"/>
                <w14:textFill>
                  <w14:solidFill>
                    <w14:schemeClr w14:val="tx1"/>
                  </w14:solidFill>
                </w14:textFill>
              </w:rPr>
            </w:pPr>
            <w:r>
              <w:rPr>
                <w:rFonts w:hint="eastAsia" w:ascii="楷体" w:hAnsi="楷体" w:eastAsia="楷体" w:cs="楷体"/>
                <w:sz w:val="24"/>
                <w:szCs w:val="24"/>
                <w:highlight w:val="none"/>
              </w:rPr>
              <w:t>出版/发行/播出</w:t>
            </w:r>
            <w:r>
              <w:rPr>
                <w:rFonts w:hint="eastAsia" w:ascii="楷体" w:hAnsi="楷体" w:eastAsia="楷体" w:cs="楷体"/>
                <w:color w:val="000000" w:themeColor="text1"/>
                <w:sz w:val="24"/>
                <w:szCs w:val="24"/>
                <w:highlight w:val="none"/>
                <w:lang w:val="en-US" w:eastAsia="zh-CN"/>
                <w14:textFill>
                  <w14:solidFill>
                    <w14:schemeClr w14:val="tx1"/>
                  </w14:solidFill>
                </w14:textFill>
              </w:rPr>
              <w:t>该作品的</w:t>
            </w:r>
            <w:r>
              <w:rPr>
                <w:rFonts w:hint="eastAsia" w:ascii="楷体" w:hAnsi="楷体" w:eastAsia="楷体" w:cs="楷体"/>
                <w:sz w:val="24"/>
                <w:szCs w:val="24"/>
                <w:highlight w:val="none"/>
              </w:rPr>
              <w:t>政府相关部门批文</w:t>
            </w:r>
          </w:p>
        </w:tc>
        <w:tc>
          <w:tcPr>
            <w:tcW w:w="1595" w:type="dxa"/>
            <w:vAlign w:val="center"/>
          </w:tcPr>
          <w:p>
            <w:pPr>
              <w:spacing w:line="276" w:lineRule="auto"/>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7</w:t>
            </w:r>
          </w:p>
        </w:tc>
        <w:tc>
          <w:tcPr>
            <w:tcW w:w="4405" w:type="dxa"/>
            <w:vAlign w:val="center"/>
          </w:tcPr>
          <w:p>
            <w:pPr>
              <w:spacing w:line="240" w:lineRule="atLeast"/>
              <w:ind w:left="-5" w:leftChars="0" w:right="42" w:rightChars="20"/>
              <w:jc w:val="center"/>
              <w:rPr>
                <w:rFonts w:hint="eastAsia" w:ascii="楷体" w:hAnsi="楷体" w:eastAsia="楷体" w:cs="楷体"/>
                <w:bCs/>
                <w:iCs/>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rPr>
              <w:t>出版/发行/播出</w:t>
            </w:r>
            <w:r>
              <w:rPr>
                <w:rFonts w:hint="eastAsia" w:ascii="楷体" w:hAnsi="楷体" w:eastAsia="楷体" w:cs="楷体"/>
                <w:color w:val="000000" w:themeColor="text1"/>
                <w:sz w:val="24"/>
                <w:szCs w:val="24"/>
                <w:highlight w:val="none"/>
                <w:lang w:val="en-US" w:eastAsia="zh-CN"/>
                <w14:textFill>
                  <w14:solidFill>
                    <w14:schemeClr w14:val="tx1"/>
                  </w14:solidFill>
                </w14:textFill>
              </w:rPr>
              <w:t>该作品的合同（协议）</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8</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作品以电竞为主题的证明材料</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lang w:val="en-US" w:eastAsia="zh-CN"/>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default" w:ascii="楷体" w:hAnsi="楷体" w:eastAsia="楷体" w:cs="楷体"/>
                <w:kern w:val="2"/>
                <w:sz w:val="24"/>
                <w:szCs w:val="24"/>
                <w:highlight w:val="none"/>
                <w:lang w:val="en-US" w:eastAsia="zh-CN" w:bidi="ar-SA"/>
              </w:rPr>
            </w:pPr>
            <w:r>
              <w:rPr>
                <w:rFonts w:hint="eastAsia" w:ascii="楷体" w:hAnsi="楷体" w:eastAsia="楷体" w:cs="楷体"/>
                <w:kern w:val="2"/>
                <w:sz w:val="24"/>
                <w:szCs w:val="24"/>
                <w:highlight w:val="none"/>
                <w:lang w:val="en-US" w:eastAsia="zh-CN" w:bidi="ar-SA"/>
              </w:rPr>
              <w:t>9</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申请奖励项目收入到账明细表</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Excel表格上传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default"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lang w:val="en-US" w:eastAsia="zh-CN"/>
              </w:rPr>
              <w:t>10</w:t>
            </w:r>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作品样品（</w:t>
            </w:r>
            <w:r>
              <w:rPr>
                <w:rFonts w:hint="eastAsia" w:ascii="楷体" w:hAnsi="楷体" w:eastAsia="楷体" w:cs="楷体"/>
                <w:sz w:val="24"/>
                <w:szCs w:val="24"/>
                <w:highlight w:val="none"/>
                <w:lang w:val="en-US" w:eastAsia="zh-CN"/>
              </w:rPr>
              <w:t>包括但不限于</w:t>
            </w:r>
            <w:r>
              <w:rPr>
                <w:rFonts w:hint="eastAsia" w:ascii="楷体" w:hAnsi="楷体" w:eastAsia="楷体" w:cs="楷体"/>
                <w:sz w:val="24"/>
                <w:szCs w:val="24"/>
                <w:highlight w:val="none"/>
              </w:rPr>
              <w:t>截图</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海报</w:t>
            </w:r>
            <w:r>
              <w:rPr>
                <w:rFonts w:hint="eastAsia" w:ascii="楷体" w:hAnsi="楷体" w:eastAsia="楷体" w:cs="楷体"/>
                <w:sz w:val="24"/>
                <w:szCs w:val="24"/>
                <w:highlight w:val="none"/>
              </w:rPr>
              <w:t>）</w:t>
            </w:r>
          </w:p>
        </w:tc>
        <w:tc>
          <w:tcPr>
            <w:tcW w:w="1595" w:type="dxa"/>
            <w:vAlign w:val="center"/>
          </w:tcPr>
          <w:p>
            <w:pPr>
              <w:spacing w:line="240" w:lineRule="atLeast"/>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default"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11</w:t>
            </w:r>
          </w:p>
        </w:tc>
        <w:tc>
          <w:tcPr>
            <w:tcW w:w="4405"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sz w:val="24"/>
                <w:szCs w:val="24"/>
                <w:highlight w:val="none"/>
                <w:lang w:val="en-US" w:eastAsia="zh-CN"/>
              </w:rPr>
              <w:t>是</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1</w:t>
            </w:r>
            <w:r>
              <w:rPr>
                <w:rFonts w:hint="eastAsia" w:ascii="楷体" w:hAnsi="楷体" w:eastAsia="楷体" w:cs="楷体"/>
                <w:sz w:val="24"/>
                <w:szCs w:val="24"/>
                <w:highlight w:val="none"/>
                <w:lang w:val="en-US" w:eastAsia="zh-CN"/>
              </w:rPr>
              <w:t>2</w:t>
            </w:r>
            <w:bookmarkStart w:id="3" w:name="_GoBack"/>
            <w:bookmarkEnd w:id="3"/>
          </w:p>
        </w:tc>
        <w:tc>
          <w:tcPr>
            <w:tcW w:w="4405" w:type="dxa"/>
            <w:vAlign w:val="center"/>
          </w:tcPr>
          <w:p>
            <w:pPr>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其它附件</w:t>
            </w:r>
          </w:p>
        </w:tc>
        <w:tc>
          <w:tcPr>
            <w:tcW w:w="1595" w:type="dxa"/>
            <w:vAlign w:val="center"/>
          </w:tcPr>
          <w:p>
            <w:pPr>
              <w:spacing w:line="276" w:lineRule="auto"/>
              <w:jc w:val="center"/>
              <w:rPr>
                <w:rFonts w:hint="eastAsia" w:ascii="楷体" w:hAnsi="楷体" w:eastAsia="楷体" w:cs="楷体"/>
                <w:color w:val="000000" w:themeColor="text1"/>
                <w:kern w:val="2"/>
                <w:sz w:val="24"/>
                <w:szCs w:val="24"/>
                <w:highlight w:val="none"/>
                <w:lang w:val="en-US" w:eastAsia="zh-CN" w:bidi="ar-SA"/>
                <w14:textFill>
                  <w14:solidFill>
                    <w14:schemeClr w14:val="tx1"/>
                  </w14:solidFill>
                </w14:textFill>
              </w:rPr>
            </w:pPr>
            <w:r>
              <w:rPr>
                <w:rFonts w:hint="eastAsia" w:ascii="楷体" w:hAnsi="楷体" w:eastAsia="楷体" w:cs="楷体"/>
                <w:color w:val="000000" w:themeColor="text1"/>
                <w:sz w:val="24"/>
                <w:szCs w:val="24"/>
                <w:highlight w:val="none"/>
                <w:lang w:val="en-US" w:eastAsia="zh-CN"/>
                <w14:textFill>
                  <w14:solidFill>
                    <w14:schemeClr w14:val="tx1"/>
                  </w14:solidFill>
                </w14:textFill>
              </w:rPr>
              <w:t>否</w:t>
            </w:r>
          </w:p>
        </w:tc>
        <w:tc>
          <w:tcPr>
            <w:tcW w:w="2336" w:type="dxa"/>
            <w:vMerge w:val="continue"/>
            <w:vAlign w:val="center"/>
          </w:tcPr>
          <w:p>
            <w:pPr>
              <w:spacing w:line="240" w:lineRule="atLeast"/>
              <w:jc w:val="left"/>
              <w:rPr>
                <w:rFonts w:hint="eastAsia" w:ascii="楷体" w:hAnsi="楷体" w:eastAsia="楷体" w:cs="楷体"/>
                <w:color w:val="000000" w:themeColor="text1"/>
                <w:sz w:val="24"/>
                <w:szCs w:val="24"/>
                <w:highlight w:val="none"/>
                <w14:textFill>
                  <w14:solidFill>
                    <w14:schemeClr w14:val="tx1"/>
                  </w14:solidFill>
                </w14:textFill>
              </w:rPr>
            </w:pPr>
          </w:p>
        </w:tc>
      </w:tr>
    </w:tbl>
    <w:p>
      <w:pPr>
        <w:pStyle w:val="7"/>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7"/>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7"/>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7"/>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7793761"/>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left" w:pos="7208"/>
        <w:tab w:val="clear" w:pos="4153"/>
      </w:tabs>
      <w:jc w:val="both"/>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3NmZlZGU2MTUxNzU1NDM0ZTgzOGI1YzBkOTcxZTMifQ=="/>
  </w:docVars>
  <w:rsids>
    <w:rsidRoot w:val="1E9B000F"/>
    <w:rsid w:val="00024D3C"/>
    <w:rsid w:val="00031E90"/>
    <w:rsid w:val="000B0273"/>
    <w:rsid w:val="00115BCC"/>
    <w:rsid w:val="001421E0"/>
    <w:rsid w:val="00143A36"/>
    <w:rsid w:val="0016393F"/>
    <w:rsid w:val="001B0C22"/>
    <w:rsid w:val="002133DE"/>
    <w:rsid w:val="0026218E"/>
    <w:rsid w:val="0040362C"/>
    <w:rsid w:val="004329C4"/>
    <w:rsid w:val="00456C09"/>
    <w:rsid w:val="00475747"/>
    <w:rsid w:val="00484F4E"/>
    <w:rsid w:val="00581EF9"/>
    <w:rsid w:val="005C1AD0"/>
    <w:rsid w:val="006255F8"/>
    <w:rsid w:val="00651611"/>
    <w:rsid w:val="006B22B4"/>
    <w:rsid w:val="00765457"/>
    <w:rsid w:val="00785D52"/>
    <w:rsid w:val="007A42C1"/>
    <w:rsid w:val="007E59AE"/>
    <w:rsid w:val="008058F8"/>
    <w:rsid w:val="00896F3C"/>
    <w:rsid w:val="008A06B8"/>
    <w:rsid w:val="008B0EB5"/>
    <w:rsid w:val="008C75B3"/>
    <w:rsid w:val="008D3C58"/>
    <w:rsid w:val="00920AE3"/>
    <w:rsid w:val="00933C65"/>
    <w:rsid w:val="009B0D2F"/>
    <w:rsid w:val="009B273E"/>
    <w:rsid w:val="009E2DAA"/>
    <w:rsid w:val="009F4297"/>
    <w:rsid w:val="00A24237"/>
    <w:rsid w:val="00A82793"/>
    <w:rsid w:val="00AD6040"/>
    <w:rsid w:val="00AE260C"/>
    <w:rsid w:val="00B101C1"/>
    <w:rsid w:val="00B17BF3"/>
    <w:rsid w:val="00B803E6"/>
    <w:rsid w:val="00BA51AB"/>
    <w:rsid w:val="00BA5F30"/>
    <w:rsid w:val="00BC034D"/>
    <w:rsid w:val="00BD6E4F"/>
    <w:rsid w:val="00CA4770"/>
    <w:rsid w:val="00CD5E3B"/>
    <w:rsid w:val="00CE00CC"/>
    <w:rsid w:val="00CE1FF7"/>
    <w:rsid w:val="00CE6F5B"/>
    <w:rsid w:val="00D818FD"/>
    <w:rsid w:val="00DF10BB"/>
    <w:rsid w:val="00E040F9"/>
    <w:rsid w:val="00EA5699"/>
    <w:rsid w:val="00F2135A"/>
    <w:rsid w:val="00F2602B"/>
    <w:rsid w:val="00F3450B"/>
    <w:rsid w:val="00F85813"/>
    <w:rsid w:val="00F95C5E"/>
    <w:rsid w:val="00FB6C39"/>
    <w:rsid w:val="01904948"/>
    <w:rsid w:val="0381433E"/>
    <w:rsid w:val="04E15802"/>
    <w:rsid w:val="06DD2A01"/>
    <w:rsid w:val="07B923BD"/>
    <w:rsid w:val="08E00673"/>
    <w:rsid w:val="095C7285"/>
    <w:rsid w:val="0D246BD4"/>
    <w:rsid w:val="0D672AD6"/>
    <w:rsid w:val="0F7E4DAA"/>
    <w:rsid w:val="104D08F5"/>
    <w:rsid w:val="119C505E"/>
    <w:rsid w:val="11E80AD6"/>
    <w:rsid w:val="12FB6FE8"/>
    <w:rsid w:val="168B0344"/>
    <w:rsid w:val="17897EC4"/>
    <w:rsid w:val="1E395720"/>
    <w:rsid w:val="1E9B000F"/>
    <w:rsid w:val="1FAD4DE8"/>
    <w:rsid w:val="20531BD9"/>
    <w:rsid w:val="28180E9D"/>
    <w:rsid w:val="2A0E4549"/>
    <w:rsid w:val="2DFA4E12"/>
    <w:rsid w:val="2EF24C5F"/>
    <w:rsid w:val="365F39E8"/>
    <w:rsid w:val="37B104F6"/>
    <w:rsid w:val="3E2F3F8D"/>
    <w:rsid w:val="3F0F2990"/>
    <w:rsid w:val="3F480F09"/>
    <w:rsid w:val="42D91274"/>
    <w:rsid w:val="431D4C7D"/>
    <w:rsid w:val="432C2634"/>
    <w:rsid w:val="47300CCE"/>
    <w:rsid w:val="4A6807A1"/>
    <w:rsid w:val="4BB73CA2"/>
    <w:rsid w:val="4C6D1422"/>
    <w:rsid w:val="4E92280E"/>
    <w:rsid w:val="4F4A1802"/>
    <w:rsid w:val="517F2225"/>
    <w:rsid w:val="51E41294"/>
    <w:rsid w:val="53420220"/>
    <w:rsid w:val="53794425"/>
    <w:rsid w:val="5619233F"/>
    <w:rsid w:val="591D6ADB"/>
    <w:rsid w:val="5D683F19"/>
    <w:rsid w:val="5D8D13ED"/>
    <w:rsid w:val="62C44CF3"/>
    <w:rsid w:val="64561B9C"/>
    <w:rsid w:val="69191FBD"/>
    <w:rsid w:val="6B160A7F"/>
    <w:rsid w:val="6D1546D2"/>
    <w:rsid w:val="6D3414FD"/>
    <w:rsid w:val="719549B3"/>
    <w:rsid w:val="774C1ED8"/>
    <w:rsid w:val="7B1E74DC"/>
    <w:rsid w:val="7D9C7CC2"/>
    <w:rsid w:val="7F190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footer"/>
    <w:basedOn w:val="1"/>
    <w:link w:val="18"/>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7"/>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character" w:customStyle="1" w:styleId="13">
    <w:name w:val="font51"/>
    <w:basedOn w:val="11"/>
    <w:qFormat/>
    <w:uiPriority w:val="0"/>
    <w:rPr>
      <w:rFonts w:hint="eastAsia" w:ascii="宋体" w:hAnsi="宋体" w:eastAsia="宋体" w:cs="宋体"/>
      <w:color w:val="000000"/>
      <w:sz w:val="24"/>
      <w:szCs w:val="24"/>
      <w:u w:val="none"/>
    </w:rPr>
  </w:style>
  <w:style w:type="character" w:customStyle="1" w:styleId="14">
    <w:name w:val="页眉 字符"/>
    <w:basedOn w:val="11"/>
    <w:link w:val="6"/>
    <w:qFormat/>
    <w:uiPriority w:val="0"/>
    <w:rPr>
      <w:kern w:val="2"/>
      <w:sz w:val="18"/>
      <w:szCs w:val="18"/>
    </w:rPr>
  </w:style>
  <w:style w:type="paragraph" w:customStyle="1" w:styleId="15">
    <w:name w:val="列出段落1"/>
    <w:basedOn w:val="1"/>
    <w:qFormat/>
    <w:uiPriority w:val="34"/>
    <w:pPr>
      <w:ind w:firstLine="420" w:firstLineChars="200"/>
    </w:pPr>
    <w:rPr>
      <w:rFonts w:ascii="Calibri" w:hAnsi="Calibri" w:cs="宋体"/>
    </w:rPr>
  </w:style>
  <w:style w:type="character" w:customStyle="1" w:styleId="16">
    <w:name w:val="批注文字 字符"/>
    <w:basedOn w:val="11"/>
    <w:link w:val="3"/>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 w:type="character" w:customStyle="1" w:styleId="18">
    <w:name w:val="页脚 字符"/>
    <w:basedOn w:val="11"/>
    <w:link w:val="5"/>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2697</Words>
  <Characters>2840</Characters>
  <Lines>17</Lines>
  <Paragraphs>4</Paragraphs>
  <TotalTime>1</TotalTime>
  <ScaleCrop>false</ScaleCrop>
  <LinksUpToDate>false</LinksUpToDate>
  <CharactersWithSpaces>2841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2022-07-22T10:12:00Z</dcterms:created>
  <dc:creator>王榕</dc:creator>
  <cp:lastModifiedBy>hjx</cp:lastModifiedBy>
  <cp:lastPrinted>2021-06-04T03:18:00Z</cp:lastPrinted>
  <dcterms:modified xsi:type="dcterms:W3CDTF">2023-04-04T02:23:43Z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BBF0DE717AF4425FA564CED907486129</vt:lpwstr>
  </property>
</Properties>
</file>