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eastAsia="黑体"/>
          <w:color w:val="000000"/>
          <w:spacing w:val="-14"/>
          <w:sz w:val="32"/>
          <w:szCs w:val="32"/>
        </w:rPr>
      </w:pPr>
      <w:r>
        <w:rPr>
          <w:rFonts w:hint="eastAsia" w:eastAsia="黑体"/>
          <w:color w:val="000000"/>
          <w:spacing w:val="-14"/>
          <w:sz w:val="32"/>
          <w:szCs w:val="32"/>
        </w:rPr>
        <w:t>南山区</w:t>
      </w:r>
      <w:r>
        <w:rPr>
          <w:rFonts w:hint="eastAsia" w:eastAsia="黑体"/>
          <w:color w:val="000000"/>
          <w:spacing w:val="-14"/>
          <w:sz w:val="32"/>
          <w:szCs w:val="32"/>
          <w:lang w:eastAsia="zh-CN"/>
        </w:rPr>
        <w:t>促进</w:t>
      </w:r>
      <w:r>
        <w:rPr>
          <w:rFonts w:hint="eastAsia" w:eastAsia="黑体"/>
          <w:color w:val="000000"/>
          <w:spacing w:val="-14"/>
          <w:sz w:val="32"/>
          <w:szCs w:val="32"/>
        </w:rPr>
        <w:t>文化旅游体育产业发展扶持措施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支持文化消费发展项目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（20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  <w:t>23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仿宋" w:eastAsia="仿宋"/>
          <w:color w:val="000000"/>
          <w:sz w:val="32"/>
          <w:szCs w:val="32"/>
        </w:rPr>
      </w:pPr>
      <w:r>
        <w:rPr>
          <w:rFonts w:hint="eastAsia" w:hAnsi="仿宋" w:eastAsia="仿宋"/>
          <w:color w:val="000000"/>
          <w:sz w:val="32"/>
          <w:szCs w:val="32"/>
        </w:rPr>
        <w:t>为</w:t>
      </w:r>
      <w:r>
        <w:rPr>
          <w:rFonts w:hint="eastAsia" w:hAnsi="仿宋" w:eastAsia="仿宋"/>
          <w:color w:val="000000"/>
          <w:sz w:val="32"/>
          <w:szCs w:val="32"/>
          <w:lang w:eastAsia="zh-CN"/>
        </w:rPr>
        <w:t>支持文化消费，打造粤港澳大湾区演艺中心</w:t>
      </w:r>
      <w:r>
        <w:rPr>
          <w:rFonts w:hint="eastAsia" w:hAnsi="仿宋" w:eastAsia="仿宋"/>
          <w:color w:val="000000"/>
          <w:sz w:val="32"/>
          <w:szCs w:val="32"/>
        </w:rPr>
        <w:t>，促进</w:t>
      </w:r>
      <w:r>
        <w:rPr>
          <w:rFonts w:hint="eastAsia" w:hAnsi="仿宋" w:eastAsia="仿宋"/>
          <w:color w:val="000000"/>
          <w:sz w:val="32"/>
          <w:szCs w:val="32"/>
          <w:lang w:eastAsia="zh-CN"/>
        </w:rPr>
        <w:t>演艺市场发展</w:t>
      </w:r>
      <w:r>
        <w:rPr>
          <w:rFonts w:hint="eastAsia" w:hAnsi="仿宋" w:eastAsia="仿宋"/>
          <w:color w:val="000000"/>
          <w:sz w:val="32"/>
          <w:szCs w:val="32"/>
        </w:rPr>
        <w:t>，满足人民群众日益增长的精神文化需求</w:t>
      </w:r>
      <w:r>
        <w:rPr>
          <w:rFonts w:hint="eastAsia" w:hAnsi="仿宋" w:eastAsia="仿宋"/>
          <w:color w:val="000000"/>
          <w:sz w:val="32"/>
          <w:szCs w:val="32"/>
          <w:lang w:eastAsia="zh-CN"/>
        </w:rPr>
        <w:t>，</w:t>
      </w:r>
      <w:r>
        <w:rPr>
          <w:rFonts w:hint="eastAsia" w:hAnsi="仿宋" w:eastAsia="仿宋"/>
          <w:kern w:val="0"/>
          <w:sz w:val="32"/>
          <w:szCs w:val="32"/>
        </w:rPr>
        <w:t>根据《南山区促进产业高质量发展专项资金管理办法》和《南山区促进文化旅游体育产业发展专项扶持措施》，</w:t>
      </w:r>
      <w:r>
        <w:rPr>
          <w:rFonts w:hint="eastAsia" w:hAnsi="仿宋" w:eastAsia="仿宋"/>
          <w:color w:val="000000"/>
          <w:sz w:val="32"/>
          <w:szCs w:val="32"/>
        </w:rPr>
        <w:t>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一、政策内容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（一）鼓励引进高端艺术演出活动。对引进在南山演出的国内外顶级剧团的经典剧目，按实际营收的10%给予奖励，每个剧目最高奖励不超过100万元，每家单位每年奖励总额最高不超过500万元。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支持影剧院发展。对南山区内“四上”在库企业运营的影院，按国家影院规模分级标准给予每年最高不超过20万元一次性补贴；对南山区内“四上”在库企业运营的剧院，按每个剧场每年给予30万元一次性补贴。每家企业每年补贴最高不超过100万元，资助期限不超过3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二、资助方式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本项</w:t>
      </w:r>
      <w:r>
        <w:rPr>
          <w:rFonts w:hint="eastAsia" w:ascii="仿宋" w:hAnsi="仿宋" w:eastAsia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/>
          <w:sz w:val="32"/>
          <w:szCs w:val="32"/>
        </w:rPr>
        <w:t>资助属于核准类项目，坚持公平、公开、公正的原则，实行自愿申报、科学决策和绩效评估的管理制度，采取无偿资助方式和事后补贴制，受资助项目无需验收。</w:t>
      </w:r>
      <w:r>
        <w:rPr>
          <w:rFonts w:hint="eastAsia" w:ascii="仿宋" w:hAnsi="仿宋" w:eastAsia="仿宋"/>
          <w:sz w:val="32"/>
          <w:szCs w:val="32"/>
          <w:lang w:eastAsia="zh-CN"/>
        </w:rPr>
        <w:t>本项目不受“区级地方财力贡献”限制。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三、</w:t>
      </w:r>
      <w:r>
        <w:rPr>
          <w:rFonts w:hint="eastAsia" w:hAnsi="黑体" w:eastAsia="黑体"/>
          <w:color w:val="000000"/>
          <w:sz w:val="32"/>
          <w:szCs w:val="32"/>
        </w:rPr>
        <w:t>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基本条件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在南山辖区内登记注册、经营、具有独立法人资格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守法经营、诚实守信、有规范健全的财务制度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按照国家相关统计报表制度规定，正常履行统计报表义务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（二）不予资助情形：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ascii="仿宋" w:hAnsi="仿宋" w:eastAsia="仿宋" w:cs="Times New Roman"/>
          <w:kern w:val="2"/>
          <w:sz w:val="32"/>
          <w:szCs w:val="32"/>
        </w:rPr>
        <w:t>1</w:t>
      </w:r>
      <w:r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  <w:t>.</w:t>
      </w:r>
      <w:r>
        <w:rPr>
          <w:rFonts w:hint="eastAsia" w:ascii="仿宋" w:hAnsi="仿宋" w:eastAsia="仿宋"/>
          <w:sz w:val="32"/>
          <w:szCs w:val="32"/>
        </w:rPr>
        <w:t>被依法依规纳入严重失信主体名单或失信惩戒措施清单的；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.提出资助申请后，</w:t>
      </w:r>
      <w:r>
        <w:rPr>
          <w:rFonts w:hint="eastAsia" w:ascii="仿宋" w:hAnsi="仿宋" w:eastAsia="仿宋"/>
          <w:color w:val="000000"/>
          <w:sz w:val="32"/>
          <w:szCs w:val="32"/>
        </w:rPr>
        <w:t>申报主体注册地或在地统计关系发生变化，不再符合申报条件的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3.资助金额低于1万元。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  <w:t>四、申报类别</w:t>
      </w:r>
    </w:p>
    <w:p>
      <w:pPr>
        <w:autoSpaceDN w:val="0"/>
        <w:spacing w:line="520" w:lineRule="atLeast"/>
        <w:ind w:firstLine="643" w:firstLineChars="200"/>
        <w:rPr>
          <w:rFonts w:hint="eastAsia" w:eastAsia="仿宋_GB2312" w:asciiTheme="minorHAnsi" w:hAnsiTheme="minorHAnsi" w:cstheme="minorBidi"/>
          <w:b/>
          <w:bCs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1.</w:t>
      </w:r>
      <w:r>
        <w:rPr>
          <w:rFonts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鼓励引进高端艺术演出活动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hAnsi="仿宋" w:eastAsia="仿宋"/>
          <w:kern w:val="0"/>
          <w:sz w:val="32"/>
          <w:szCs w:val="32"/>
        </w:rPr>
        <w:t>对企事业单位上年度引进</w:t>
      </w:r>
      <w:r>
        <w:rPr>
          <w:rFonts w:hint="eastAsia" w:hAnsi="仿宋" w:eastAsia="仿宋"/>
          <w:kern w:val="0"/>
          <w:sz w:val="32"/>
          <w:szCs w:val="32"/>
          <w:lang w:eastAsia="zh-CN"/>
        </w:rPr>
        <w:t>在南山演出的国内外顶级剧团的</w:t>
      </w:r>
      <w:r>
        <w:rPr>
          <w:rFonts w:hint="eastAsia" w:hAnsi="仿宋" w:eastAsia="仿宋"/>
          <w:kern w:val="0"/>
          <w:sz w:val="32"/>
          <w:szCs w:val="32"/>
        </w:rPr>
        <w:t>经典剧目，按</w:t>
      </w:r>
      <w:r>
        <w:rPr>
          <w:rFonts w:hint="eastAsia" w:hAnsi="仿宋" w:eastAsia="仿宋"/>
          <w:kern w:val="0"/>
          <w:sz w:val="32"/>
          <w:szCs w:val="32"/>
          <w:lang w:eastAsia="zh-CN"/>
        </w:rPr>
        <w:t>实际营收的</w:t>
      </w:r>
      <w:r>
        <w:rPr>
          <w:rFonts w:hint="eastAsia" w:hAnsi="仿宋" w:eastAsia="仿宋"/>
          <w:kern w:val="0"/>
          <w:sz w:val="32"/>
          <w:szCs w:val="32"/>
          <w:lang w:val="en-US" w:eastAsia="zh-CN"/>
        </w:rPr>
        <w:t>10%给予奖励，每个剧目最高奖励不超过100万元，</w:t>
      </w:r>
      <w:r>
        <w:rPr>
          <w:rFonts w:hint="eastAsia" w:hAnsi="仿宋" w:eastAsia="仿宋"/>
          <w:kern w:val="0"/>
          <w:sz w:val="32"/>
          <w:szCs w:val="32"/>
        </w:rPr>
        <w:t>每家单位每年奖励总额最高不超过</w:t>
      </w:r>
      <w:r>
        <w:rPr>
          <w:rFonts w:hint="eastAsia" w:hAnsi="仿宋" w:eastAsia="仿宋"/>
          <w:kern w:val="0"/>
          <w:sz w:val="32"/>
          <w:szCs w:val="32"/>
          <w:lang w:val="en-US" w:eastAsia="zh-CN"/>
        </w:rPr>
        <w:t>5</w:t>
      </w:r>
      <w:r>
        <w:rPr>
          <w:rFonts w:hint="eastAsia" w:hAnsi="仿宋" w:eastAsia="仿宋"/>
          <w:kern w:val="0"/>
          <w:sz w:val="32"/>
          <w:szCs w:val="32"/>
        </w:rPr>
        <w:t>00万元</w:t>
      </w:r>
      <w:r>
        <w:rPr>
          <w:rFonts w:hint="eastAsia" w:hAnsi="仿宋" w:eastAsia="仿宋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引进的剧目符合附件清单要求；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具有营业性演出资质，提供《南山区营业性演出准予许可决定》《演出场所经营单位备案证明》《营业性演出许可证》等资质证明文件；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实际营收指在南山区演出获得的实际营收。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支持影剧院发展。</w:t>
      </w:r>
      <w:r>
        <w:rPr>
          <w:rFonts w:hint="eastAsia" w:hAnsi="仿宋" w:eastAsia="仿宋"/>
          <w:kern w:val="0"/>
          <w:sz w:val="32"/>
          <w:szCs w:val="32"/>
        </w:rPr>
        <w:t>对南山区内“四上”在库企业运营的影院，按国家影院规模分级标准分别给予大型及以上影院、中型影院、小型影院每年20万元、10万元、5万元的一次性补贴；对南山区内“四上”在库企业运营的剧院，按每个剧场每年给予30万元一次性补贴。每家企业每年补贴最高不超过100万元，补贴期限不超过3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pacing w:val="4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申报条件及说明：</w:t>
      </w:r>
      <w:r>
        <w:rPr>
          <w:rFonts w:hint="eastAsia" w:ascii="黑体" w:hAnsi="黑体" w:eastAsia="黑体"/>
          <w:b w:val="0"/>
          <w:bCs w:val="0"/>
          <w:spacing w:val="4"/>
          <w:sz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）申报主体为上一年度南山区内“四上”在库企业；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2）</w:t>
      </w:r>
      <w:r>
        <w:rPr>
          <w:rFonts w:hint="eastAsia" w:hAnsi="仿宋" w:eastAsia="仿宋"/>
          <w:kern w:val="0"/>
          <w:sz w:val="32"/>
          <w:szCs w:val="32"/>
        </w:rPr>
        <w:t>电影院的规模按观众厅的容量可分为：大型及以上</w:t>
      </w:r>
      <w:r>
        <w:rPr>
          <w:rFonts w:hint="eastAsia" w:ascii="Times New Roman" w:hAnsi="仿宋" w:eastAsia="仿宋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auto"/>
        </w:rPr>
        <w:t>1201座～1800座</w:t>
      </w:r>
      <w:r>
        <w:rPr>
          <w:rFonts w:hint="eastAsia" w:hAnsi="仿宋" w:eastAsia="仿宋"/>
          <w:kern w:val="0"/>
          <w:sz w:val="32"/>
          <w:szCs w:val="32"/>
        </w:rPr>
        <w:t>；中型701座～1200座；小型700座以下。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color w:val="000000"/>
          <w:sz w:val="32"/>
          <w:szCs w:val="32"/>
        </w:rPr>
      </w:pPr>
      <w:r>
        <w:rPr>
          <w:rFonts w:hint="eastAsia" w:hAnsi="黑体" w:eastAsia="黑体" w:cs="Times New Roman"/>
          <w:color w:val="000000"/>
          <w:sz w:val="32"/>
          <w:szCs w:val="32"/>
          <w:lang w:eastAsia="zh-CN"/>
        </w:rPr>
        <w:t>五</w:t>
      </w:r>
      <w:r>
        <w:rPr>
          <w:rFonts w:hint="eastAsia" w:ascii="Times New Roman" w:hAnsi="黑体" w:eastAsia="黑体" w:cs="Times New Roman"/>
          <w:color w:val="000000"/>
          <w:sz w:val="32"/>
          <w:szCs w:val="32"/>
        </w:rPr>
        <w:t>、申报及审批流程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申报主体登陆“i南山企业服务综合平台”（https://www.inanshan.org.cn/），网上提交项目申报材料；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2.</w:t>
      </w:r>
      <w:r>
        <w:rPr>
          <w:rFonts w:hint="eastAsia"/>
          <w:color w:val="auto"/>
        </w:rPr>
        <w:t>区企业发展服务中心受理申请，对申报材料进行形式性审核，区</w:t>
      </w:r>
      <w:r>
        <w:rPr>
          <w:rFonts w:hint="eastAsia"/>
          <w:color w:val="auto"/>
          <w:lang w:eastAsia="zh-CN"/>
        </w:rPr>
        <w:t>文化广电旅游体育</w:t>
      </w:r>
      <w:r>
        <w:rPr>
          <w:rFonts w:hint="eastAsia"/>
          <w:color w:val="auto"/>
        </w:rPr>
        <w:t xml:space="preserve">局复审项目申报材料；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3.</w:t>
      </w:r>
      <w:r>
        <w:rPr>
          <w:rFonts w:hint="eastAsia"/>
          <w:color w:val="auto"/>
        </w:rPr>
        <w:t>区文化广电旅游体育局拟定资助计划；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4.</w:t>
      </w:r>
      <w:r>
        <w:rPr>
          <w:rFonts w:hint="eastAsia"/>
          <w:color w:val="auto"/>
        </w:rPr>
        <w:t>区统计局对申报主体在地统计开展情况进行核查，区企业发展服务中心组织对申报主体的注册情况、不良信用记录等情况进行核查；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5.</w:t>
      </w:r>
      <w:r>
        <w:rPr>
          <w:rFonts w:hint="eastAsia"/>
          <w:color w:val="auto"/>
        </w:rPr>
        <w:t>区企业发展服务中心将拟资助项目向社会公示5个工作日，对公示期满，无有效投诉的项目资助计划，再提交领导小组会议进行审议；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6.</w:t>
      </w:r>
      <w:r>
        <w:rPr>
          <w:rFonts w:hint="eastAsia"/>
          <w:color w:val="auto"/>
        </w:rPr>
        <w:t>经审议后，由区文化广电旅游体育局直接行文下达资金计划；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7.</w:t>
      </w:r>
      <w:r>
        <w:rPr>
          <w:rFonts w:hint="eastAsia"/>
          <w:color w:val="auto"/>
        </w:rPr>
        <w:t>区财政部门及时安排资金，区文化广电旅游体育局办理资金拨付手续。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</w:rPr>
        <w:t>、所需材料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default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①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申请类别为鼓励引进高端艺术演出活动项目提供以下资料：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default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登录“i南山企业服务综合平台”（https://www.inanshan.org.cn/）在线填写《鼓励引进高端艺术演出活动项目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》。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(注：申请书编号以最终提交申请书生成为准，附件清单材料为历史佐证材料。)</w:t>
      </w:r>
    </w:p>
    <w:tbl>
      <w:tblPr>
        <w:tblStyle w:val="5"/>
        <w:tblW w:w="9058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405"/>
        <w:gridCol w:w="1595"/>
        <w:gridCol w:w="2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序号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附件名称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是否</w:t>
            </w:r>
          </w:p>
          <w:p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必备材料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网上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提交资料要求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bookmarkStart w:id="0" w:name="OLE_LINK85" w:colFirst="2" w:colLast="2"/>
            <w:bookmarkStart w:id="1" w:name="OLE_LINK86" w:colFirst="4" w:colLast="4"/>
            <w:r>
              <w:rPr>
                <w:rFonts w:hint="eastAsia" w:ascii="宋体" w:hAnsi="宋体"/>
                <w:color w:val="auto"/>
                <w:szCs w:val="21"/>
                <w:u w:val="none"/>
              </w:rPr>
              <w:t>1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ascii="宋体"/>
                <w:bCs/>
                <w:color w:val="auto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统一社会信用代码证书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</w:rPr>
              <w:t>原件彩色扫描</w:t>
            </w: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  <w:lang w:eastAsia="zh-CN"/>
              </w:rPr>
              <w:t>成</w:t>
            </w:r>
          </w:p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szCs w:val="24"/>
                <w:u w:val="none"/>
              </w:rPr>
              <w:t>PDF</w:t>
            </w:r>
            <w:r>
              <w:rPr>
                <w:rFonts w:hint="eastAsia" w:ascii="楷体" w:hAnsi="楷体" w:eastAsia="楷体"/>
                <w:color w:val="auto"/>
                <w:sz w:val="24"/>
                <w:szCs w:val="24"/>
                <w:u w:val="none"/>
                <w:lang w:eastAsia="zh-CN"/>
              </w:rPr>
              <w:t>文件</w:t>
            </w: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</w:rPr>
              <w:t>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2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法定代表人身份证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楷体" w:hAnsi="楷体" w:eastAsia="楷体" w:cs="Times New Roman"/>
                <w:sz w:val="24"/>
              </w:rPr>
              <w:t>原件</w:t>
            </w:r>
            <w:r>
              <w:rPr>
                <w:rFonts w:hint="eastAsia" w:ascii="楷体" w:hAnsi="楷体" w:eastAsia="楷体" w:cs="Times New Roman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Times New Roman"/>
                <w:sz w:val="24"/>
              </w:rPr>
              <w:t>或复印件加盖单位公章</w:t>
            </w:r>
            <w:r>
              <w:rPr>
                <w:rFonts w:hint="eastAsia" w:ascii="楷体" w:hAnsi="楷体" w:eastAsia="楷体" w:cs="Times New Roman"/>
                <w:sz w:val="24"/>
                <w:lang w:eastAsia="zh-CN"/>
              </w:rPr>
              <w:t>）</w:t>
            </w:r>
            <w:r>
              <w:rPr>
                <w:rFonts w:hint="eastAsia" w:ascii="楷体" w:hAnsi="楷体" w:eastAsia="楷体" w:cs="Times New Roman"/>
                <w:sz w:val="24"/>
              </w:rPr>
              <w:t>彩色扫描</w:t>
            </w:r>
            <w:r>
              <w:rPr>
                <w:rFonts w:hint="eastAsia" w:ascii="楷体" w:hAnsi="楷体" w:eastAsia="楷体" w:cs="Times New Roman"/>
                <w:sz w:val="24"/>
                <w:lang w:eastAsia="zh-CN"/>
              </w:rPr>
              <w:t>成</w:t>
            </w:r>
            <w:r>
              <w:rPr>
                <w:rFonts w:hint="eastAsia" w:ascii="楷体" w:hAnsi="楷体" w:eastAsia="楷体" w:cs="Times New Roman"/>
                <w:sz w:val="24"/>
              </w:rPr>
              <w:t>PDF文件上传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3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由税务部门提供的单位上一年度纳税证明</w:t>
            </w:r>
          </w:p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（</w:t>
            </w:r>
            <w:r>
              <w:rPr>
                <w:rFonts w:hint="eastAsia"/>
                <w:color w:val="auto"/>
                <w:u w:val="none"/>
              </w:rPr>
              <w:t>税务申报系统下载后上传</w:t>
            </w:r>
            <w:r>
              <w:rPr>
                <w:rFonts w:hint="eastAsia"/>
                <w:color w:val="auto"/>
                <w:u w:val="none"/>
                <w:lang w:eastAsia="zh-CN"/>
              </w:rPr>
              <w:t>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楷体" w:hAnsi="楷体" w:eastAsia="楷体"/>
                <w:sz w:val="24"/>
                <w:szCs w:val="24"/>
                <w:highlight w:val="none"/>
                <w:lang w:eastAsia="zh-CN"/>
              </w:rPr>
              <w:t>上传税务系统下载带有税务机关红色印章的电子版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leftChars="0" w:right="42" w:rightChars="20"/>
              <w:rPr>
                <w:rFonts w:hint="eastAsia"/>
                <w:color w:val="auto"/>
                <w:highlight w:val="yellow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剧目营业收入相关材料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楷体" w:hAnsi="楷体" w:eastAsia="楷体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整理汇总成表格上传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44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170"/>
              </w:tabs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u w:val="none"/>
                <w:lang w:eastAsia="zh-CN"/>
              </w:rPr>
              <w:t>《南山区营业性演出准予许可决定》《演出场所经营单位备案证明》《营业性演出许可证》</w:t>
            </w:r>
          </w:p>
        </w:tc>
        <w:tc>
          <w:tcPr>
            <w:tcW w:w="15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是</w:t>
            </w:r>
          </w:p>
        </w:tc>
        <w:tc>
          <w:tcPr>
            <w:tcW w:w="2336" w:type="dxa"/>
            <w:vMerge w:val="restart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</w:rPr>
              <w:t>原件彩色扫描</w:t>
            </w: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  <w:lang w:eastAsia="zh-CN"/>
              </w:rPr>
              <w:t>成</w:t>
            </w:r>
          </w:p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szCs w:val="24"/>
                <w:u w:val="none"/>
              </w:rPr>
              <w:t>PDF</w:t>
            </w:r>
            <w:r>
              <w:rPr>
                <w:rFonts w:hint="eastAsia" w:ascii="楷体" w:hAnsi="楷体" w:eastAsia="楷体"/>
                <w:color w:val="auto"/>
                <w:sz w:val="24"/>
                <w:szCs w:val="24"/>
                <w:u w:val="none"/>
                <w:lang w:eastAsia="zh-CN"/>
              </w:rPr>
              <w:t>文件</w:t>
            </w: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</w:rPr>
              <w:t>上传</w:t>
            </w:r>
          </w:p>
        </w:tc>
      </w:tr>
      <w:bookmarkEnd w:id="0"/>
      <w:bookmarkEnd w:id="1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u w:val="none"/>
                <w:lang w:eastAsia="zh-CN"/>
              </w:rPr>
              <w:t>引进版权合同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7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支付版权费用发票、银行回单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 w:eastAsia="宋体"/>
                <w:bCs/>
                <w:iCs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/>
                <w:bCs/>
                <w:iCs/>
                <w:color w:val="auto"/>
                <w:szCs w:val="21"/>
                <w:u w:val="none"/>
                <w:lang w:eastAsia="zh-CN"/>
              </w:rPr>
              <w:t>演出相关材料（剧目、剧团等）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440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 w:eastAsia="宋体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获奖证书</w:t>
            </w:r>
          </w:p>
        </w:tc>
        <w:tc>
          <w:tcPr>
            <w:tcW w:w="159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否</w:t>
            </w:r>
          </w:p>
        </w:tc>
        <w:tc>
          <w:tcPr>
            <w:tcW w:w="2336" w:type="dxa"/>
            <w:vMerge w:val="continue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申请书签字盖章版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11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其他材料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否</w:t>
            </w:r>
          </w:p>
        </w:tc>
        <w:tc>
          <w:tcPr>
            <w:tcW w:w="233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0"/>
        <w:jc w:val="both"/>
        <w:textAlignment w:val="auto"/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</w:pP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default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②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申请类别为支持影剧院发展项目提供以下资料：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default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登录“i南山企业服务综合平台”（https://www.inanshan.org.cn/）在线填写《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支持影剧院发展项目申请书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》。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(注：申请书编号以最终提交申请书生成为准，附件清单材料为历史佐证材料。)</w:t>
      </w:r>
    </w:p>
    <w:tbl>
      <w:tblPr>
        <w:tblStyle w:val="5"/>
        <w:tblW w:w="9058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405"/>
        <w:gridCol w:w="1595"/>
        <w:gridCol w:w="2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序号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附件名称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是否</w:t>
            </w:r>
          </w:p>
          <w:p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必备材料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网上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提交资料要求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1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ascii="宋体"/>
                <w:bCs/>
                <w:color w:val="auto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统一社会信用代码证书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eastAsia="宋体"/>
                <w:bCs/>
                <w:color w:val="auto"/>
                <w:u w:val="none"/>
                <w:lang w:eastAsia="zh-CN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原件彩色扫描</w:t>
            </w:r>
            <w:r>
              <w:rPr>
                <w:rFonts w:hint="eastAsia" w:ascii="宋体"/>
                <w:bCs/>
                <w:color w:val="auto"/>
                <w:u w:val="none"/>
                <w:lang w:eastAsia="zh-CN"/>
              </w:rPr>
              <w:t>成</w:t>
            </w:r>
          </w:p>
          <w:p>
            <w:pPr>
              <w:spacing w:line="276" w:lineRule="auto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PDF</w:t>
            </w: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文件</w:t>
            </w:r>
            <w:r>
              <w:rPr>
                <w:rFonts w:hint="eastAsia" w:ascii="宋体"/>
                <w:bCs/>
                <w:color w:val="auto"/>
                <w:u w:val="none"/>
              </w:rPr>
              <w:t>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2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法定代表人身份证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</w:rPr>
              <w:t>原件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  <w:lang w:eastAsia="zh-CN"/>
              </w:rPr>
              <w:t>（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</w:rPr>
              <w:t>或复印件加盖单位公章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  <w:lang w:eastAsia="zh-CN"/>
              </w:rPr>
              <w:t>）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</w:rPr>
              <w:t>彩色扫描</w:t>
            </w:r>
            <w:r>
              <w:rPr>
                <w:rFonts w:hint="eastAsia" w:ascii="宋体" w:cs="Times New Roman"/>
                <w:bCs/>
                <w:color w:val="auto"/>
                <w:sz w:val="21"/>
                <w:u w:val="none"/>
                <w:lang w:eastAsia="zh-CN"/>
              </w:rPr>
              <w:t>成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</w:rPr>
              <w:t>PDF文件上传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3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由税务部门提供的单位上一年度纳税证明</w:t>
            </w:r>
          </w:p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（</w:t>
            </w:r>
            <w:r>
              <w:rPr>
                <w:rFonts w:hint="eastAsia"/>
                <w:color w:val="auto"/>
                <w:u w:val="none"/>
              </w:rPr>
              <w:t>税务申报系统下载后上传</w:t>
            </w:r>
            <w:r>
              <w:rPr>
                <w:rFonts w:hint="eastAsia"/>
                <w:color w:val="auto"/>
                <w:u w:val="none"/>
                <w:lang w:eastAsia="zh-CN"/>
              </w:rPr>
              <w:t>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Times New Roman" w:eastAsia="宋体"/>
                <w:bCs/>
                <w:color w:val="auto"/>
                <w:sz w:val="21"/>
                <w:szCs w:val="24"/>
                <w:highlight w:val="none"/>
                <w:u w:val="none"/>
                <w:lang w:eastAsia="zh-CN"/>
              </w:rPr>
              <w:t>上传税务系统下载带有税务机关红色印章的电子版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tabs>
                <w:tab w:val="left" w:pos="1170"/>
              </w:tabs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电影放映经营许可证或演出场所经营单位备案证明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是</w:t>
            </w:r>
          </w:p>
        </w:tc>
        <w:tc>
          <w:tcPr>
            <w:tcW w:w="2336" w:type="dxa"/>
            <w:vMerge w:val="restart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Times New Roman" w:eastAsia="宋体"/>
                <w:bCs/>
                <w:color w:val="auto"/>
                <w:sz w:val="21"/>
                <w:u w:val="none"/>
                <w:lang w:eastAsia="zh-CN"/>
              </w:rPr>
            </w:pPr>
            <w:r>
              <w:rPr>
                <w:rFonts w:hint="eastAsia" w:ascii="宋体" w:hAnsi="Times New Roman" w:eastAsia="宋体"/>
                <w:bCs/>
                <w:color w:val="auto"/>
                <w:sz w:val="21"/>
                <w:u w:val="none"/>
              </w:rPr>
              <w:t>原件彩色扫描</w:t>
            </w:r>
            <w:r>
              <w:rPr>
                <w:rFonts w:hint="eastAsia" w:ascii="宋体" w:hAnsi="Times New Roman" w:eastAsia="宋体"/>
                <w:bCs/>
                <w:color w:val="auto"/>
                <w:sz w:val="21"/>
                <w:u w:val="none"/>
                <w:lang w:eastAsia="zh-CN"/>
              </w:rPr>
              <w:t>成</w:t>
            </w:r>
          </w:p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Times New Roman" w:eastAsia="宋体"/>
                <w:bCs/>
                <w:color w:val="auto"/>
                <w:sz w:val="21"/>
                <w:szCs w:val="24"/>
                <w:u w:val="none"/>
              </w:rPr>
              <w:t>PDF</w:t>
            </w:r>
            <w:r>
              <w:rPr>
                <w:rFonts w:hint="eastAsia" w:ascii="宋体" w:hAnsi="Times New Roman" w:eastAsia="宋体"/>
                <w:bCs/>
                <w:color w:val="auto"/>
                <w:sz w:val="21"/>
                <w:szCs w:val="24"/>
                <w:u w:val="none"/>
                <w:lang w:eastAsia="zh-CN"/>
              </w:rPr>
              <w:t>文件</w:t>
            </w:r>
            <w:r>
              <w:rPr>
                <w:rFonts w:hint="eastAsia" w:ascii="宋体" w:hAnsi="Times New Roman" w:eastAsia="宋体"/>
                <w:bCs/>
                <w:color w:val="auto"/>
                <w:sz w:val="21"/>
                <w:u w:val="none"/>
              </w:rPr>
              <w:t>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影院需提供具有银幕数的相关证明材料，剧院需提供委托运营合同或含有剧院相关个数的证明材料；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影/剧院首次运营开业相关证明材料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highlight w:val="none"/>
                <w:u w:val="none"/>
                <w:lang w:val="en-US" w:eastAsia="zh-CN"/>
              </w:rPr>
            </w:pPr>
            <w:bookmarkStart w:id="2" w:name="_GoBack" w:colFirst="0" w:colLast="2"/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val="en-US" w:eastAsia="zh-CN"/>
              </w:rPr>
              <w:t>7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highlight w:val="none"/>
                <w:u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u w:val="none"/>
                <w:lang w:eastAsia="zh-CN"/>
              </w:rPr>
              <w:t>申请书签字盖章版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bookmarkEnd w:id="2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其他证明材料（如有）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否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5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七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、其他事项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5"/>
        <w:jc w:val="both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>申请本项目资助的企业应保证其申报材料的完整性、</w:t>
      </w:r>
      <w:r>
        <w:rPr>
          <w:rFonts w:hint="eastAsia" w:ascii="仿宋" w:hAnsi="仿宋" w:eastAsia="仿宋" w:cs="Times New Roman"/>
          <w:sz w:val="32"/>
          <w:szCs w:val="32"/>
        </w:rPr>
        <w:t>真实性、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准确性</w:t>
      </w:r>
      <w:r>
        <w:rPr>
          <w:rFonts w:hint="eastAsia" w:ascii="仿宋" w:hAnsi="仿宋" w:eastAsia="仿宋" w:cs="Times New Roman"/>
          <w:sz w:val="32"/>
          <w:szCs w:val="32"/>
        </w:rPr>
        <w:t>及合法性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八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、附则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>本规程由南山区文化广电旅游体育局负责解释，自发布之日起施行。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0" w:firstLineChars="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0" w:firstLineChars="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0" w:firstLineChars="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0" w:firstLineChars="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0" w:firstLineChars="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0" w:firstLineChars="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0" w:firstLineChars="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  <w:t>附件：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9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剧目获得中宣部“五个一工程”奖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9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剧目获得文化和旅游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部“中国文化艺术政府奖”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中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“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文华奖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”“群星奖”主要奖项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9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剧目获得中国京剧艺术节主要奖项或入选为优秀展演剧目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704" w:type="dxa"/>
          </w:tcPr>
          <w:p>
            <w:pPr>
              <w:pStyle w:val="9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剧目获得中国戏剧奖单项奖（曹禺戏剧奖、戏剧梅花奖）、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中国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舞蹈荷花奖、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中国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曲艺牡丹奖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9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default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hint="default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剧目获得国际公认专业艺术比赛奖项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：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Tony（托尼）奖、Laurence Olivier Awards（劳伦斯 奥弗）奖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、Pulitzer Prize for Drama（普利策戏剧）奖、De Zwanen（天鹅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)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奖、金面具（俄罗斯戏剧界独立奖项）奖、莫里哀戏剧奖、普希金奖章、Europe Theatre Prize（欧洲剧场奖）、 Drama Desk Award（纽约戏剧委员会奖）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9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剧团为国家A类专业艺术表演团体（包括但不限于中国京剧院、中国青年艺术剧院、中国儿童艺术剧院、中央实验话剧院、中国歌剧舞剧院、中央歌剧院、中央芭蕾舞团、东方歌舞团、中国歌舞团、中国交响乐团、中央民族乐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9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国际著名文艺表演团体的演出活动，包括欧洲和北美地区演出团体中名称含有国家、皇家、国立等字样，或冠有国家名、首都城市名的演出团体的演出活动。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9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default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highlight w:val="none"/>
                <w:lang w:eastAsia="zh-CN"/>
              </w:rPr>
              <w:t>剧目的</w:t>
            </w:r>
            <w:r>
              <w:rPr>
                <w:rFonts w:hint="eastAsia" w:ascii="仿宋" w:hAnsi="仿宋" w:eastAsia="仿宋"/>
                <w:color w:val="000000"/>
                <w:sz w:val="24"/>
                <w:highlight w:val="none"/>
                <w:lang w:val="en-US" w:eastAsia="zh-CN"/>
              </w:rPr>
              <w:t>市场影响力较大，单场演出票房达到60万元以上。</w:t>
            </w:r>
          </w:p>
        </w:tc>
      </w:tr>
    </w:tbl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904054"/>
    <w:multiLevelType w:val="singleLevel"/>
    <w:tmpl w:val="E9904054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3DB17F31"/>
    <w:rsid w:val="00E46AD2"/>
    <w:rsid w:val="012B3059"/>
    <w:rsid w:val="067E291C"/>
    <w:rsid w:val="074937CA"/>
    <w:rsid w:val="0795045E"/>
    <w:rsid w:val="093F6F9B"/>
    <w:rsid w:val="099F5C8C"/>
    <w:rsid w:val="09EC5038"/>
    <w:rsid w:val="0C987C37"/>
    <w:rsid w:val="0D7C6919"/>
    <w:rsid w:val="0E641125"/>
    <w:rsid w:val="0EB9159E"/>
    <w:rsid w:val="1265330A"/>
    <w:rsid w:val="137441E4"/>
    <w:rsid w:val="157D0177"/>
    <w:rsid w:val="15E54391"/>
    <w:rsid w:val="163106EC"/>
    <w:rsid w:val="17120155"/>
    <w:rsid w:val="17A74689"/>
    <w:rsid w:val="1D3755E8"/>
    <w:rsid w:val="227338C6"/>
    <w:rsid w:val="24831FDA"/>
    <w:rsid w:val="24B32FA4"/>
    <w:rsid w:val="26194C64"/>
    <w:rsid w:val="28E066F5"/>
    <w:rsid w:val="299A74D6"/>
    <w:rsid w:val="2AED62A0"/>
    <w:rsid w:val="2B687849"/>
    <w:rsid w:val="2B9768DF"/>
    <w:rsid w:val="2BC453B2"/>
    <w:rsid w:val="3098685D"/>
    <w:rsid w:val="320F30FF"/>
    <w:rsid w:val="37E961A0"/>
    <w:rsid w:val="38976C63"/>
    <w:rsid w:val="38F678B7"/>
    <w:rsid w:val="3B2B1CE5"/>
    <w:rsid w:val="3B2C6AD0"/>
    <w:rsid w:val="3DB17F31"/>
    <w:rsid w:val="426670AC"/>
    <w:rsid w:val="45161B2C"/>
    <w:rsid w:val="463875AD"/>
    <w:rsid w:val="46415E18"/>
    <w:rsid w:val="471963AA"/>
    <w:rsid w:val="484019E8"/>
    <w:rsid w:val="48C447B1"/>
    <w:rsid w:val="4F050DC4"/>
    <w:rsid w:val="4FF82FCD"/>
    <w:rsid w:val="547A0454"/>
    <w:rsid w:val="54A97123"/>
    <w:rsid w:val="59603AB5"/>
    <w:rsid w:val="5A500EFA"/>
    <w:rsid w:val="5ADC54EF"/>
    <w:rsid w:val="5D3B32F6"/>
    <w:rsid w:val="5F8D54E0"/>
    <w:rsid w:val="63462C6E"/>
    <w:rsid w:val="63BD210C"/>
    <w:rsid w:val="64AF7493"/>
    <w:rsid w:val="66B235DE"/>
    <w:rsid w:val="678121E0"/>
    <w:rsid w:val="6F0725E5"/>
    <w:rsid w:val="6FAC3760"/>
    <w:rsid w:val="70545BA6"/>
    <w:rsid w:val="72AF30C0"/>
    <w:rsid w:val="74B161B3"/>
    <w:rsid w:val="74B62662"/>
    <w:rsid w:val="79E24222"/>
    <w:rsid w:val="7ABC3654"/>
    <w:rsid w:val="7AD1051F"/>
    <w:rsid w:val="7D2F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ind w:firstLine="200" w:firstLineChars="200"/>
      <w:outlineLvl w:val="1"/>
    </w:pPr>
    <w:rPr>
      <w:rFonts w:eastAsia="楷体_GB2312" w:asciiTheme="majorHAnsi" w:hAnsiTheme="majorHAnsi" w:cstheme="majorBidi"/>
      <w:b/>
      <w:bCs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2651</Words>
  <Characters>2869</Characters>
  <Lines>0</Lines>
  <Paragraphs>0</Paragraphs>
  <TotalTime>3</TotalTime>
  <ScaleCrop>false</ScaleCrop>
  <LinksUpToDate>false</LinksUpToDate>
  <CharactersWithSpaces>2883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2021-05-27T02:00:00Z</dcterms:created>
  <dc:creator>王榕</dc:creator>
  <cp:lastModifiedBy>杨璐源</cp:lastModifiedBy>
  <cp:lastPrinted>2021-06-18T07:34:00Z</cp:lastPrinted>
  <dcterms:modified xsi:type="dcterms:W3CDTF">2023-04-04T06:15:01Z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74AFED83BD7C47C68E166996BADF0764</vt:lpwstr>
  </property>
</Properties>
</file>