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南山区</w:t>
      </w:r>
      <w:r>
        <w:rPr>
          <w:rFonts w:hint="eastAsia" w:eastAsia="黑体"/>
          <w:color w:val="000000" w:themeColor="text1"/>
          <w:spacing w:val="-14"/>
          <w:sz w:val="32"/>
          <w:szCs w:val="32"/>
          <w:highlight w:val="none"/>
          <w:lang w:val="en-US" w:eastAsia="zh-CN"/>
          <w14:textFill>
            <w14:solidFill>
              <w14:schemeClr w14:val="tx1"/>
            </w14:solidFill>
          </w14:textFill>
        </w:rPr>
        <w:t>促进电竞产业发展专项扶持措施</w:t>
      </w:r>
    </w:p>
    <w:p>
      <w:pPr>
        <w:adjustRightInd w:val="0"/>
        <w:snapToGrid w:val="0"/>
        <w:spacing w:line="560" w:lineRule="exact"/>
        <w:jc w:val="center"/>
        <w:rPr>
          <w:rFonts w:hint="eastAsia" w:eastAsia="黑体"/>
          <w:color w:val="000000" w:themeColor="text1"/>
          <w:spacing w:val="-14"/>
          <w:sz w:val="32"/>
          <w:szCs w:val="32"/>
          <w:highlight w:val="none"/>
          <w:lang w:val="en-US" w:eastAsia="zh-CN"/>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支持培育电竞企业</w:t>
      </w:r>
      <w:r>
        <w:rPr>
          <w:rFonts w:hint="eastAsia" w:eastAsia="黑体"/>
          <w:color w:val="000000" w:themeColor="text1"/>
          <w:spacing w:val="-14"/>
          <w:sz w:val="32"/>
          <w:szCs w:val="32"/>
          <w:highlight w:val="none"/>
          <w:lang w:val="en-US" w:eastAsia="zh-CN"/>
          <w14:textFill>
            <w14:solidFill>
              <w14:schemeClr w14:val="tx1"/>
            </w14:solidFill>
          </w14:textFill>
        </w:rPr>
        <w:t>项目</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exac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3</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exact"/>
        <w:rPr>
          <w:rFonts w:hAnsi="仿宋" w:eastAsia="仿宋"/>
          <w:color w:val="000000" w:themeColor="text1"/>
          <w:sz w:val="32"/>
          <w:szCs w:val="32"/>
          <w:highlight w:val="none"/>
          <w14:textFill>
            <w14:solidFill>
              <w14:schemeClr w14:val="tx1"/>
            </w14:solidFill>
          </w14:textFill>
        </w:rPr>
      </w:pP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为支持电竞企业运营，通过房租补贴的方式吸引电竞企业落户，根据《南山区促进现代产业高质量发展专项资金管理办法》和《南山区促进电竞产业发展专项扶持措施》，制定本操作规程。</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pStyle w:val="14"/>
        <w:tabs>
          <w:tab w:val="left" w:pos="0"/>
        </w:tabs>
        <w:spacing w:line="560" w:lineRule="exact"/>
        <w:ind w:firstLine="64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支持培育电竞企业。</w:t>
      </w:r>
      <w:r>
        <w:rPr>
          <w:rFonts w:hint="eastAsia" w:ascii="仿宋_GB2312" w:hAnsi="宋体" w:eastAsia="仿宋_GB2312" w:cs="仿宋"/>
          <w:color w:val="000000" w:themeColor="text1"/>
          <w:sz w:val="32"/>
          <w:szCs w:val="32"/>
          <w:highlight w:val="none"/>
          <w14:textFill>
            <w14:solidFill>
              <w14:schemeClr w14:val="tx1"/>
            </w14:solidFill>
          </w14:textFill>
        </w:rPr>
        <w:t>对符合条件的电竞企业，按照上年度实际支付租金的35%给予房租补贴，每个企业每年不超过150万元，资助期限不超过3年</w:t>
      </w:r>
      <w:r>
        <w:rPr>
          <w:rFonts w:ascii="仿宋_GB2312" w:hAnsi="仿宋" w:eastAsia="仿宋_GB2312" w:cs="仿宋"/>
          <w:color w:val="000000" w:themeColor="text1"/>
          <w:sz w:val="32"/>
          <w:szCs w:val="32"/>
          <w:highlight w:val="none"/>
          <w14:textFill>
            <w14:solidFill>
              <w14:schemeClr w14:val="tx1"/>
            </w14:solidFill>
          </w14:textFill>
        </w:rPr>
        <w:t>。</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二、资助方式</w:t>
      </w:r>
    </w:p>
    <w:p>
      <w:pPr>
        <w:widowControl/>
        <w:adjustRightInd w:val="0"/>
        <w:snapToGrid w:val="0"/>
        <w:spacing w:line="560" w:lineRule="exact"/>
        <w:ind w:firstLine="537" w:firstLineChars="168"/>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本项资金资助属于核准类项目，资助资金的安排使用坚持公平、公开、公正的原则，实行自愿申报、科学决策和绩效评估的管理制度，采取无偿资助方式和事后补贴制，受资助项目无需验收。本项目不受“区级地方财力贡献”限制。</w:t>
      </w:r>
    </w:p>
    <w:p>
      <w:pPr>
        <w:widowControl/>
        <w:adjustRightInd w:val="0"/>
        <w:snapToGrid w:val="0"/>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三、申请条件</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1、</w:t>
      </w:r>
      <w:r>
        <w:rPr>
          <w:rFonts w:hint="eastAsia" w:ascii="仿宋_GB2312" w:hAnsi="仿宋" w:eastAsia="仿宋_GB2312"/>
          <w:color w:val="000000" w:themeColor="text1"/>
          <w:sz w:val="32"/>
          <w:szCs w:val="32"/>
          <w:highlight w:val="none"/>
          <w14:textFill>
            <w14:solidFill>
              <w14:schemeClr w14:val="tx1"/>
            </w14:solidFill>
          </w14:textFill>
        </w:rPr>
        <w:t>在南山辖区内登记注册、具有独立法人资格；</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履行统计数据申报义务、守法经营、诚实守信、有规范健全的财务制度；</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w:t>
      </w:r>
      <w:r>
        <w:rPr>
          <w:rFonts w:hint="eastAsia" w:ascii="仿宋_GB2312" w:hAnsi="仿宋" w:eastAsia="仿宋_GB2312"/>
          <w:color w:val="000000" w:themeColor="text1"/>
          <w:sz w:val="32"/>
          <w:szCs w:val="32"/>
          <w:highlight w:val="none"/>
          <w14:textFill>
            <w14:solidFill>
              <w14:schemeClr w14:val="tx1"/>
            </w14:solidFill>
          </w14:textFill>
        </w:rPr>
        <w:t>应积极配合区委、区政府相关工作；</w:t>
      </w:r>
    </w:p>
    <w:p>
      <w:pPr>
        <w:adjustRightInd w:val="0"/>
        <w:snapToGrid w:val="0"/>
        <w:spacing w:line="560" w:lineRule="exact"/>
        <w:ind w:firstLine="640" w:firstLineChars="200"/>
        <w:rPr>
          <w:rFonts w:hint="eastAsia"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4、</w:t>
      </w:r>
      <w:r>
        <w:rPr>
          <w:rFonts w:hint="eastAsia" w:ascii="仿宋_GB2312" w:hAnsi="仿宋" w:eastAsia="仿宋_GB2312"/>
          <w:color w:val="000000" w:themeColor="text1"/>
          <w:sz w:val="32"/>
          <w:szCs w:val="32"/>
          <w:highlight w:val="none"/>
          <w14:textFill>
            <w14:solidFill>
              <w14:schemeClr w14:val="tx1"/>
            </w14:solidFill>
          </w14:textFill>
        </w:rPr>
        <w:t>其他除外情形的，由资金主管部门在产业扶持政策措施或其操作规程中另行作出明确规定。</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（二）不予资助情形：</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1、被依法依规纳入严重失信主体名单或失信惩戒措施清单的；</w:t>
      </w:r>
    </w:p>
    <w:p>
      <w:pPr>
        <w:adjustRightInd w:val="0"/>
        <w:snapToGrid w:val="0"/>
        <w:spacing w:line="560" w:lineRule="exac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14:textFill>
            <w14:solidFill>
              <w14:schemeClr w14:val="tx1"/>
            </w14:solidFill>
          </w14:textFill>
        </w:rPr>
        <w:t>、提出资助申请后，申报主体注册地或在地统计关系发生变化，不再符合申报条件的。</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四、申报类别</w:t>
      </w:r>
    </w:p>
    <w:p>
      <w:pPr>
        <w:pStyle w:val="14"/>
        <w:tabs>
          <w:tab w:val="left" w:pos="0"/>
        </w:tabs>
        <w:spacing w:line="560" w:lineRule="exact"/>
        <w:ind w:firstLine="64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支持培育电竞企业。</w:t>
      </w:r>
      <w:r>
        <w:rPr>
          <w:rFonts w:hint="eastAsia" w:ascii="仿宋_GB2312" w:hAnsi="宋体" w:eastAsia="仿宋_GB2312" w:cs="仿宋"/>
          <w:color w:val="000000" w:themeColor="text1"/>
          <w:sz w:val="32"/>
          <w:szCs w:val="32"/>
          <w:highlight w:val="none"/>
          <w14:textFill>
            <w14:solidFill>
              <w14:schemeClr w14:val="tx1"/>
            </w14:solidFill>
          </w14:textFill>
        </w:rPr>
        <w:t>对符合条件的电竞企业，按照上年度实际支付租金的35%给予房租补贴，每个企业每年不超过150万元，资助期限不超过3年</w:t>
      </w:r>
      <w:r>
        <w:rPr>
          <w:rFonts w:ascii="仿宋_GB2312" w:hAnsi="仿宋" w:eastAsia="仿宋_GB2312" w:cs="仿宋"/>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4"/>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1）电竞企业是指从事</w:t>
      </w:r>
      <w:r>
        <w:rPr>
          <w:rFonts w:hint="eastAsia" w:ascii="仿宋_GB2312" w:hAnsi="仿宋" w:eastAsia="仿宋_GB2312" w:cs="仿宋"/>
          <w:color w:val="000000" w:themeColor="text1"/>
          <w:sz w:val="32"/>
          <w:szCs w:val="32"/>
          <w:highlight w:val="none"/>
          <w14:textFill>
            <w14:solidFill>
              <w14:schemeClr w14:val="tx1"/>
            </w14:solidFill>
          </w14:textFill>
        </w:rPr>
        <w:t>电竞及相关产业的法人单位，主营业务范围包括电竞内容研发、电竞软件服务；电竞俱乐部、电竞赛事；电竞场馆、电竞产业园；电竞运营、电竞媒体、电竞教育和培训</w:t>
      </w:r>
      <w:r>
        <w:rPr>
          <w:rFonts w:hint="eastAsia" w:ascii="仿宋_GB2312" w:hAnsi="仿宋" w:eastAsia="仿宋_GB2312" w:cs="Times New Roman"/>
          <w:color w:val="000000"/>
          <w:sz w:val="32"/>
          <w:szCs w:val="32"/>
          <w:highlight w:val="none"/>
        </w:rPr>
        <w:t>。</w:t>
      </w:r>
    </w:p>
    <w:p>
      <w:pPr>
        <w:pStyle w:val="14"/>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2）申请</w:t>
      </w:r>
      <w:r>
        <w:rPr>
          <w:rFonts w:hint="eastAsia" w:ascii="仿宋_GB2312" w:hAnsi="仿宋" w:eastAsia="仿宋_GB2312" w:cs="Times New Roman"/>
          <w:color w:val="000000"/>
          <w:sz w:val="32"/>
          <w:szCs w:val="32"/>
          <w:highlight w:val="none"/>
          <w:lang w:val="en-US" w:eastAsia="zh-CN"/>
        </w:rPr>
        <w:t>上一</w:t>
      </w:r>
      <w:r>
        <w:rPr>
          <w:rFonts w:hint="eastAsia" w:ascii="仿宋_GB2312" w:hAnsi="仿宋" w:eastAsia="仿宋_GB2312" w:cs="Times New Roman"/>
          <w:color w:val="000000"/>
          <w:sz w:val="32"/>
          <w:szCs w:val="32"/>
          <w:highlight w:val="none"/>
        </w:rPr>
        <w:t>年度的主营收入不少于5</w:t>
      </w:r>
      <w:r>
        <w:rPr>
          <w:rFonts w:ascii="仿宋_GB2312" w:hAnsi="仿宋" w:eastAsia="仿宋_GB2312" w:cs="Times New Roman"/>
          <w:color w:val="000000"/>
          <w:sz w:val="32"/>
          <w:szCs w:val="32"/>
          <w:highlight w:val="none"/>
        </w:rPr>
        <w:t>00</w:t>
      </w:r>
      <w:r>
        <w:rPr>
          <w:rFonts w:hint="eastAsia" w:ascii="仿宋_GB2312" w:hAnsi="仿宋" w:eastAsia="仿宋_GB2312" w:cs="Times New Roman"/>
          <w:color w:val="000000"/>
          <w:sz w:val="32"/>
          <w:szCs w:val="32"/>
          <w:highlight w:val="none"/>
        </w:rPr>
        <w:t>万元</w:t>
      </w:r>
      <w:r>
        <w:rPr>
          <w:rFonts w:hint="eastAsia" w:ascii="仿宋_GB2312" w:hAnsi="仿宋" w:eastAsia="仿宋_GB2312" w:cs="Times New Roman"/>
          <w:color w:val="000000"/>
          <w:sz w:val="32"/>
          <w:szCs w:val="32"/>
          <w:highlight w:val="none"/>
          <w:lang w:val="en-US" w:eastAsia="zh-CN"/>
        </w:rPr>
        <w:t>且电竞相关产业的主营收入占比超过50%</w:t>
      </w:r>
      <w:r>
        <w:rPr>
          <w:rFonts w:hint="eastAsia" w:ascii="仿宋_GB2312" w:hAnsi="仿宋" w:eastAsia="仿宋_GB2312" w:cs="Times New Roman"/>
          <w:color w:val="000000"/>
          <w:sz w:val="32"/>
          <w:szCs w:val="32"/>
          <w:highlight w:val="none"/>
        </w:rPr>
        <w:t>。</w:t>
      </w:r>
    </w:p>
    <w:p>
      <w:pPr>
        <w:pStyle w:val="14"/>
        <w:tabs>
          <w:tab w:val="left" w:pos="0"/>
        </w:tabs>
        <w:spacing w:line="560" w:lineRule="exact"/>
        <w:ind w:firstLine="640"/>
        <w:rPr>
          <w:rFonts w:hint="default" w:ascii="仿宋_GB2312" w:hAnsi="仿宋" w:eastAsia="仿宋_GB2312" w:cs="仿宋"/>
          <w:color w:val="000000" w:themeColor="text1"/>
          <w:sz w:val="32"/>
          <w:szCs w:val="32"/>
          <w:highlight w:val="none"/>
          <w:lang w:val="en-US" w:eastAsia="zh-CN"/>
          <w14:textFill>
            <w14:solidFill>
              <w14:schemeClr w14:val="tx1"/>
            </w14:solidFill>
          </w14:textFill>
        </w:rPr>
      </w:pPr>
      <w:r>
        <w:rPr>
          <w:rFonts w:ascii="仿宋_GB2312" w:hAnsi="仿宋" w:eastAsia="仿宋_GB2312" w:cs="Times New Roman"/>
          <w:color w:val="000000"/>
          <w:sz w:val="32"/>
          <w:szCs w:val="32"/>
          <w:highlight w:val="none"/>
        </w:rPr>
        <w:t>3</w:t>
      </w:r>
      <w:r>
        <w:rPr>
          <w:rFonts w:hint="eastAsia" w:ascii="仿宋_GB2312" w:hAnsi="仿宋" w:eastAsia="仿宋_GB2312" w:cs="Times New Roman"/>
          <w:color w:val="000000"/>
          <w:sz w:val="32"/>
          <w:szCs w:val="32"/>
          <w:highlight w:val="none"/>
        </w:rPr>
        <w:t>）</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已享受完其他区级房租补贴政策的，不再重复享受。</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五、申报及审批流程</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申报主体登陆“i南山企业服务综合平台”（https://www.inanshan.org.cn/），网上提交项目申报材料；</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区企业发展服务中心受理申请，对申报材料进行形式性审核，区文化广电旅游体育局复审项目申报材料； </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区文化广电旅游体育局拟定资助计划；</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区统计局对申报主体在地统计开展情况进行核查，区企业发展服务中心组织对申报主体的注册情况、不良信用记录等情况进行核查；</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区企业发展服务中心将拟资助项目向社会公示5个工作日，对公示期满，无有效投诉的项目资助计划，再提交</w:t>
      </w:r>
      <w:r>
        <w:rPr>
          <w:rFonts w:hint="eastAsia"/>
          <w:color w:val="000000" w:themeColor="text1"/>
          <w:highlight w:val="none"/>
          <w:lang w:eastAsia="zh-CN"/>
          <w14:textFill>
            <w14:solidFill>
              <w14:schemeClr w14:val="tx1"/>
            </w14:solidFill>
          </w14:textFill>
        </w:rPr>
        <w:t>专责</w:t>
      </w:r>
      <w:r>
        <w:rPr>
          <w:rFonts w:hint="eastAsia"/>
          <w:color w:val="000000" w:themeColor="text1"/>
          <w:highlight w:val="none"/>
          <w14:textFill>
            <w14:solidFill>
              <w14:schemeClr w14:val="tx1"/>
            </w14:solidFill>
          </w14:textFill>
        </w:rPr>
        <w:t>小组会议进行审议；</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14:textFill>
            <w14:solidFill>
              <w14:schemeClr w14:val="tx1"/>
            </w14:solidFill>
          </w14:textFill>
        </w:rPr>
        <w:t>经审议后，由区文化广电旅游体育局直接行文下达资金计划；</w:t>
      </w:r>
    </w:p>
    <w:p>
      <w:pPr>
        <w:pStyle w:val="4"/>
        <w:spacing w:line="560" w:lineRule="exact"/>
        <w:ind w:firstLine="640" w:firstLineChars="200"/>
        <w:rPr>
          <w:color w:val="000000" w:themeColor="text1"/>
          <w:highlight w:val="none"/>
          <w14:textFill>
            <w14:solidFill>
              <w14:schemeClr w14:val="tx1"/>
            </w14:solidFill>
          </w14:textFill>
        </w:rPr>
      </w:pPr>
      <w:r>
        <w:rPr>
          <w:rFonts w:hint="eastAsia" w:cs="Times New Roman"/>
          <w:color w:val="000000" w:themeColor="text1"/>
          <w:kern w:val="2"/>
          <w:sz w:val="32"/>
          <w:szCs w:val="24"/>
          <w:highlight w:val="none"/>
          <w:lang w:val="en-US" w:eastAsia="zh-CN" w:bidi="ar-SA"/>
          <w14:textFill>
            <w14:solidFill>
              <w14:schemeClr w14:val="tx1"/>
            </w14:solidFill>
          </w14:textFill>
        </w:rPr>
        <w:t>7.</w:t>
      </w:r>
      <w:r>
        <w:rPr>
          <w:rFonts w:hint="eastAsia" w:ascii="仿宋_GB2312" w:hAnsi="Times New Roman" w:eastAsia="仿宋_GB2312" w:cs="Times New Roman"/>
          <w:color w:val="000000" w:themeColor="text1"/>
          <w:kern w:val="2"/>
          <w:sz w:val="32"/>
          <w:szCs w:val="24"/>
          <w:highlight w:val="none"/>
          <w:lang w:val="en-US" w:eastAsia="zh-CN" w:bidi="ar-SA"/>
          <w14:textFill>
            <w14:solidFill>
              <w14:schemeClr w14:val="tx1"/>
            </w14:solidFill>
          </w14:textFill>
        </w:rPr>
        <w:t>区财政部门及时安排资金，区文化广电旅游体育局办理资金拨付手续。</w:t>
      </w:r>
    </w:p>
    <w:p>
      <w:pPr>
        <w:widowControl/>
        <w:adjustRightInd w:val="0"/>
        <w:snapToGrid w:val="0"/>
        <w:spacing w:line="560" w:lineRule="exac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六、所需材料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申请类别为</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支持</w:t>
      </w:r>
      <w:r>
        <w:rPr>
          <w:rFonts w:hint="eastAsia" w:ascii="仿宋_GB2312" w:hAnsi="仿宋" w:eastAsia="仿宋_GB2312" w:cs="仿宋"/>
          <w:color w:val="000000" w:themeColor="text1"/>
          <w:sz w:val="32"/>
          <w:szCs w:val="32"/>
          <w:highlight w:val="none"/>
          <w14:textFill>
            <w14:solidFill>
              <w14:schemeClr w14:val="tx1"/>
            </w14:solidFill>
          </w14:textFill>
        </w:rPr>
        <w:t>培育电竞企业</w:t>
      </w:r>
      <w:r>
        <w:rPr>
          <w:rFonts w:hint="eastAsia" w:ascii="仿宋_GB2312" w:hAnsi="仿宋" w:eastAsia="仿宋_GB2312" w:cs="仿宋"/>
          <w:color w:val="000000" w:themeColor="text1"/>
          <w:sz w:val="32"/>
          <w:szCs w:val="32"/>
          <w:highlight w:val="none"/>
          <w:lang w:eastAsia="zh-CN"/>
          <w14:textFill>
            <w14:solidFill>
              <w14:schemeClr w14:val="tx1"/>
            </w14:solidFill>
          </w14:textFill>
        </w:rPr>
        <w:t>项目</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exac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登录“i南山企业服务综合平台”（https://www.inanshan.org.cn/）在线填写《</w:t>
      </w:r>
      <w:r>
        <w:rPr>
          <w:rFonts w:hint="eastAsia" w:ascii="仿宋_GB2312" w:hAnsi="仿宋" w:eastAsia="仿宋_GB2312" w:cs="仿宋"/>
          <w:bCs/>
          <w:color w:val="000000" w:themeColor="text1"/>
          <w:sz w:val="32"/>
          <w:highlight w:val="none"/>
          <w14:textFill>
            <w14:solidFill>
              <w14:schemeClr w14:val="tx1"/>
            </w14:solidFill>
          </w14:textFill>
        </w:rPr>
        <w:t>支持培育电竞企业项目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tbl>
      <w:tblPr>
        <w:tblStyle w:val="9"/>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序号</w:t>
            </w:r>
          </w:p>
        </w:tc>
        <w:tc>
          <w:tcPr>
            <w:tcW w:w="440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附件名称</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是否</w:t>
            </w:r>
          </w:p>
          <w:p>
            <w:pPr>
              <w:spacing w:line="276" w:lineRule="auto"/>
              <w:jc w:val="center"/>
              <w:rPr>
                <w:rFonts w:hint="eastAsia" w:ascii="楷体" w:hAnsi="楷体" w:eastAsia="楷体" w:cs="楷体"/>
                <w:b/>
                <w:sz w:val="24"/>
                <w:szCs w:val="24"/>
                <w:highlight w:val="none"/>
              </w:rPr>
            </w:pPr>
            <w:r>
              <w:rPr>
                <w:rFonts w:hint="eastAsia" w:ascii="楷体" w:hAnsi="楷体" w:eastAsia="楷体" w:cs="楷体"/>
                <w:sz w:val="24"/>
                <w:szCs w:val="24"/>
                <w:highlight w:val="none"/>
              </w:rPr>
              <w:t>必备材料</w:t>
            </w:r>
          </w:p>
        </w:tc>
        <w:tc>
          <w:tcPr>
            <w:tcW w:w="2336"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1</w:t>
            </w:r>
          </w:p>
        </w:tc>
        <w:tc>
          <w:tcPr>
            <w:tcW w:w="4405" w:type="dxa"/>
            <w:vAlign w:val="center"/>
          </w:tcPr>
          <w:p>
            <w:pPr>
              <w:spacing w:line="240" w:lineRule="atLeast"/>
              <w:ind w:left="-5" w:leftChars="0" w:right="42" w:rightChars="20"/>
              <w:jc w:val="center"/>
              <w:rPr>
                <w:rFonts w:hint="eastAsia" w:ascii="楷体" w:hAnsi="楷体" w:eastAsia="楷体" w:cs="楷体"/>
                <w:bCs/>
                <w:sz w:val="24"/>
                <w:szCs w:val="24"/>
                <w:highlight w:val="none"/>
              </w:rPr>
            </w:pPr>
            <w:r>
              <w:rPr>
                <w:rFonts w:hint="eastAsia" w:ascii="楷体" w:hAnsi="楷体" w:eastAsia="楷体" w:cs="楷体"/>
                <w:bCs/>
                <w:color w:val="000000"/>
                <w:sz w:val="24"/>
                <w:szCs w:val="24"/>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2</w:t>
            </w:r>
          </w:p>
        </w:tc>
        <w:tc>
          <w:tcPr>
            <w:tcW w:w="440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bCs/>
                <w:color w:val="000000" w:themeColor="text1"/>
                <w:sz w:val="24"/>
                <w:szCs w:val="24"/>
                <w:highlight w:val="none"/>
                <w14:textFill>
                  <w14:solidFill>
                    <w14:schemeClr w14:val="tx1"/>
                  </w14:solidFill>
                </w14:textFill>
              </w:rPr>
              <w:t>法定代表人身份证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cs="Times New Roman"/>
                <w:sz w:val="24"/>
                <w:highlight w:val="none"/>
              </w:rPr>
              <w:t>原件</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或复印件加盖单位公章</w:t>
            </w:r>
            <w:r>
              <w:rPr>
                <w:rFonts w:hint="eastAsia" w:ascii="楷体" w:hAnsi="楷体" w:eastAsia="楷体" w:cs="Times New Roman"/>
                <w:sz w:val="24"/>
                <w:highlight w:val="none"/>
                <w:lang w:eastAsia="zh-CN"/>
              </w:rPr>
              <w:t>）</w:t>
            </w:r>
            <w:r>
              <w:rPr>
                <w:rFonts w:hint="eastAsia" w:ascii="楷体" w:hAnsi="楷体" w:eastAsia="楷体" w:cs="Times New Roman"/>
                <w:sz w:val="24"/>
                <w:highlight w:val="none"/>
              </w:rPr>
              <w:t>彩色扫描</w:t>
            </w:r>
            <w:r>
              <w:rPr>
                <w:rFonts w:hint="eastAsia" w:ascii="楷体" w:hAnsi="楷体" w:eastAsia="楷体" w:cs="Times New Roman"/>
                <w:sz w:val="24"/>
                <w:highlight w:val="none"/>
                <w:lang w:eastAsia="zh-CN"/>
              </w:rPr>
              <w:t>成</w:t>
            </w:r>
            <w:r>
              <w:rPr>
                <w:rFonts w:hint="eastAsia" w:ascii="楷体" w:hAnsi="楷体" w:eastAsia="楷体" w:cs="Times New Roman"/>
                <w:sz w:val="24"/>
                <w:highlight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3</w:t>
            </w:r>
          </w:p>
        </w:tc>
        <w:tc>
          <w:tcPr>
            <w:tcW w:w="4405" w:type="dxa"/>
            <w:vAlign w:val="center"/>
          </w:tcPr>
          <w:p>
            <w:pPr>
              <w:spacing w:line="240" w:lineRule="atLeast"/>
              <w:ind w:left="-5" w:leftChars="0" w:right="42" w:rightChars="20"/>
              <w:jc w:val="center"/>
              <w:rPr>
                <w:rFonts w:hint="eastAsia" w:ascii="楷体" w:hAnsi="楷体" w:eastAsia="楷体" w:cs="楷体"/>
                <w:sz w:val="24"/>
                <w:szCs w:val="24"/>
                <w:highlight w:val="none"/>
              </w:rPr>
            </w:pPr>
            <w:r>
              <w:rPr>
                <w:rFonts w:hint="eastAsia" w:ascii="楷体" w:hAnsi="楷体" w:eastAsia="楷体"/>
                <w:sz w:val="24"/>
                <w:highlight w:val="none"/>
              </w:rPr>
              <w:t>税务部门提供的单位上一年度的纳税证明</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是</w:t>
            </w:r>
          </w:p>
        </w:tc>
        <w:tc>
          <w:tcPr>
            <w:tcW w:w="2336" w:type="dxa"/>
            <w:vAlign w:val="center"/>
          </w:tcPr>
          <w:p>
            <w:pPr>
              <w:spacing w:line="240" w:lineRule="atLeast"/>
              <w:jc w:val="left"/>
              <w:rPr>
                <w:rFonts w:hint="eastAsia" w:ascii="楷体" w:hAnsi="楷体" w:eastAsia="楷体" w:cs="楷体"/>
                <w:sz w:val="24"/>
                <w:szCs w:val="24"/>
                <w:highlight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4</w:t>
            </w:r>
          </w:p>
        </w:tc>
        <w:tc>
          <w:tcPr>
            <w:tcW w:w="4405" w:type="dxa"/>
            <w:vAlign w:val="center"/>
          </w:tcPr>
          <w:p>
            <w:pPr>
              <w:spacing w:line="240" w:lineRule="atLeast"/>
              <w:ind w:left="-5" w:right="42" w:rightChars="20"/>
              <w:jc w:val="center"/>
              <w:rPr>
                <w:rFonts w:hint="default" w:ascii="楷体" w:hAnsi="楷体" w:eastAsia="楷体" w:cs="楷体"/>
                <w:bCs/>
                <w:sz w:val="24"/>
                <w:szCs w:val="24"/>
                <w:highlight w:val="none"/>
                <w:lang w:val="en-US" w:eastAsia="zh-CN"/>
              </w:rPr>
            </w:pPr>
            <w:r>
              <w:rPr>
                <w:rFonts w:hint="eastAsia" w:ascii="楷体" w:hAnsi="楷体" w:eastAsia="楷体" w:cs="楷体"/>
                <w:color w:val="000000" w:themeColor="text1"/>
                <w:sz w:val="24"/>
                <w:szCs w:val="24"/>
                <w:highlight w:val="none"/>
                <w14:textFill>
                  <w14:solidFill>
                    <w14:schemeClr w14:val="tx1"/>
                  </w14:solidFill>
                </w14:textFill>
              </w:rPr>
              <w:t>电竞相关产业的主营收入</w:t>
            </w:r>
            <w:r>
              <w:rPr>
                <w:rFonts w:hint="eastAsia" w:ascii="楷体" w:hAnsi="楷体" w:eastAsia="楷体" w:cs="楷体"/>
                <w:color w:val="000000" w:themeColor="text1"/>
                <w:sz w:val="24"/>
                <w:szCs w:val="24"/>
                <w:highlight w:val="none"/>
                <w:lang w:val="en-US" w:eastAsia="zh-CN"/>
                <w14:textFill>
                  <w14:solidFill>
                    <w14:schemeClr w14:val="tx1"/>
                  </w14:solidFill>
                </w14:textFill>
              </w:rPr>
              <w:t>占比超过50%的证明材料</w:t>
            </w:r>
          </w:p>
        </w:tc>
        <w:tc>
          <w:tcPr>
            <w:tcW w:w="1595" w:type="dxa"/>
            <w:vAlign w:val="center"/>
          </w:tcPr>
          <w:p>
            <w:pPr>
              <w:spacing w:line="276" w:lineRule="auto"/>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restart"/>
            <w:vAlign w:val="center"/>
          </w:tcPr>
          <w:p>
            <w:pPr>
              <w:spacing w:line="276" w:lineRule="auto"/>
              <w:jc w:val="left"/>
              <w:rPr>
                <w:rFonts w:hint="eastAsia" w:ascii="楷体" w:hAnsi="楷体" w:eastAsia="楷体" w:cs="楷体"/>
                <w:bCs/>
                <w:color w:val="000000" w:themeColor="text1"/>
                <w:sz w:val="24"/>
                <w:szCs w:val="24"/>
                <w:highlight w:val="none"/>
                <w14:textFill>
                  <w14:solidFill>
                    <w14:schemeClr w14:val="tx1"/>
                  </w14:solidFill>
                </w14:textFill>
              </w:rPr>
            </w:pPr>
            <w:r>
              <w:rPr>
                <w:rFonts w:hint="eastAsia" w:ascii="楷体" w:hAnsi="楷体" w:eastAsia="楷体" w:cs="楷体"/>
                <w:bCs/>
                <w:color w:val="000000" w:themeColor="text1"/>
                <w:sz w:val="24"/>
                <w:szCs w:val="24"/>
                <w:highlight w:val="none"/>
                <w14:textFill>
                  <w14:solidFill>
                    <w14:schemeClr w14:val="tx1"/>
                  </w14:solidFill>
                </w14:textFill>
              </w:rPr>
              <w:t>原件彩色扫描</w:t>
            </w:r>
            <w:r>
              <w:rPr>
                <w:rFonts w:hint="eastAsia" w:ascii="楷体" w:hAnsi="楷体" w:eastAsia="楷体" w:cs="楷体"/>
                <w:bCs/>
                <w:color w:val="000000" w:themeColor="text1"/>
                <w:sz w:val="24"/>
                <w:szCs w:val="24"/>
                <w:highlight w:val="none"/>
                <w:lang w:eastAsia="zh-CN"/>
                <w14:textFill>
                  <w14:solidFill>
                    <w14:schemeClr w14:val="tx1"/>
                  </w14:solidFill>
                </w14:textFill>
              </w:rPr>
              <w:t>成</w:t>
            </w:r>
          </w:p>
          <w:p>
            <w:pPr>
              <w:spacing w:line="276" w:lineRule="auto"/>
              <w:jc w:val="left"/>
              <w:rPr>
                <w:rFonts w:hint="eastAsia" w:ascii="楷体" w:hAnsi="楷体" w:eastAsia="楷体" w:cs="楷体"/>
                <w:sz w:val="24"/>
                <w:szCs w:val="24"/>
                <w:highlight w:val="none"/>
              </w:rPr>
            </w:pPr>
            <w:r>
              <w:rPr>
                <w:rFonts w:hint="eastAsia" w:ascii="楷体" w:hAnsi="楷体" w:eastAsia="楷体" w:cs="楷体"/>
                <w:color w:val="000000" w:themeColor="text1"/>
                <w:sz w:val="24"/>
                <w:szCs w:val="24"/>
                <w:highlight w:val="none"/>
                <w14:textFill>
                  <w14:solidFill>
                    <w14:schemeClr w14:val="tx1"/>
                  </w14:solidFill>
                </w14:textFill>
              </w:rPr>
              <w:t>PDF</w:t>
            </w:r>
            <w:r>
              <w:rPr>
                <w:rFonts w:hint="eastAsia" w:ascii="楷体" w:hAnsi="楷体" w:eastAsia="楷体" w:cs="楷体"/>
                <w:color w:val="000000" w:themeColor="text1"/>
                <w:sz w:val="24"/>
                <w:szCs w:val="24"/>
                <w:highlight w:val="none"/>
                <w:lang w:val="en-US" w:eastAsia="zh-CN"/>
                <w14:textFill>
                  <w14:solidFill>
                    <w14:schemeClr w14:val="tx1"/>
                  </w14:solidFill>
                </w14:textFill>
              </w:rPr>
              <w:t>文件</w:t>
            </w:r>
            <w:r>
              <w:rPr>
                <w:rFonts w:hint="eastAsia" w:ascii="楷体" w:hAnsi="楷体" w:eastAsia="楷体" w:cs="楷体"/>
                <w:bCs/>
                <w:color w:val="000000" w:themeColor="text1"/>
                <w:sz w:val="24"/>
                <w:szCs w:val="24"/>
                <w:highlight w:val="none"/>
                <w14:textFill>
                  <w14:solidFill>
                    <w14:schemeClr w14:val="tx1"/>
                  </w14:solidFill>
                </w14:textFill>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5</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申请</w:t>
            </w:r>
            <w:r>
              <w:rPr>
                <w:rFonts w:hint="eastAsia" w:ascii="楷体" w:hAnsi="楷体" w:eastAsia="楷体" w:cs="楷体"/>
                <w:color w:val="000000" w:themeColor="text1"/>
                <w:sz w:val="24"/>
                <w:szCs w:val="24"/>
                <w:highlight w:val="none"/>
                <w:lang w:val="en-US" w:eastAsia="zh-CN"/>
                <w14:textFill>
                  <w14:solidFill>
                    <w14:schemeClr w14:val="tx1"/>
                  </w14:solidFill>
                </w14:textFill>
              </w:rPr>
              <w:t>上一</w:t>
            </w:r>
            <w:r>
              <w:rPr>
                <w:rFonts w:hint="eastAsia" w:ascii="楷体" w:hAnsi="楷体" w:eastAsia="楷体" w:cs="楷体"/>
                <w:color w:val="000000" w:themeColor="text1"/>
                <w:sz w:val="24"/>
                <w:szCs w:val="24"/>
                <w:highlight w:val="none"/>
                <w14:textFill>
                  <w14:solidFill>
                    <w14:schemeClr w14:val="tx1"/>
                  </w14:solidFill>
                </w14:textFill>
              </w:rPr>
              <w:t>年度的主营收入不少于500万元的证明材料</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6</w:t>
            </w:r>
          </w:p>
        </w:tc>
        <w:tc>
          <w:tcPr>
            <w:tcW w:w="4405" w:type="dxa"/>
            <w:vAlign w:val="center"/>
          </w:tcPr>
          <w:p>
            <w:pPr>
              <w:spacing w:line="240" w:lineRule="atLeast"/>
              <w:ind w:left="-5" w:right="42" w:rightChars="20"/>
              <w:jc w:val="center"/>
              <w:rPr>
                <w:rFonts w:hint="eastAsia" w:ascii="楷体" w:hAnsi="楷体" w:eastAsia="楷体" w:cs="楷体"/>
                <w:color w:val="000000" w:themeColor="text1"/>
                <w:sz w:val="24"/>
                <w:szCs w:val="24"/>
                <w:highlight w:val="none"/>
                <w14:textFill>
                  <w14:solidFill>
                    <w14:schemeClr w14:val="tx1"/>
                  </w14:solidFill>
                </w14:textFill>
              </w:rPr>
            </w:pPr>
            <w:r>
              <w:rPr>
                <w:rFonts w:hint="eastAsia" w:ascii="楷体" w:hAnsi="楷体" w:eastAsia="楷体" w:cs="楷体"/>
                <w:color w:val="000000" w:themeColor="text1"/>
                <w:sz w:val="24"/>
                <w:szCs w:val="24"/>
                <w:highlight w:val="none"/>
                <w14:textFill>
                  <w14:solidFill>
                    <w14:schemeClr w14:val="tx1"/>
                  </w14:solidFill>
                </w14:textFill>
              </w:rPr>
              <w:t>申请</w:t>
            </w:r>
            <w:r>
              <w:rPr>
                <w:rFonts w:hint="eastAsia" w:ascii="楷体" w:hAnsi="楷体" w:eastAsia="楷体" w:cs="楷体"/>
                <w:color w:val="000000" w:themeColor="text1"/>
                <w:sz w:val="24"/>
                <w:szCs w:val="24"/>
                <w:highlight w:val="none"/>
                <w:lang w:val="en-US" w:eastAsia="zh-CN"/>
                <w14:textFill>
                  <w14:solidFill>
                    <w14:schemeClr w14:val="tx1"/>
                  </w14:solidFill>
                </w14:textFill>
              </w:rPr>
              <w:t>上一</w:t>
            </w:r>
            <w:r>
              <w:rPr>
                <w:rFonts w:hint="eastAsia" w:ascii="楷体" w:hAnsi="楷体" w:eastAsia="楷体" w:cs="楷体"/>
                <w:color w:val="000000" w:themeColor="text1"/>
                <w:sz w:val="24"/>
                <w:szCs w:val="24"/>
                <w:highlight w:val="none"/>
                <w14:textFill>
                  <w14:solidFill>
                    <w14:schemeClr w14:val="tx1"/>
                  </w14:solidFill>
                </w14:textFill>
              </w:rPr>
              <w:t>年度实际支付租金的证明材料，包括租赁合同、发票、银行往来凭证</w:t>
            </w:r>
          </w:p>
        </w:tc>
        <w:tc>
          <w:tcPr>
            <w:tcW w:w="1595" w:type="dxa"/>
            <w:vAlign w:val="center"/>
          </w:tcPr>
          <w:p>
            <w:pPr>
              <w:spacing w:line="240" w:lineRule="atLeast"/>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是</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sz w:val="24"/>
                <w:szCs w:val="24"/>
                <w:highlight w:val="none"/>
              </w:rPr>
            </w:pPr>
            <w:bookmarkStart w:id="0" w:name="_GoBack" w:colFirst="0" w:colLast="2"/>
            <w:r>
              <w:rPr>
                <w:rFonts w:hint="eastAsia" w:ascii="楷体" w:hAnsi="楷体" w:eastAsia="楷体" w:cs="楷体"/>
                <w:sz w:val="24"/>
                <w:szCs w:val="24"/>
                <w:highlight w:val="none"/>
              </w:rPr>
              <w:t>7</w:t>
            </w:r>
          </w:p>
        </w:tc>
        <w:tc>
          <w:tcPr>
            <w:tcW w:w="4405" w:type="dxa"/>
            <w:vAlign w:val="center"/>
          </w:tcPr>
          <w:p>
            <w:pPr>
              <w:spacing w:line="240" w:lineRule="atLeast"/>
              <w:ind w:right="42" w:rightChars="20"/>
              <w:jc w:val="center"/>
              <w:rPr>
                <w:rFonts w:hint="eastAsia" w:ascii="楷体" w:hAnsi="楷体" w:eastAsia="楷体" w:cs="楷体"/>
                <w:sz w:val="24"/>
                <w:szCs w:val="24"/>
                <w:highlight w:val="none"/>
              </w:rPr>
            </w:pPr>
            <w:r>
              <w:rPr>
                <w:rFonts w:hint="eastAsia" w:ascii="楷体" w:hAnsi="楷体" w:eastAsia="楷体" w:cs="楷体"/>
                <w:bCs/>
                <w:iCs/>
                <w:sz w:val="24"/>
                <w:szCs w:val="24"/>
                <w:highlight w:val="none"/>
              </w:rPr>
              <w:t>申请书签字盖章版</w:t>
            </w:r>
          </w:p>
        </w:tc>
        <w:tc>
          <w:tcPr>
            <w:tcW w:w="1595" w:type="dxa"/>
            <w:vAlign w:val="center"/>
          </w:tcPr>
          <w:p>
            <w:pPr>
              <w:spacing w:line="240" w:lineRule="atLeas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是</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vAlign w:val="center"/>
          </w:tcPr>
          <w:p>
            <w:pPr>
              <w:spacing w:line="240" w:lineRule="atLeast"/>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lang w:val="en-US" w:eastAsia="zh-CN"/>
              </w:rPr>
              <w:t>8</w:t>
            </w:r>
          </w:p>
        </w:tc>
        <w:tc>
          <w:tcPr>
            <w:tcW w:w="4405" w:type="dxa"/>
            <w:vAlign w:val="center"/>
          </w:tcPr>
          <w:p>
            <w:pPr>
              <w:spacing w:line="240" w:lineRule="atLeast"/>
              <w:ind w:right="42" w:rightChars="20"/>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bCs/>
                <w:iCs/>
                <w:sz w:val="24"/>
                <w:szCs w:val="24"/>
                <w:highlight w:val="none"/>
              </w:rPr>
              <w:t>其它附件</w:t>
            </w:r>
          </w:p>
        </w:tc>
        <w:tc>
          <w:tcPr>
            <w:tcW w:w="1595" w:type="dxa"/>
            <w:vAlign w:val="center"/>
          </w:tcPr>
          <w:p>
            <w:pPr>
              <w:spacing w:line="240" w:lineRule="atLeast"/>
              <w:jc w:val="center"/>
              <w:rPr>
                <w:rFonts w:hint="eastAsia" w:ascii="楷体" w:hAnsi="楷体" w:eastAsia="楷体" w:cs="楷体"/>
                <w:kern w:val="2"/>
                <w:sz w:val="24"/>
                <w:szCs w:val="24"/>
                <w:highlight w:val="none"/>
                <w:lang w:val="en-US" w:eastAsia="zh-CN" w:bidi="ar-SA"/>
              </w:rPr>
            </w:pPr>
            <w:r>
              <w:rPr>
                <w:rFonts w:hint="eastAsia" w:ascii="楷体" w:hAnsi="楷体" w:eastAsia="楷体" w:cs="楷体"/>
                <w:sz w:val="24"/>
                <w:szCs w:val="24"/>
                <w:highlight w:val="none"/>
              </w:rPr>
              <w:t>否</w:t>
            </w:r>
          </w:p>
        </w:tc>
        <w:tc>
          <w:tcPr>
            <w:tcW w:w="2336" w:type="dxa"/>
            <w:vMerge w:val="continue"/>
            <w:tcBorders/>
            <w:vAlign w:val="center"/>
          </w:tcPr>
          <w:p>
            <w:pPr>
              <w:spacing w:line="240" w:lineRule="atLeast"/>
              <w:jc w:val="left"/>
              <w:rPr>
                <w:rFonts w:hint="eastAsia" w:ascii="楷体" w:hAnsi="楷体" w:eastAsia="楷体" w:cs="楷体"/>
                <w:sz w:val="24"/>
                <w:szCs w:val="24"/>
                <w:highlight w:val="none"/>
              </w:rPr>
            </w:pPr>
          </w:p>
        </w:tc>
      </w:tr>
      <w:bookmarkEnd w:id="0"/>
    </w:tbl>
    <w:p>
      <w:pPr>
        <w:pStyle w:val="7"/>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七、其他事项</w:t>
      </w:r>
    </w:p>
    <w:p>
      <w:pPr>
        <w:pStyle w:val="7"/>
        <w:shd w:val="clear" w:color="auto" w:fill="FFFFFF"/>
        <w:adjustRightInd w:val="0"/>
        <w:snapToGrid w:val="0"/>
        <w:spacing w:before="0" w:beforeAutospacing="0" w:after="0" w:afterAutospacing="0" w:line="560" w:lineRule="exact"/>
        <w:ind w:firstLine="645"/>
        <w:jc w:val="both"/>
        <w:rPr>
          <w:rFonts w:ascii="仿宋_GB2312" w:hAnsi="仿宋" w:eastAsia="仿宋_GB2312" w:cs="Times New Roman"/>
          <w:color w:val="000000" w:themeColor="text1"/>
          <w:sz w:val="32"/>
          <w:szCs w:val="32"/>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申请本项目资助的企业应保证其申报材料的完整性、</w:t>
      </w:r>
      <w:r>
        <w:rPr>
          <w:rFonts w:hint="eastAsia" w:ascii="仿宋_GB2312" w:hAnsi="仿宋" w:eastAsia="仿宋_GB2312" w:cs="Times New Roman"/>
          <w:color w:val="000000" w:themeColor="text1"/>
          <w:sz w:val="32"/>
          <w:szCs w:val="32"/>
          <w:highlight w:val="none"/>
          <w14:textFill>
            <w14:solidFill>
              <w14:schemeClr w14:val="tx1"/>
            </w14:solidFill>
          </w14:textFill>
        </w:rPr>
        <w:t>真实性、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准确性</w:t>
      </w:r>
      <w:r>
        <w:rPr>
          <w:rFonts w:hint="eastAsia" w:ascii="仿宋_GB2312" w:hAnsi="仿宋" w:eastAsia="仿宋_GB2312" w:cs="Times New Roman"/>
          <w:color w:val="000000" w:themeColor="text1"/>
          <w:sz w:val="32"/>
          <w:szCs w:val="32"/>
          <w:highlight w:val="none"/>
          <w14:textFill>
            <w14:solidFill>
              <w14:schemeClr w14:val="tx1"/>
            </w14:solidFill>
          </w14:textFill>
        </w:rPr>
        <w:t>及合法性</w:t>
      </w:r>
      <w:r>
        <w:rPr>
          <w:rFonts w:hint="eastAsia" w:ascii="仿宋_GB2312" w:hAnsi="仿宋" w:eastAsia="仿宋_GB2312" w:cs="Times New Roman"/>
          <w:color w:val="000000" w:themeColor="text1"/>
          <w:kern w:val="2"/>
          <w:sz w:val="32"/>
          <w:szCs w:val="32"/>
          <w:highlight w:val="none"/>
          <w14:textFill>
            <w14:solidFill>
              <w14:schemeClr w14:val="tx1"/>
            </w14:solidFill>
          </w14:textFill>
        </w:rPr>
        <w:t>，</w:t>
      </w:r>
      <w:r>
        <w:rPr>
          <w:rFonts w:hint="eastAsia" w:ascii="仿宋_GB2312" w:hAnsi="仿宋" w:eastAsia="仿宋_GB2312" w:cs="Times New Roman"/>
          <w:color w:val="000000" w:themeColor="text1"/>
          <w:sz w:val="32"/>
          <w:szCs w:val="32"/>
          <w:highlight w:val="none"/>
          <w14:textFill>
            <w14:solidFill>
              <w14:schemeClr w14:val="tx1"/>
            </w14:solidFill>
          </w14:textFill>
        </w:rPr>
        <w:t>并承担所提交的项目申报材料的相关法律责任，如有虚假或侵权等行为，该项目申请无效，如事后发现存在以上行为，本资金主管部门将保留依法追究其法律责任的权利。</w:t>
      </w:r>
    </w:p>
    <w:p>
      <w:pPr>
        <w:pStyle w:val="7"/>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14:textFill>
            <w14:solidFill>
              <w14:schemeClr w14:val="tx1"/>
            </w14:solidFill>
          </w14:textFill>
        </w:rPr>
        <w:t>八、附则</w:t>
      </w:r>
    </w:p>
    <w:p>
      <w:pPr>
        <w:pStyle w:val="7"/>
        <w:shd w:val="clear" w:color="auto" w:fill="FFFFFF"/>
        <w:adjustRightInd w:val="0"/>
        <w:snapToGrid w:val="0"/>
        <w:spacing w:before="0" w:beforeAutospacing="0" w:after="0" w:afterAutospacing="0" w:line="560" w:lineRule="exact"/>
        <w:ind w:firstLine="640" w:firstLineChars="200"/>
        <w:jc w:val="both"/>
        <w:rPr>
          <w:rFonts w:ascii="仿宋_GB2312" w:eastAsia="仿宋_GB2312"/>
          <w:color w:val="000000" w:themeColor="text1"/>
          <w:highlight w:val="none"/>
          <w14:textFill>
            <w14:solidFill>
              <w14:schemeClr w14:val="tx1"/>
            </w14:solidFill>
          </w14:textFill>
        </w:rPr>
      </w:pPr>
      <w:r>
        <w:rPr>
          <w:rFonts w:hint="eastAsia" w:ascii="仿宋_GB2312" w:hAnsi="仿宋" w:eastAsia="仿宋_GB2312" w:cs="Times New Roman"/>
          <w:color w:val="000000" w:themeColor="text1"/>
          <w:kern w:val="2"/>
          <w:sz w:val="32"/>
          <w:szCs w:val="32"/>
          <w:highlight w:val="none"/>
          <w14:textFill>
            <w14:solidFill>
              <w14:schemeClr w14:val="tx1"/>
            </w14:solidFill>
          </w14:textFill>
        </w:rPr>
        <w:t>本规程由南山区文化广电旅游体育局负责解释，自发布之日起施行。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9097515"/>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3NmZlZGU2MTUxNzU1NDM0ZTgzOGI1YzBkOTcxZTMifQ=="/>
  </w:docVars>
  <w:rsids>
    <w:rsidRoot w:val="1E9B000F"/>
    <w:rsid w:val="00007F6F"/>
    <w:rsid w:val="00024D3C"/>
    <w:rsid w:val="00031E90"/>
    <w:rsid w:val="00033CA7"/>
    <w:rsid w:val="00044F20"/>
    <w:rsid w:val="000472C9"/>
    <w:rsid w:val="00074783"/>
    <w:rsid w:val="000965F4"/>
    <w:rsid w:val="000B0273"/>
    <w:rsid w:val="000D3AF5"/>
    <w:rsid w:val="00115BCC"/>
    <w:rsid w:val="001421E0"/>
    <w:rsid w:val="00143A36"/>
    <w:rsid w:val="0015404E"/>
    <w:rsid w:val="00154D00"/>
    <w:rsid w:val="00177E5F"/>
    <w:rsid w:val="001952D7"/>
    <w:rsid w:val="001B0C22"/>
    <w:rsid w:val="0020003E"/>
    <w:rsid w:val="0026218E"/>
    <w:rsid w:val="00275C4B"/>
    <w:rsid w:val="002E7D20"/>
    <w:rsid w:val="003044C7"/>
    <w:rsid w:val="00385363"/>
    <w:rsid w:val="00396D2A"/>
    <w:rsid w:val="003E6CDD"/>
    <w:rsid w:val="003F33E9"/>
    <w:rsid w:val="0040302E"/>
    <w:rsid w:val="0040362C"/>
    <w:rsid w:val="004329C4"/>
    <w:rsid w:val="00456C09"/>
    <w:rsid w:val="00475747"/>
    <w:rsid w:val="00484F4E"/>
    <w:rsid w:val="0048721F"/>
    <w:rsid w:val="004C3649"/>
    <w:rsid w:val="005956B2"/>
    <w:rsid w:val="00595A1F"/>
    <w:rsid w:val="005C1AD0"/>
    <w:rsid w:val="005D048F"/>
    <w:rsid w:val="005D529D"/>
    <w:rsid w:val="005E6DED"/>
    <w:rsid w:val="006255F8"/>
    <w:rsid w:val="00651611"/>
    <w:rsid w:val="0070304A"/>
    <w:rsid w:val="00705AFF"/>
    <w:rsid w:val="00765457"/>
    <w:rsid w:val="00772729"/>
    <w:rsid w:val="007A67CC"/>
    <w:rsid w:val="007C0661"/>
    <w:rsid w:val="007D0365"/>
    <w:rsid w:val="007E2AAA"/>
    <w:rsid w:val="007E59AE"/>
    <w:rsid w:val="007F1E08"/>
    <w:rsid w:val="008058F8"/>
    <w:rsid w:val="00810CAC"/>
    <w:rsid w:val="0086601C"/>
    <w:rsid w:val="00886129"/>
    <w:rsid w:val="00896F3C"/>
    <w:rsid w:val="008A06B8"/>
    <w:rsid w:val="008B0EB5"/>
    <w:rsid w:val="008C5A2F"/>
    <w:rsid w:val="008C75B3"/>
    <w:rsid w:val="008D3C58"/>
    <w:rsid w:val="008F5A0A"/>
    <w:rsid w:val="00904B58"/>
    <w:rsid w:val="00920AE3"/>
    <w:rsid w:val="00956EE7"/>
    <w:rsid w:val="00977354"/>
    <w:rsid w:val="009944AF"/>
    <w:rsid w:val="00995D7C"/>
    <w:rsid w:val="009A0E64"/>
    <w:rsid w:val="009B0D2F"/>
    <w:rsid w:val="009B3AE0"/>
    <w:rsid w:val="009D57BC"/>
    <w:rsid w:val="009E2DAA"/>
    <w:rsid w:val="009F4297"/>
    <w:rsid w:val="00A047A0"/>
    <w:rsid w:val="00A271AA"/>
    <w:rsid w:val="00A82793"/>
    <w:rsid w:val="00A86FF4"/>
    <w:rsid w:val="00AA3ECD"/>
    <w:rsid w:val="00AC0D4D"/>
    <w:rsid w:val="00AD6040"/>
    <w:rsid w:val="00AE260C"/>
    <w:rsid w:val="00B101C1"/>
    <w:rsid w:val="00B17BF3"/>
    <w:rsid w:val="00B22CDB"/>
    <w:rsid w:val="00B30736"/>
    <w:rsid w:val="00B77C53"/>
    <w:rsid w:val="00B803E6"/>
    <w:rsid w:val="00B84C49"/>
    <w:rsid w:val="00B91CA9"/>
    <w:rsid w:val="00BA5F30"/>
    <w:rsid w:val="00BC06DD"/>
    <w:rsid w:val="00BD6E4F"/>
    <w:rsid w:val="00BE7C30"/>
    <w:rsid w:val="00C97DDB"/>
    <w:rsid w:val="00CA2CD5"/>
    <w:rsid w:val="00CA4770"/>
    <w:rsid w:val="00CD6F9A"/>
    <w:rsid w:val="00CE00CC"/>
    <w:rsid w:val="00CE1FF7"/>
    <w:rsid w:val="00CE6F5B"/>
    <w:rsid w:val="00CE7E06"/>
    <w:rsid w:val="00D13618"/>
    <w:rsid w:val="00D818FD"/>
    <w:rsid w:val="00DF10BB"/>
    <w:rsid w:val="00E040F9"/>
    <w:rsid w:val="00E102DA"/>
    <w:rsid w:val="00E1265B"/>
    <w:rsid w:val="00E23039"/>
    <w:rsid w:val="00E4544B"/>
    <w:rsid w:val="00EA5699"/>
    <w:rsid w:val="00EC4977"/>
    <w:rsid w:val="00ED5415"/>
    <w:rsid w:val="00F0380B"/>
    <w:rsid w:val="00F07B9B"/>
    <w:rsid w:val="00F07CA9"/>
    <w:rsid w:val="00F2135A"/>
    <w:rsid w:val="00F254EF"/>
    <w:rsid w:val="00F2602B"/>
    <w:rsid w:val="00F3450B"/>
    <w:rsid w:val="00F54B2C"/>
    <w:rsid w:val="00F8077A"/>
    <w:rsid w:val="00F85813"/>
    <w:rsid w:val="00F95C5E"/>
    <w:rsid w:val="00FB46B8"/>
    <w:rsid w:val="00FB6C39"/>
    <w:rsid w:val="00FD76D6"/>
    <w:rsid w:val="00FF0E03"/>
    <w:rsid w:val="0174291E"/>
    <w:rsid w:val="0381433E"/>
    <w:rsid w:val="095C7285"/>
    <w:rsid w:val="104D08F5"/>
    <w:rsid w:val="119C505E"/>
    <w:rsid w:val="168B0344"/>
    <w:rsid w:val="1E395720"/>
    <w:rsid w:val="1E9B000F"/>
    <w:rsid w:val="1FAD4DE8"/>
    <w:rsid w:val="26843B0A"/>
    <w:rsid w:val="2A0E4549"/>
    <w:rsid w:val="2BFA16CB"/>
    <w:rsid w:val="2EB67F07"/>
    <w:rsid w:val="3436272C"/>
    <w:rsid w:val="365F39E8"/>
    <w:rsid w:val="37B104F6"/>
    <w:rsid w:val="381C2CCF"/>
    <w:rsid w:val="3CB55CD9"/>
    <w:rsid w:val="42D91274"/>
    <w:rsid w:val="431D4C7D"/>
    <w:rsid w:val="432C2634"/>
    <w:rsid w:val="43464909"/>
    <w:rsid w:val="435B3796"/>
    <w:rsid w:val="4A6807A1"/>
    <w:rsid w:val="4E92280E"/>
    <w:rsid w:val="50605CC5"/>
    <w:rsid w:val="54910013"/>
    <w:rsid w:val="58A43CF2"/>
    <w:rsid w:val="5C8512A6"/>
    <w:rsid w:val="613A4966"/>
    <w:rsid w:val="64561B9C"/>
    <w:rsid w:val="67183602"/>
    <w:rsid w:val="67CD10DC"/>
    <w:rsid w:val="684D1036"/>
    <w:rsid w:val="6A6E71F1"/>
    <w:rsid w:val="6CE13347"/>
    <w:rsid w:val="6D3414FD"/>
    <w:rsid w:val="71E2790D"/>
    <w:rsid w:val="72490A6C"/>
    <w:rsid w:val="79843D9B"/>
    <w:rsid w:val="7D9C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jc w:val="center"/>
      <w:outlineLvl w:val="0"/>
    </w:pPr>
    <w:rPr>
      <w:rFonts w:eastAsia="黑体"/>
      <w:bCs/>
      <w:kern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footer"/>
    <w:basedOn w:val="1"/>
    <w:link w:val="17"/>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6"/>
    <w:qFormat/>
    <w:uiPriority w:val="0"/>
    <w:rPr>
      <w:b/>
      <w:bCs/>
    </w:rPr>
  </w:style>
  <w:style w:type="character" w:styleId="11">
    <w:name w:val="annotation reference"/>
    <w:basedOn w:val="10"/>
    <w:qFormat/>
    <w:uiPriority w:val="0"/>
    <w:rPr>
      <w:sz w:val="21"/>
      <w:szCs w:val="21"/>
    </w:rPr>
  </w:style>
  <w:style w:type="character" w:customStyle="1" w:styleId="12">
    <w:name w:val="font51"/>
    <w:basedOn w:val="10"/>
    <w:qFormat/>
    <w:uiPriority w:val="0"/>
    <w:rPr>
      <w:rFonts w:hint="eastAsia" w:ascii="宋体" w:hAnsi="宋体" w:eastAsia="宋体" w:cs="宋体"/>
      <w:color w:val="000000"/>
      <w:sz w:val="24"/>
      <w:szCs w:val="24"/>
      <w:u w:val="none"/>
    </w:rPr>
  </w:style>
  <w:style w:type="character" w:customStyle="1" w:styleId="13">
    <w:name w:val="页眉 字符"/>
    <w:basedOn w:val="10"/>
    <w:link w:val="6"/>
    <w:qFormat/>
    <w:uiPriority w:val="0"/>
    <w:rPr>
      <w:kern w:val="2"/>
      <w:sz w:val="18"/>
      <w:szCs w:val="18"/>
    </w:rPr>
  </w:style>
  <w:style w:type="paragraph" w:customStyle="1" w:styleId="14">
    <w:name w:val="列出段落1"/>
    <w:basedOn w:val="1"/>
    <w:qFormat/>
    <w:uiPriority w:val="34"/>
    <w:pPr>
      <w:ind w:firstLine="420" w:firstLineChars="200"/>
    </w:pPr>
    <w:rPr>
      <w:rFonts w:ascii="Calibri" w:hAnsi="Calibri" w:cs="宋体"/>
    </w:rPr>
  </w:style>
  <w:style w:type="character" w:customStyle="1" w:styleId="15">
    <w:name w:val="批注文字 字符"/>
    <w:basedOn w:val="10"/>
    <w:link w:val="3"/>
    <w:qFormat/>
    <w:uiPriority w:val="0"/>
    <w:rPr>
      <w:kern w:val="2"/>
      <w:sz w:val="21"/>
      <w:szCs w:val="24"/>
    </w:rPr>
  </w:style>
  <w:style w:type="character" w:customStyle="1" w:styleId="16">
    <w:name w:val="批注主题 字符"/>
    <w:basedOn w:val="15"/>
    <w:link w:val="8"/>
    <w:qFormat/>
    <w:uiPriority w:val="0"/>
    <w:rPr>
      <w:b/>
      <w:bCs/>
      <w:kern w:val="2"/>
      <w:sz w:val="21"/>
      <w:szCs w:val="24"/>
    </w:rPr>
  </w:style>
  <w:style w:type="character" w:customStyle="1" w:styleId="17">
    <w:name w:val="页脚 字符"/>
    <w:basedOn w:val="10"/>
    <w:link w:val="5"/>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1529</Words>
  <Characters>1615</Characters>
  <Lines>11</Lines>
  <Paragraphs>3</Paragraphs>
  <TotalTime>0</TotalTime>
  <ScaleCrop>false</ScaleCrop>
  <LinksUpToDate>false</LinksUpToDate>
  <CharactersWithSpaces>1616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2022-07-23T05:12:00Z</dcterms:created>
  <dc:creator>王榕</dc:creator>
  <cp:lastModifiedBy>hjx</cp:lastModifiedBy>
  <cp:lastPrinted>2021-06-04T03:18:00Z</cp:lastPrinted>
  <dcterms:modified xsi:type="dcterms:W3CDTF">2023-04-04T02:12:15Z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F9B4B179ACCB4C4897F2212169195F0F</vt:lpwstr>
  </property>
</Properties>
</file>