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Times New Roman" w:cs="Times New Roman"/>
          <w:sz w:val="44"/>
          <w:szCs w:val="44"/>
        </w:rPr>
      </w:pPr>
    </w:p>
    <w:p>
      <w:pPr>
        <w:spacing w:line="560" w:lineRule="exact"/>
        <w:rPr>
          <w:rFonts w:hint="eastAsia" w:ascii="仿宋_GB2312" w:hAnsi="Times New Roman" w:cs="Times New Roman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宋体" w:hAnsi="宋体" w:eastAsia="宋体" w:cs="宋体"/>
          <w:bCs/>
          <w:color w:val="333333"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44"/>
          <w:szCs w:val="44"/>
          <w:shd w:val="clear" w:color="auto" w:fill="FFFFFF"/>
          <w:lang w:val="en-US" w:eastAsia="zh-CN" w:bidi="ar-SA"/>
        </w:rPr>
        <w:t>南山区2020年政府信息公开工作年度报告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/>
        <w:jc w:val="both"/>
        <w:textAlignment w:val="auto"/>
        <w:rPr>
          <w:rFonts w:ascii="宋体" w:hAnsi="宋体" w:eastAsia="宋体" w:cs="宋体"/>
          <w:color w:val="333333"/>
          <w:kern w:val="0"/>
          <w:sz w:val="19"/>
          <w:szCs w:val="19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b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根据《中华人民共和国政府信息公开条例》（以下简称《条例》）的规定，现公布南山区2020年政府信息公开工作年度报告。本报告由总体情况、主动公开政府信息情况、收到和处理政府信息公开申请的情况、政府信息公开行政复议和行政诉讼情况、存在的问题、改进措施和其他六部分组成，起止时间为2020年1月1日至2020年12月31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  <w:lang w:val="en-US" w:eastAsia="zh-CN" w:bidi="ar-SA"/>
        </w:rPr>
        <w:t xml:space="preserve">    2020年，南山区严格贯彻落实《条例》，全面深入推进政务公开标准化规范化，聚焦服务和创新应用，在深度融入数字政府建设中探索政务公开、政务服务新路径，助力新冠肺炎疫情防控和复工复产，不断提升城区治理能力，打造法治政府、阳光政府、服务型政府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南山区推进政务公开标准化规范化相关做法被“学习强国”平台转载。南山区政府蝉联荣获深圳市政府政务公开“金秤砣”奖。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（一）坚持标准引领，推动政府信息公开规范化建设。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严格落实各级关于政务公开标准化规范化建设的部署要求，在制度建设、平台建设等方面积极探索，让政府工作信息更透明、更规范，群众、企业办事更便捷、更省心。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一是编制完成基层政务公开事项标准目录。参照国务院部门制定的试点领域标准指引，制定《南山区基层政务公开标准化规范化工作实施方案》，编制完成《南山区基层政务公开事项标准目录》《南山区街道级政务公开事项标准目录》并在区政府门户网站公开、解读，25个领域基层政务公开事项标准目录共梳理编制149个一级事项、1941个二级事项，公开事项分类科学、名称规范，实现政务过程和结果全公开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二是推进政务公开平台规范化建设管理。完成区政府门户网站向广东省政府网站集约化平台迁移，规范建设政府信息公开专栏，实现政府网站资源优化融合、管理统筹规范、服务便捷高效。加强对区政府门户网站和政务新媒体的常态化监管，为群众提供权威准确的政务信息服务。全年区政府门户共发布信息40872条，区政务服务微信公众号发表推文232篇、粉丝近83万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三是推动政务服务公开标准化。全面准确公开政务服务事项办事指南、办事流程等信息，实现事前指南清晰明了、事中进展实时掌握、事后结果及时获知。以高效便民和涉企事项为切入点，在广东政务服务网南山专区开设“一件事主题服务”专栏，推行“一件事”办事指南标准化、简单化、规范化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（二）坚持改革创新，积极探索政务公开和政务服务新模式。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以需求为导向，运用信息新技术赋能，积极推行“互联网+政务”，全链条加强政府信息管理，创新推进政务公开、政务服务工作。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一是以便民为宗旨探索政府信息精准推送。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依托“广东政务服务网-南山区”政务服务历史办事存量数据信息，构建市民及企业政务服务画像，智能感知服务需求，主动将可办事项推送到企业办事账户。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在i深圳、区政府网站产业发展综合服务平台上线“惠企政策精准送”，对南山区“1+6”产业扶持资金和“暖企惠企”双12条政策进行梳理，实现政策精准送达。疫情期间通过“惠企政策精准送”极大推动政策精准落地，助力企业复工复产。通过惠企政策与主题服务事项梳理、流程优化、效果展示等措施，解决办事“痛难堵”点，提升办事便捷度、满意度、幸福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二是以需求为导向探索公众参与政务公开新模式。建立重大行政决策公众参与机制，广泛征集公众意见、及时回应社会关切。 通过远程视频连线技术开展“政企面对面”活动，解读惠企政策，回应企业关注问题。组织开展9期“解读南山”在线访谈，积极拓展政策解读展现形式，通过动漫解读、视频连线等方式，吸引企业和群众关注、参与，让公众“看得见”“听得懂”“信得过”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三是以创新为驱动探索政务服务新形式。借力大数据推进“一网通办”“一件事一次办”“秒批”“无感申办”等工作，“一次跑”“零跑动”“指尖办”“容缺办”“马上办”“湾区通办”等审批制度改革任务圆满完成，为深圳市网上政务服务能力蝉联全国重点城市第一作出贡献，我区政务服务工作获央视、新华网、《经济日报》等中央级媒体报道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（三）坚持依法依规，建立全流程依申请公开规范办理机制。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2020年我区各部门共收到262宗政府信息公开申请，同比增加4.8%，均在法定期限内答复。2020年，我区因政府信息公开被提起的行政复议案件共5宗,行政诉讼案件共4宗。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一是推进政府信息依申请公开工作规范化。认真学习、落实《广东省政府信息公开申请办理答复规范》有关要求，完善信息公开申请接收、登记、审核、办理、答复、归档闭环管理机制，充分运用标准文本，不断提高答复的专业化、规范化水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二是建立复杂问题的联席会议机制。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引入专业律师团队，组织相关部门共召开8次联席会议，研讨复杂问题依申请公开，确保回复口径一致，从源头一揽子解决问题。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探索建立依申请公开向主动公开转化机制。分析总结全区政府信息依申请公开工作，针对频繁申请、受理量大的信息，协调相关部门积极推进主动公开。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（四）坚持深根固柢，建立严格规范的监督保障机制。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强化制度建设和队伍保障，加大业务培训和考核评估力度，充分发挥以公开促落实、促规范、促服务的作用，提升政府自身建设能力。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一是完善政务公开体制机制。建立政务服务数据管理、宣传、网信等单位参与的协调联动机制，形成全面深入推进基层政务公开工作的合力。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二是加强队伍能力建设。将《条例》作为落实领导干部学法制度重要内容，纳入区政府常务会议学法内容和公务员初任培训必修课程，定期组织学习培训，切实提升政务公开意识和依法依规公开能力。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三是加大考核评估力度。将“政务公开”、“政府网站建设”纳入政府绩效考核指标体系，结合上级部署和基层实际，优化评估体系，细化考评内容，通过强化考核管理有效推进工作落实。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="192" w:afterLines="0" w:afterAutospacing="0"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二、主动公开政府信息情况</w:t>
      </w:r>
    </w:p>
    <w:tbl>
      <w:tblPr>
        <w:tblStyle w:val="5"/>
        <w:tblW w:w="844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5"/>
        <w:gridCol w:w="1980"/>
        <w:gridCol w:w="1956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84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制作数量</w:t>
            </w:r>
          </w:p>
        </w:tc>
        <w:tc>
          <w:tcPr>
            <w:tcW w:w="19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规章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规范性文件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44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上一年项目数量</w:t>
            </w:r>
          </w:p>
        </w:tc>
        <w:tc>
          <w:tcPr>
            <w:tcW w:w="19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行政许可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220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减1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8,759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其他对外管理服务事项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430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减12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199,956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44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信息内容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上一年项目数量</w:t>
            </w:r>
          </w:p>
        </w:tc>
        <w:tc>
          <w:tcPr>
            <w:tcW w:w="19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行政处罚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2,078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增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2,668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1,767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行政强制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96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增89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44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上一年项目数量</w:t>
            </w:r>
          </w:p>
        </w:tc>
        <w:tc>
          <w:tcPr>
            <w:tcW w:w="383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行政事业性收费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14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44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采购项目数量</w:t>
            </w:r>
          </w:p>
        </w:tc>
        <w:tc>
          <w:tcPr>
            <w:tcW w:w="383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政府集中采购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502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815.4万元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="192" w:afterAutospacing="0" w:line="520" w:lineRule="exact"/>
        <w:ind w:firstLine="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="192" w:afterAutospacing="0" w:line="520" w:lineRule="exact"/>
        <w:ind w:firstLine="640" w:firstLineChars="200"/>
        <w:jc w:val="both"/>
        <w:textAlignment w:val="auto"/>
        <w:rPr>
          <w:rFonts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三、收到和处理政府信息公开申请情况</w:t>
      </w:r>
    </w:p>
    <w:tbl>
      <w:tblPr>
        <w:tblStyle w:val="5"/>
        <w:tblW w:w="903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667"/>
        <w:gridCol w:w="3049"/>
        <w:gridCol w:w="590"/>
        <w:gridCol w:w="642"/>
        <w:gridCol w:w="663"/>
        <w:gridCol w:w="885"/>
        <w:gridCol w:w="870"/>
        <w:gridCol w:w="525"/>
        <w:gridCol w:w="5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71" w:type="dxa"/>
            <w:gridSpan w:val="3"/>
            <w:vMerge w:val="restart"/>
            <w:tcBorders>
              <w:tl2br w:val="nil"/>
              <w:tr2bl w:val="nil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（本列数据的勾稽关系为：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第一项加第二项之和，等于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第三项加第四项之和）</w:t>
            </w:r>
          </w:p>
        </w:tc>
        <w:tc>
          <w:tcPr>
            <w:tcW w:w="4764" w:type="dxa"/>
            <w:gridSpan w:val="7"/>
            <w:tcBorders>
              <w:tl2br w:val="nil"/>
              <w:tr2bl w:val="nil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71" w:type="dxa"/>
            <w:gridSpan w:val="3"/>
            <w:vMerge w:val="continue"/>
            <w:tcBorders>
              <w:tl2br w:val="nil"/>
              <w:tr2bl w:val="nil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0" w:type="dxa"/>
            <w:vMerge w:val="restart"/>
            <w:tcBorders>
              <w:tl2br w:val="nil"/>
              <w:tr2bl w:val="nil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3585" w:type="dxa"/>
            <w:gridSpan w:val="5"/>
            <w:tcBorders>
              <w:tl2br w:val="nil"/>
              <w:tr2bl w:val="nil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271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2" w:type="dxa"/>
            <w:tcBorders>
              <w:tl2br w:val="nil"/>
              <w:tr2bl w:val="nil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商业企业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科研机构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其他</w:t>
            </w:r>
          </w:p>
        </w:tc>
        <w:tc>
          <w:tcPr>
            <w:tcW w:w="589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71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59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236</w:t>
            </w:r>
          </w:p>
        </w:tc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58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262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71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59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58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5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716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59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93</w:t>
            </w:r>
          </w:p>
        </w:tc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16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（二）部分公开（区分处理的，只计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630" w:firstLineChars="3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这一情形，不计其他情形）</w:t>
            </w:r>
          </w:p>
        </w:tc>
        <w:tc>
          <w:tcPr>
            <w:tcW w:w="59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8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7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不予公开</w:t>
            </w:r>
          </w:p>
        </w:tc>
        <w:tc>
          <w:tcPr>
            <w:tcW w:w="304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59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4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59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4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59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4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59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4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59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4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59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4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59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4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59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7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无法提供</w:t>
            </w:r>
          </w:p>
        </w:tc>
        <w:tc>
          <w:tcPr>
            <w:tcW w:w="304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59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4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59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4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59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7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不予处理</w:t>
            </w:r>
          </w:p>
        </w:tc>
        <w:tc>
          <w:tcPr>
            <w:tcW w:w="304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59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4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59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4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59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4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59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4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5.要求行政机关确认或重新出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具已获取信息</w:t>
            </w:r>
          </w:p>
        </w:tc>
        <w:tc>
          <w:tcPr>
            <w:tcW w:w="59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16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59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16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59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211</w:t>
            </w:r>
          </w:p>
        </w:tc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8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71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59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8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="192" w:afterAutospacing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tbl>
      <w:tblPr>
        <w:tblStyle w:val="5"/>
        <w:tblW w:w="873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3"/>
        <w:gridCol w:w="583"/>
        <w:gridCol w:w="583"/>
        <w:gridCol w:w="583"/>
        <w:gridCol w:w="583"/>
        <w:gridCol w:w="58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82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5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结果纠正</w:t>
            </w:r>
          </w:p>
        </w:tc>
        <w:tc>
          <w:tcPr>
            <w:tcW w:w="58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其他结果</w:t>
            </w:r>
          </w:p>
        </w:tc>
        <w:tc>
          <w:tcPr>
            <w:tcW w:w="58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尚未审结</w:t>
            </w:r>
          </w:p>
        </w:tc>
        <w:tc>
          <w:tcPr>
            <w:tcW w:w="58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291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结果纠正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其他结果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尚未审结</w:t>
            </w:r>
          </w:p>
        </w:tc>
        <w:tc>
          <w:tcPr>
            <w:tcW w:w="5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5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5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结果纠正</w:t>
            </w:r>
          </w:p>
        </w:tc>
        <w:tc>
          <w:tcPr>
            <w:tcW w:w="5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其他结果</w:t>
            </w:r>
          </w:p>
        </w:tc>
        <w:tc>
          <w:tcPr>
            <w:tcW w:w="5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尚未审结</w:t>
            </w:r>
          </w:p>
        </w:tc>
        <w:tc>
          <w:tcPr>
            <w:tcW w:w="5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7DA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五、存在的主要问题及改进情况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当前新形势下，人民群众对政务公开有更多期待、信息技术对政务公开带来更大挑战，我区政务公开能力水平与人民群众的期待相比，仍存在一定距离：一是政务公开标准化、规范化有待进一步加强；二是在利用信息化技术赋能、加强信息化手段在政务信息管理领域的运用方面，有待进一步探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2021年，我区将严格按照上级有关要求，围绕公众关心关注，继续全面深入推进基层政务公开工作，提升政务公开能力和水平。一是继续全面推进政务公开标准化规范化。严格按照南山区政务公开事项标准目录，持续推进重点领域信息主动公开，提高政务公开含金量。加强区政府门户网站、政务新媒体等政务公开平台的规范化建设和管理，在新建行政服务大厅、档案馆等区域，高标准规划设计线下政务公开专区，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将政务公开的触角延伸到公共服务场所、街道、社区，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为企业和群众提供权威、准确的政务信息服务和便民服务，全面提升信息发布、解读回应、政民互动、办事服务的整体水平。二是继续探索创新政务公开、政务服务新模式。积极探索“5G消息”等在政务公开、政务服务领域的创新融合。借助人工智能技术推动政务信息高效传播和精准推送，破解企业市民“找不到、找不快、找不准”政策的痛点问题。探讨建立“政企面对面”常态化线上企业服务机制，利用远程视频技术在企业群众、窗口人员、审批后台之间搭建畅通无阻的政务服务桥梁，形成“点对点”“面对面”即时沟通解决问题机制，实时了解企业诉求，帮助解决实际问题。</w:t>
      </w:r>
    </w:p>
    <w:p>
      <w:pPr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 无。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深圳市南山区人民政府</w:t>
      </w:r>
      <w:r>
        <w:rPr>
          <w:rFonts w:hint="eastAsia" w:ascii="仿宋_GB2312" w:hAnsi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 xml:space="preserve">2021年1月19日 </w:t>
      </w:r>
      <w:r>
        <w:rPr>
          <w:rFonts w:hint="eastAsia" w:ascii="仿宋_GB2312" w:hAnsi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pStyle w:val="4"/>
        <w:spacing w:before="400" w:line="560" w:lineRule="exact"/>
        <w:jc w:val="left"/>
        <w:rPr>
          <w:rFonts w:hint="eastAsia" w:ascii="方正小标宋_GBK" w:eastAsia="方正小标宋_GBK"/>
          <w:sz w:val="44"/>
          <w:szCs w:val="44"/>
        </w:rPr>
      </w:pPr>
    </w:p>
    <w:p>
      <w:pPr>
        <w:pStyle w:val="4"/>
        <w:spacing w:before="400"/>
        <w:jc w:val="left"/>
        <w:rPr>
          <w:rFonts w:hint="eastAsia" w:ascii="方正小标宋_GBK" w:eastAsia="方正小标宋_GBK"/>
          <w:sz w:val="44"/>
          <w:szCs w:val="44"/>
        </w:rPr>
      </w:pPr>
    </w:p>
    <w:p/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985" w:right="1474" w:bottom="907" w:left="1588" w:header="851" w:footer="992" w:gutter="0"/>
      <w:cols w:space="720" w:num="1"/>
      <w:titlePg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wordWrap w:val="0"/>
      <w:ind w:right="160" w:rightChars="50"/>
      <w:jc w:val="right"/>
      <w:rPr>
        <w:rFonts w:ascii="Times New Roman" w:hAnsi="Times New Roman" w:cs="Times New Roman"/>
        <w:sz w:val="28"/>
        <w:szCs w:val="28"/>
      </w:rPr>
    </w:pPr>
    <w:r>
      <w:rPr>
        <w:rStyle w:val="7"/>
        <w:rFonts w:ascii="Times New Roman" w:hAnsi="Times New Roman" w:eastAsia="Batang" w:cs="Times New Roman"/>
        <w:sz w:val="28"/>
        <w:szCs w:val="28"/>
      </w:rPr>
      <w:t>—</w:t>
    </w:r>
    <w:r>
      <w:rPr>
        <w:rStyle w:val="7"/>
        <w:rFonts w:ascii="Times New Roman" w:hAnsi="Times New Roman" w:eastAsia="Batang" w:cs="Times New Roman"/>
        <w:b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Style w:val="7"/>
        <w:rFonts w:ascii="Times New Roman" w:hAnsi="Times New Roman" w:eastAsia="宋体" w:cs="Times New Roman"/>
        <w:sz w:val="28"/>
        <w:szCs w:val="28"/>
      </w:rPr>
      <w:instrText xml:space="preserve">PAGE 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Style w:val="7"/>
        <w:rFonts w:ascii="Times New Roman" w:hAnsi="Times New Roman" w:eastAsia="宋体" w:cs="Times New Roman"/>
        <w:sz w:val="28"/>
        <w:szCs w:val="28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Style w:val="7"/>
        <w:rFonts w:ascii="Times New Roman" w:hAnsi="Times New Roman" w:eastAsia="Batang" w:cs="Times New Roman"/>
        <w:b/>
        <w:sz w:val="28"/>
        <w:szCs w:val="28"/>
      </w:rPr>
      <w:t xml:space="preserve"> </w:t>
    </w:r>
    <w:r>
      <w:rPr>
        <w:rStyle w:val="7"/>
        <w:rFonts w:ascii="Times New Roman" w:hAnsi="Times New Roman" w:eastAsia="Batang" w:cs="Times New Roman"/>
        <w:sz w:val="28"/>
        <w:szCs w:val="28"/>
      </w:rPr>
      <w:t>—</w:t>
    </w:r>
  </w:p>
  <w:p>
    <w:pPr>
      <w:pStyle w:val="2"/>
      <w:ind w:right="360" w:firstLine="360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wordWrap w:val="0"/>
      <w:ind w:left="160" w:leftChars="50" w:right="420"/>
      <w:rPr>
        <w:rFonts w:ascii="Times New Roman" w:hAnsi="Times New Roman" w:cs="Times New Roman"/>
        <w:sz w:val="28"/>
        <w:szCs w:val="28"/>
      </w:rPr>
    </w:pPr>
    <w:r>
      <w:rPr>
        <w:rStyle w:val="7"/>
        <w:rFonts w:ascii="Times New Roman" w:hAnsi="Times New Roman" w:eastAsia="Batang" w:cs="Times New Roman"/>
        <w:sz w:val="28"/>
        <w:szCs w:val="28"/>
      </w:rPr>
      <w:t>—</w:t>
    </w:r>
    <w:r>
      <w:rPr>
        <w:rStyle w:val="7"/>
        <w:rFonts w:ascii="Times New Roman" w:hAnsi="Times New Roman" w:eastAsia="Batang" w:cs="Times New Roman"/>
        <w:b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Style w:val="7"/>
        <w:rFonts w:ascii="Times New Roman" w:hAnsi="Times New Roman" w:eastAsia="宋体" w:cs="Times New Roman"/>
        <w:sz w:val="28"/>
        <w:szCs w:val="28"/>
      </w:rPr>
      <w:instrText xml:space="preserve">PAGE 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Style w:val="7"/>
        <w:rFonts w:ascii="Times New Roman" w:hAnsi="Times New Roman" w:eastAsia="宋体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Style w:val="7"/>
        <w:rFonts w:ascii="Times New Roman" w:hAnsi="Times New Roman" w:eastAsia="Batang" w:cs="Times New Roman"/>
        <w:b/>
        <w:sz w:val="28"/>
        <w:szCs w:val="28"/>
      </w:rPr>
      <w:t xml:space="preserve"> </w:t>
    </w:r>
    <w:r>
      <w:rPr>
        <w:rStyle w:val="7"/>
        <w:rFonts w:ascii="Times New Roman" w:hAnsi="Times New Roman" w:eastAsia="Batang" w:cs="Times New Roman"/>
        <w:sz w:val="28"/>
        <w:szCs w:val="28"/>
      </w:rPr>
      <w:t>—</w:t>
    </w:r>
  </w:p>
  <w:p>
    <w:pPr>
      <w:pStyle w:val="2"/>
      <w:ind w:right="360" w:firstLine="360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Times New Roman" w:hAnsi="Times New Roman" w:cs="Times New Roman"/>
      </w:rPr>
    </w:pPr>
  </w:p>
  <w:p>
    <w:pPr>
      <w:pStyle w:val="2"/>
      <w:rPr>
        <w:rFonts w:ascii="Times New Roman" w:hAnsi="Times New Roman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070C4"/>
    <w:rsid w:val="04F0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4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2021-02-09T02:09:00Z</dcterms:created>
  <dc:creator>任荔</dc:creator>
  <cp:lastModifiedBy>任荔</cp:lastModifiedBy>
  <dcterms:modified xsi:type="dcterms:W3CDTF">2021-02-09T02:10:10Z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